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NON-DILUTIVE FUNDING ROUTES (kept outside the investor CRM)</w:t>
      </w:r>
    </w:p>
    <w:p>
      <w:r>
        <w:t xml:space="preserve">These are grant or contract funders, not investors, so they are excluded from the 300-investor CRM, the Top 25 and the call lists in line with the investor-only rule. They remain high priority for the funding strategy (see </w:t>
      </w:r>
      <w:r>
        <w:rPr>
          <w:rFonts w:ascii="Consolas" w:hAnsi="Consolas"/>
          <w:sz w:val="18"/>
        </w:rPr>
        <w:t>/docs/09_FUNDING_STRATEGY.md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Programme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funds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Stage / eligibility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Phone (public source)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Route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Innovate UK (UKRI)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national innovation agency – NON-DILUTIVE grants (Smart, Biomedical Catalyst, Women in Innovation) and innovation loans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– pre-revenue eligible for grants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0300 321 4357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Innovation Funding Service https://apply-for-innovation-funding.service.gov.uk/ ; support 0300 321 4357 (9–12, 2–5 Mon–Fri) / support@iuk.ukri.org ; Innovate UK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https://apply-for-innovation-funding.service.gov.uk/info/contact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SBRI Healthcare (NHS England / Accelerated Access Collaborative, managed by LGC)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NHS-funded NON-DILUTIVE development contracts (100% funded, competition-based) for health innovations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Pre-revenue eligible; needs NHS partner and credible team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+44 20 8843 8125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sbri@lgcgroup.com or +44 20 8843 8125 ; competitions via https://sbrihealthcare.co.uk/sbri-portal/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https://sbrihealthcare.co.uk/contact-us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NIHR Invention for Innovation (i4i) Programme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NIHR NON-DILUTIVE translational funding (i4i Connect for SMEs, Product Development Awards, Challenge Awards)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Pre-revenue SMEs with a prototype and clinical partner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020 8843 8080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i4i@nihr.ac.uk (eligibility queries) or 020 8843 8080 ; applications via NIHR funding portal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https://www.nihr.ac.uk/contact-us?letter=H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