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05 — VYTALIX MARKET STRATEGY</w:t>
      </w:r>
    </w:p>
    <w:p>
      <w:r>
        <w:rPr>
          <w:b/>
        </w:rPr>
        <w:t>Owner:</w:t>
      </w:r>
      <w:r>
        <w:t xml:space="preserve"> Chief Strategy Officer · </w:t>
      </w:r>
      <w:r>
        <w:rPr>
          <w:b/>
        </w:rPr>
        <w:t>Status:</w:t>
      </w:r>
      <w:r>
        <w:t xml:space="preserve"> PROPOSED v1 · </w:t>
      </w:r>
      <w:r>
        <w:rPr>
          <w:b/>
        </w:rPr>
        <w:t>Date:</w:t>
      </w:r>
      <w:r>
        <w:t xml:space="preserve"> 7 September 2026 · </w:t>
      </w:r>
      <w:r>
        <w:rPr>
          <w:b/>
        </w:rPr>
        <w:t>Governing file: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>. Every figure taken from the web carries its URL; everything else is ESTIMATE, ASSUMPTION or PROPOSED. Vytalix has no customers, pilots or partners in any market today (KNOWN).</w:t>
      </w:r>
    </w:p>
    <w:p>
      <w:pPr>
        <w:pStyle w:val="Heading2"/>
      </w:pPr>
      <w:r>
        <w:t>Executive view</w:t>
      </w:r>
    </w:p>
    <w:p>
      <w:pPr>
        <w:pStyle w:val="ListNumber"/>
      </w:pPr>
      <w:r>
        <w:rPr>
          <w:b/>
        </w:rPr>
        <w:t>The UK is the home market and the credibility market</w:t>
      </w:r>
      <w:r>
        <w:t>, scoring highest (67.9/100) on the eleven-criterion model in §7 because of policy pull (MBRRACE-UK disparities, the national maternity investigation, the digital maternity record standard), funding depth and partnership density — not because it is fast. NHS product sales cycles are 9–18 months; the first UK revenue is services, then an unpaid design partnership, then a paid pilot (month 12–24).</w:t>
      </w:r>
    </w:p>
    <w:p>
      <w:pPr>
        <w:pStyle w:val="ListNumber"/>
      </w:pPr>
      <w:r>
        <w:rPr>
          <w:b/>
        </w:rPr>
        <w:t>Nigeria is the volume and impact market</w:t>
      </w:r>
      <w:r>
        <w:t xml:space="preserve"> (61.3 raw; 55.2 feasibility-adjusted) and the only African market where Vytalix has a live conversation (Ekiti, status unknown) — but that state has a funded incumbent (mDoc / MSD for Mothers, VERIFIED). The play is "partner or move state", scored against Ondo, Osun, Oyo, Kwara (Yoruba content reuse) and Kaduna/Kano (burden), with NGO- and donor-funded cohorts preferred over state budget lines until willingness to pay is validated.</w:t>
      </w:r>
    </w:p>
    <w:p>
      <w:pPr>
        <w:pStyle w:val="ListNumber"/>
      </w:pPr>
      <w:r>
        <w:rPr>
          <w:b/>
        </w:rPr>
        <w:t>Kenya is the third market, and the second African one</w:t>
      </w:r>
      <w:r>
        <w:t xml:space="preserve"> (58.9 raw; 47.1 adjusted): strongest digital and mobile-money rails, county-level buyers, an active donor ecosystem — and the most instructive incumbent, Jacaranda Health's PROMPTS (2.8m+ women, &lt;$1/mother), which sets the price expectation Vytalix must design around. Ghana and Rwanda are "prepare, do not enter" until 2028; South Africa and Ethiopia are "do not enter yet".</w:t>
      </w:r>
    </w:p>
    <w:p>
      <w:pPr>
        <w:pStyle w:val="ListNumber"/>
      </w:pPr>
      <w:r>
        <w:rPr>
          <w:b/>
        </w:rPr>
        <w:t>Everything outside the UK–Africa corridor is "do not enter yet"</w:t>
      </w:r>
      <w:r>
        <w:t xml:space="preserve"> for the product: Europe (no differentiated need, procurement fragmentation), UAE/Saudi (attractive but relationship- and localisation-heavy, no fit before an evidence base), North America (highest raw score but a crowded, well-funded field — Maven at a $1.7bn valuation, Babyscripts, Bloomlife, Nuvo — and a naming collision with Vytalyx Inc.), and the South Asian/Indonesian markets (huge need, no channel, no capital). Consulting can serve these markets opportunistically; the product cannot before 2029.</w:t>
      </w:r>
    </w:p>
    <w:p>
      <w:pPr>
        <w:pStyle w:val="ListNumber"/>
      </w:pPr>
      <w:r>
        <w:rPr>
          <w:b/>
        </w:rPr>
        <w:t>Entry sequence:</w:t>
      </w:r>
      <w:r>
        <w:t xml:space="preserve"> UK services (now) → UK design partner + Nigeria NGO/state-adjacent cohort (months 6–18) → UK paid pilots + Kenya county/NGO programme (months 18–36) → Ghana/Rwanda via a regional partner (2028+) → Gulf/Europe/US only with evidence, a Series A and a partner-led model (2029+). Each step has a stated go/no-go signal in §8.</w:t>
      </w:r>
    </w:p>
    <w:p>
      <w:pPr>
        <w:pStyle w:val="Heading2"/>
      </w:pPr>
      <w:r>
        <w:t>1. United Kingdom — home market</w:t>
      </w:r>
    </w:p>
    <w:p>
      <w:pPr>
        <w:pStyle w:val="Heading3"/>
      </w:pPr>
      <w:r>
        <w:t>1.1 Structure that matters to a maternity product and a health consultancy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 (KNOWN unless labelled)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matters to Vytalix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England and DHSC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policy, funding rules and standards; NHS England is being absorbed into DHSC (announced 2025 — TO VALIDATE current state and timing). National maternity programme, Maternity Incentive Scheme (via NHS Resolution), digital standards.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Standards (DTAC, DCB0129/0160, DSPT, the digital maternity record standard) are set nationally; buying is local. Expect reorganisation noise through 2026–27.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Integrated Care Boards (42 in England)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Commission services for their population; host Local Maternity and Neonatal Systems (LMNS); commission Maternity and Neonatal Voices Partnerships (MNVPs) (NHS England, https://www.england.nhs.uk/long-read/three-year-delivery-plan-for-maternity-and-neonatal-services/). ICBs were asked to cut running costs substantially in 2025 (TO VALIDATE).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LMNS is the natural forum for a multi-trust conversation and for health-inequality work; ICBs seldom buy point solutions for maternity — trusts do. Consulting on inequalities and digital readiness can be commissioned at ICB/LMNS level.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 providing maternity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120 trusts in England provide maternity services (ESTIMATE; NHS England maternity statistics cover ~120 providers — TO VALIDATE exact count), delivering ~568k births in England in 2024 (ONS: 567,708 live births in England, 26,832 in Wales; 594,677 total, https://www.ons.gov.uk/peoplepopulationandcommunity/birthsdeathsandmarriages/livebirths/bulletins/birthsummarytablesenglandandwales/2024refreshedpopulations). Median trust ≈ 4,000–5,000 births/year (ESTIMATE).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The addressable UK product market is ~120 buying units at £30k–£120k/year (ESTIMATE, </w:t>
            </w:r>
            <w:r>
              <w:rPr>
                <w:rFonts w:ascii="Consolas" w:hAnsi="Consolas"/>
                <w:b w:val="0"/>
                <w:sz w:val="17"/>
              </w:rPr>
              <w:t>01_BUSINESS_MODEL.md</w:t>
            </w:r>
            <w:r>
              <w:rPr>
                <w:b w:val="0"/>
                <w:sz w:val="17"/>
              </w:rPr>
              <w:t>) → £3.6m–£14m ceiling for a coordination layer, before private and devolved nations. Realistic 5-year share: 5–10 trusts (ESTIMATE).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Devolved nations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Scotland (14 health boards), Wales (7 health boards), Northern Ireland (5 trusts) with separate digital programmes and procurement.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Later; the Welsh and Scottish national digital maternity programmes may prefer single national suppliers.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maternity investigation (2025–26)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rapid national investigation into maternity and neonatal care named 14 trusts (BMJ Group, https://bmjgroup.com/maternity-care-14-nhs-trusts-at-centre-of-investigation-named/); a national maternity dashboard to flag safety concerns was to reach all maternity services by November 2025 (Digital Health, https://www.digitalhealth.net/2025/06/dhsc-to-roll-out-national-maternity-dashboard-to-address-failings/).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Renewed board-level attention on listening, escalation and handover — the exact v1 territory. Trusts under investigation are cautious buyers but active commissioners of improvement support (consulting).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MBRRACE-UK 2025 report (deaths 2021–23)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 death rate 12.82 per 100,000 maternities (down from 13.56 in 2020–22); 643 women's care examined; Black women more than twice as likely to die as White women; Asian women also at elevated risk; thrombosis the leading direct cause (NHS Providers summary, https://nhsproviders.org/resources/summary-of-the-2025-mbrrace-uk-saving-lives-improving-mothers-care-report; report, https://www.npeu.ox.ac.uk/assets/downloads/mbrrace-uk/reports/maternal-report-2025/MBRRACE-UK%20Maternal%20Report%202025%20-%20Main%20ONLINE%20v1.0.pdf). The 2025 deck's "3x" figure must be replaced by the current "more than twice" wording.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Health-inequality action plans are a live obligation on every trust and ICB; a Health Inequalities &amp; Maternity Outcomes Review (consulting C8) and the community-trust features of v1 both map to it. Parliament's Health and Social Care Committee also reported on Black maternal health (https://publications.parliament.uk/pa/cm5901/cmselect/cmhealth/895/report.html).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Year Delivery Plan (March 2023) and the Maternity and Neonatal Single Delivery Plan (2025 successor — TO VALIDATE title, scope and dates; BAPM response at https://www.bapm.org/articles/bapm-responds-to-single-delivery-plan)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Four themes: listening to women and families; growing and supporting the workforce; culture of safety, learning and support; standards and structures. Digital commitments included a refreshed digital maternity record standard and maternity services data set (MSDS) standard by March 2024 (NHS England, https://www.england.nhs.uk/long-read/three-year-delivery-plan-for-maternity-and-neonatal-services/).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trust reports against these themes; v1 features must be mapped to "listening" and "safety culture" language. MSDS reporting is a CNST safety action — a data-quality consulting opportunity.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maternity records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principal maternity EPR suppliers: Clevermed BadgerNet (acquired by System C, 2023, https://www.healthcareittoday.com/2023/02/24/clevermed-and-its-badgernet-solution-join-the-system-c-family/), K2 Athena, and Euroking (Magentus). System C states BadgerNet is used by "over 200 trusts" across maternity and neonatal (https://www.systemc.com/healthcare/badgernet-maternity/ — figure includes neonatal units; maternity-specific footprint TO VALIDATE). K2 markets Athena as a response to safety concerns raised about Euroking (https://www.k2ms.com/euroking-response-1); Dartford and Gravesham went live with K2 in April 2026 (https://www.digitalhealth.net/2026/04/dartford-and-gravesham-goes-live-with-k2-maternity-system/). NHS England's maternity digital capabilities framework supports EPR procurement (https://www.england.nhs.uk/mat-transformation/harnessing-digital-technology/).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must never position MaternaLink as an EPR. It is the woman-facing communication and handover layer that sits beside the record; integration (v2) will be with these three vendors. Euroking replacements in 2026–28 create a moment where trusts revisit their maternity digital stack.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Procurement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 Selection Regime (clinical services) and the Procurement Act 2023 regime (goods/services); frameworks (G-Cloud, NHS SBS, HealthTrust Europe, CCS); direct awards under thresholds (TO VALIDATE current values).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under threshold is quick; product needs DTAC and a framework listing or a trust-led direct award for a pilot.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Assurance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DTAC; DCB0129 (manufacturer) and DCB0160 (deploying organisation) clinical safety; DSPT; Cyber Essentials Plus; DPIA under UK GDPR; NICE Evidence Standards Framework; MHRA if a medical-device intended purpose is claimed.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v1 intended-use statement (non-diagnostic) is designed to avoid SaMD classification (TO VALIDATE with regulatory counsel).</w:t>
            </w:r>
          </w:p>
        </w:tc>
      </w:tr>
    </w:tbl>
    <w:p/>
    <w:p>
      <w:pPr>
        <w:pStyle w:val="Heading3"/>
      </w:pPr>
      <w:r>
        <w:t>1.2 UK sub-segments and the play for each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Sub-segment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Size (ESTIMATE)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Buyer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Play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Timing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 (maternity)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~120 in England; 5–10 realistically addressable by 2030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Head/Director of Midwifery; Maternity Digital Lead; CNIO; Divisional Director; Clinical Safety Officer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(1) Consulting first: Digital Maternity Readiness Review (C3), Health Inequalities Review (C8). (2) One unpaid design partner (community midwifery team) under DCB0160. (3) Paid pilot £20k–£60k. Land through Health Innovation Networks, LMNS, MNVPs and a clinical advisor.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now; design partner month 6–12; paid pilot month 12–24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LMNS / ICBs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 ICBs; each hosts an LMNS with an equity and digital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LMNS programme director; ICB Director of Nursing; health-inequalities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Inequality reviews, MSDS data-quality work, LMNS digital strategies; MaternaLink as a multi-trust community offer later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month 3–12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 maternity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Small: a handful of London units (e.g., The Portland, Kensington Wing, Lindo Wing, Chelsea &amp; Westminster private) plus independent midwives (~100–200 practising, ESTIMATE)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Hospital director; consultant obstetricians; independent midwife groups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Per-woman-per-episode licence (£30–£80, ESTIMATE); fast credibility pilots; fewer IG barriers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9–18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Employers and benefits platforms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employers with maternity-return programmes; benefits platforms (competition: Peppy, Maven's UK presence — 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HR benefits; DEI leads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Non-clinical education and coordination for expectant employees; sell through benefits platforms; £2–£6 PEPM or £150–£300 per pregnancy (ESTIMATE)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12–24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Universities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Midwifery, nursing, public-health and health-informatics programmes; maternal-health research groups (e.g., NPEU Oxford, King's, Manchester — institutions only, no relationships)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leads; principal investigators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 licences (£3k–£8k/programme, ESTIMATE); research partnerships for evaluation and the v3 AI track (NIHR, UKRI co-applications)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9–24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Charities and community organisations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Maternal-health charities and Black maternal-health advocacy groups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CEOs; programme leads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Co-design and content partnerships (paid), joint grant bids; never "endorsement" claims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3–12</w:t>
            </w:r>
          </w:p>
        </w:tc>
      </w:tr>
    </w:tbl>
    <w:p/>
    <w:p>
      <w:pPr>
        <w:pStyle w:val="Heading3"/>
      </w:pPr>
      <w:r>
        <w:t>1.3 UK go-to-market plays (PROPOSED)</w:t>
      </w:r>
    </w:p>
    <w:p>
      <w:pPr>
        <w:pStyle w:val="ListNumber"/>
      </w:pPr>
      <w:r>
        <w:rPr>
          <w:b/>
        </w:rPr>
        <w:t>Inequality-led consulting entry.</w:t>
      </w:r>
      <w:r>
        <w:t xml:space="preserve"> Offer C8 (Health Inequalities &amp; Maternity Outcomes Review) to LMNSs and trusts named in the national investigation or with CQC "requires improvement" maternity ratings. Evidence base: MBRRACE-UK 2025 and the Committee report above. Target: 6 proposals, 2 wins in 12 months (£28k each, ESTIMATE).</w:t>
      </w:r>
    </w:p>
    <w:p>
      <w:pPr>
        <w:pStyle w:val="ListNumber"/>
      </w:pPr>
      <w:r>
        <w:rPr>
          <w:b/>
        </w:rPr>
        <w:t>Digital-stack moment.</w:t>
      </w:r>
      <w:r>
        <w:t xml:space="preserve"> Trusts replacing Euroking or re-procuring maternity EPRs in 2026–28 need readiness reviews (C3) — position Vytalix as vendor-neutral.</w:t>
      </w:r>
    </w:p>
    <w:p>
      <w:pPr>
        <w:pStyle w:val="ListNumber"/>
      </w:pPr>
      <w:r>
        <w:rPr>
          <w:b/>
        </w:rPr>
        <w:t>Design partner, not customer.</w:t>
      </w:r>
      <w:r>
        <w:t xml:space="preserve"> One trust, one community team, DCB0160 with the trust's CSO, no fee; produce a service evaluation and a safety case. This is the asset that sells everything later.</w:t>
      </w:r>
    </w:p>
    <w:p>
      <w:pPr>
        <w:pStyle w:val="ListNumber"/>
      </w:pPr>
      <w:r>
        <w:rPr>
          <w:b/>
        </w:rPr>
        <w:t>Health Innovation Network route.</w:t>
      </w:r>
      <w:r>
        <w:t xml:space="preserve"> Apply to relevant innovation programmes; use them for introductions, not endorsements.</w:t>
      </w:r>
    </w:p>
    <w:p>
      <w:pPr>
        <w:pStyle w:val="ListNumber"/>
      </w:pPr>
      <w:r>
        <w:rPr>
          <w:b/>
        </w:rPr>
        <w:t>Content and community.</w:t>
      </w:r>
      <w:r>
        <w:t xml:space="preserve"> Publish a short, sourced "State of digital maternal care UK/Nigeria" report (see marketing plan) to earn the inbound conversations that a solo founder cannot cold-call into.</w:t>
      </w:r>
    </w:p>
    <w:p>
      <w:pPr>
        <w:pStyle w:val="Heading2"/>
      </w:pPr>
      <w:r>
        <w:t>2. Africa — six markets scored</w:t>
      </w:r>
    </w:p>
    <w:p>
      <w:r>
        <w:t>Context (all TO VALIDATE against the primary reports before external use): global maternal deaths in 2023 were roughly 240,000 (IHME, https://www.healthdata.org/news-events/newsroom/news-releases/global-maternal-deaths-fell-240000-2023-more-100-countries-still) to 260,000 (WHO/UN MMEIG estimate — the two series differ methodologically; cite one and say which). Nigeria's modelled maternal mortality ratio in 2023 was 993 per 100,000 live births, the highest in Africa (Statista compilation of WHO/World Bank data, https://www.statista.com/statistics/1122869/maternal-mortality-rate-in-africa-by-country/; World Bank series at https://data.worldbank.org/indicator/SH.STA.MMRT?locations=NG). Kenya was estimated at 530 per 100,000 in 2020 (same Statista source). Nigeria, India, DRC, Ethiopia and Pakistan recorded the highest absolute numbers of maternal deaths (IHME, above).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 (burden, gaps)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Digital / mobile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Health system &amp; buyers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Incumbents and partners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Regulation &amp; data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Nigeria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Highest MMR in Africa (993/100k, 2023); largest absolute burden; wide North–South gradient; ANC and skilled-birth-attendance gaps (NDHS — TO VALIDATE latest).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mobile penetration, low smartphone share outside cities; SMS/USSD/WhatsApp essential; frequent connectivity gaps (offline-first is a real requirement).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 states + FCT each buy separately via Ministries of Health and SPHCDAs; federal actors (FMoH, NPHCDA, NHIA); state health insurance agencies; strong private HMO sector (Lagos). State budgets are volatile; donors fund most digital maternal programmes.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Digital Mom (Lagos, Ekiti; MSD for Mothers-funded; ~24,000 women in Ekiti — VERIFIED per FACTS_BASE); Helium Health (EMR, $42m raised, https://www.crunchbase.com/organization/helium-healthcare; has MSD for Mothers and Gates funding for maternal projects, https://techpoint.africa/news/helium-health-30m-seriesb/); numerous NGO programmes. Partners: Society for Family Health, Wellbeing Foundation Africa, Nigeria Health Watch (as convenor) — no relationships (KNOWN).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Data Protection Act 2023 (NDPC registration for data controllers of major importance — TO VALIDATE thresholds); NHREC ethics for research; local hosting expectations; UK Bribery Act applies to Vytalix staff.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Enter second (months 6–18) via NGO/donor-funded cohort in a state without an incumbent, or as a complement to mDoc.</w:t>
            </w:r>
            <w:r>
              <w:rPr>
                <w:b w:val="0"/>
                <w:sz w:val="17"/>
              </w:rPr>
              <w:t xml:space="preserve"> Do not restate the £4.5m Ekiti proposal.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Kenya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MMR ~530/100k (2020); Linda Mama free maternity scheme now under the Social Health Authority (SHA, 2024–25 transition — TO VALIDATE); uneven county capacity.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Best mobile-money and SMS ecosystem in the region (M-Pesa; Africa's Talking gateway); high phone ownership among women.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 counties buy independently; national SHA; strong private and faith-based provider networks; established digital-health policy and Kenya Health Information System (DHIS2).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Jacaranda Health PROMPTS: 2.8m+ women, 22 counties, "less than $1 per mother" (https://jacarandahealth.org/program/prompts/; https://www.millionlives.co/members/jacarandahealth); Totohealth (SMS since 2014, https://www.do4africa.org/en/projets/totohealth-2/); Zuri Health; Penda Health and others.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Protection Act 2019 (ODPC registration); Digital Health Act 2023; local hosting preferences.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Third market (months 18–36).</w:t>
            </w:r>
            <w:r>
              <w:rPr>
                <w:b w:val="0"/>
                <w:sz w:val="17"/>
              </w:rPr>
              <w:t xml:space="preserve"> Do not compete with PROMPTS on SMS education; position on facility-side coordination, handover and referral with a county or NGO partner.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Ghana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MMR materially lower than Nigeria (ESTIMATE ~250–300/100k; TO VALIDATE); good ANC coverage; NHIS covers maternity.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Good mobile coverage; MTN dominant; growing health-tech scene.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Ghana Health Service is centralised (an advantage: one buyer, one standard); NHIA; teaching hospitals.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mPedigree, mTrac-type programmes; Zipline (logistics); fewer maternal-messaging incumbents than Kenya.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Protection Act 2012; Ghana Health Service research approvals.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Prepare (2027), enter via a regional partner (2028+).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Rwanda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Smaller population (~14m); MMR improving strongly; government prioritises digital health.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Good connectivity for the region; centralised systems.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Single national buyer (MoH/RBC); fast decisions; small budgets; strong donor presence.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Babyl (Babylon) exited; RapidSMS for maternal tracking is a long-standing government programme (TO VALIDATE current status).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protection law 2021; strong government control of health data.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Prepare; enter only as a government-invited pilot (2028+).</w:t>
            </w:r>
            <w:r>
              <w:rPr>
                <w:b w:val="0"/>
                <w:sz w:val="17"/>
              </w:rPr>
              <w:t xml:space="preserve"> A good evaluation site, not a revenue market.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South Africa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MMR far lower than Nigeria; inequality by province; strong public-private split.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smartphone penetration; MomConnect precedent (1.7m women registered by 2017 via 95% of public facilities, https://en.wikipedia.org/wiki/MomConnect).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Department of Health with provincial delivery; NHI reform uncertainty; large private medical-scheme sector (Discovery et al.).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MomConnect is a national, government-owned programme (Praekelt); private schemes have mature maternity programmes.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POPIA; NHREC; strong local vendor preference.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yet.</w:t>
            </w:r>
            <w:r>
              <w:rPr>
                <w:b w:val="0"/>
                <w:sz w:val="17"/>
              </w:rPr>
              <w:t xml:space="preserve"> Government channel is occupied; private channel requires local presence. Revisit 2029.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Ethiopia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Very high absolute burden; Health Extension Worker programme; rural connectivity poor.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smartphone and internet penetration; Ethio Telecom liberalising (Safaricom Ethiopia).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Highly centralised federal MoH; donor-heavy; foreign-company operating constraints; FX and conflict risks.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Government-led digital health (DHIS2, electronic community health information system).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Restrictive foreign-business rules; data localisation.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yet.</w:t>
            </w:r>
            <w:r>
              <w:rPr>
                <w:b w:val="0"/>
                <w:sz w:val="17"/>
              </w:rPr>
              <w:t xml:space="preserve"> Consulting through donors only.</w:t>
            </w:r>
          </w:p>
        </w:tc>
      </w:tr>
    </w:tbl>
    <w:p/>
    <w:p>
      <w:pPr>
        <w:pStyle w:val="Heading3"/>
      </w:pPr>
      <w:r>
        <w:t>2.1 Nigeria state selection (the "move state" scorecard, PROPOSED)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Criterion (weight)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Ekiti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Ondo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Osun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Oyo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Kwara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Kaduna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Kano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Burden and population (25)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 absence (20)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(mDoc)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and connectivity readiness (15)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reuse (Yoruba/Hausa) (10)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 availability (15)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Budget / donor presence (10)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 and operating safety (5)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Weighted /10 (ESTIMATE)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4.6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6.2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6.9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6.1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6.6</w:t>
            </w:r>
          </w:p>
        </w:tc>
      </w:tr>
    </w:tbl>
    <w:p/>
    <w:p>
      <w:r>
        <w:t>Reading: Oyo (Ibadan: teaching hospital, NGOs, large population) and Kano (burden, donor density; needs Hausa-first content and a strong local partner) lead; Ekiti is bottom because of the incumbent, unless mDoc partnership is agreed. All scores are desk ESTIMATES to be replaced by a two-week field scan (consulting offer C5 delivered to ourselves).</w:t>
      </w:r>
    </w:p>
    <w:p>
      <w:pPr>
        <w:pStyle w:val="Heading2"/>
      </w:pPr>
      <w:r>
        <w:t>3. Europe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Aspect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relative to UK/Africa for the v1 use-case; maternal mortality low; strong midwife-led systems (Netherlands, Nordics) with existing digital records. Migrant and minority-ethnic disparities exist (TO VALIDATE country data) but are politically less salient than in the UK.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EU MDR (a non-device intended use must be re-argued under EU rules); GDPR; EHDS (European Health Data Space) interoperability obligations rolling in 2027–29 (TO VALIDATE dates).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Buyers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Fragmented: hospital groups, regions, insurers (Germany DiGA for reimbursed apps; Netherlands insurers); language localisation per market.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apps and EPR vendors; DiGA-listed pregnancy apps in Germany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Verdict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 (product).</w:t>
            </w:r>
            <w:r>
              <w:rPr>
                <w:b w:val="0"/>
                <w:sz w:val="17"/>
              </w:rPr>
              <w:t xml:space="preserve"> Ireland is the only candidate (English-language, HSE national maternity strategy, single buyer) for 2029+. Consulting: serve EU health-tech companies entering the NHS (C4) from day one.</w:t>
            </w:r>
          </w:p>
        </w:tc>
      </w:tr>
    </w:tbl>
    <w:p/>
    <w:p>
      <w:pPr>
        <w:pStyle w:val="Heading2"/>
      </w:pPr>
      <w:r>
        <w:t>4. Middle East — UAE and Saudi Arabia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Aspect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UAE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Saudi Arabia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mortality; high private-sector share; interest in patient experience and premium maternity.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Vision 2030 health transformation; large national programmes (Seha Virtual Hospital, national EHR); rising interest in women's health.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Buyers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DoH Abu Dhabi, DHA Dubai, private groups (e.g., Mediclinic, NMC); requires local licensing and often a local partner/free-zone entity.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MoH clusters, NUPCO procurement; large tenders; long relationship-building; Saudisation.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Excellent; Malaffi/NABIDH exchanges.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Excellent; national platforms.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Global vendors; premium apps.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Global vendors with local partners.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Verdict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yet.</w:t>
            </w:r>
            <w:r>
              <w:rPr>
                <w:b w:val="0"/>
                <w:sz w:val="17"/>
              </w:rPr>
              <w:t xml:space="preserve"> Revisit after UK evidence and a Series A, with a distribution partner; consulting to Gulf providers exploring African expansion is a plausible opportunistic offer.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yet.</w:t>
            </w:r>
          </w:p>
        </w:tc>
      </w:tr>
    </w:tbl>
    <w:p/>
    <w:p>
      <w:pPr>
        <w:pStyle w:val="Heading2"/>
      </w:pPr>
      <w:r>
        <w:t>5. North America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Aspect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USA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Canada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Attractiveness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Largest addressable market; deep capital; employer and payer buyers; maternal mortality and Black maternal disparities are national issues.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Provincial single payers; slow procurement; smaller scale.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Competition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Densest in the world for this category: Maven Clinic ($125m Series F, $1.7bn valuation, &gt;$425m raised, https://www.cnbc.com/2024/10/08/womens-health-startup-maven-clinic-raises-at-1point7-billion-valuation.html); Babyscripts ($37m raised, https://tracxn.com/d/companies/babyscripts/__kWZWDhoM9WH_e-3YqrP_Az16bGgqu9zEXuqNu7s-ISs); Bloomlife ($40.8m, last $14m in June 2025, https://pitchbook.com/profiles/company/108812-71); Nuvo INVU (FDA-cleared remote monitoring, partnered with Babyscripts, https://babyscripts.com/babyscripts-partners-with-nuvo-remote-pregnancy-care-solution); Ovia, Pomelo, Oula and others.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Smaller vendor set; provincial pilots.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FDA (SaMD), HIPAA, state laws; naming collision with Vytalyx Inc. (Texas) and Vytalize Health (New Jersey) — a trademark problem before a market problem.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PIPEDA and provincial laws.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Verdict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(product) before 2029 and a rename or coexistence agreement.</w:t>
            </w:r>
            <w:r>
              <w:rPr>
                <w:b w:val="0"/>
                <w:sz w:val="17"/>
              </w:rPr>
              <w:t xml:space="preserve"> Use the US only as an investor and benchmark market.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yet.</w:t>
            </w:r>
          </w:p>
        </w:tc>
      </w:tr>
    </w:tbl>
    <w:p/>
    <w:p>
      <w:pPr>
        <w:pStyle w:val="Heading2"/>
      </w:pPr>
      <w:r>
        <w:t>6. Other emerging markets — India, Bangladesh, Pakistan, Indonesia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Channel reality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Competition / incumbents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Among the highest absolute maternal-death counts (IHME, above); state-level buying; Ayushman Bharat Digital Mission creates interoperability rails.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 states; Hindi + 20 languages; ASHA community workers; very price-sensitive; strong local start-up ecosystem.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platforms (RCH portal, Kilkari SMS programme), ARMMAN (mMitra — large NGO programme), many start-ups.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enter yet.</w:t>
            </w:r>
            <w:r>
              <w:rPr>
                <w:b w:val="0"/>
                <w:sz w:val="17"/>
              </w:rPr>
              <w:t xml:space="preserve"> Highest raw score among emerging markets (59.0) but the lowest feasibility for a UK pre-seed company; revisit via a licensing partner only.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Bangladesh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need; strong NGO sector (BRAC); mobile health precedents (Aponjon).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NGO-led; donor-driven; Bangla content.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Aponjon (MAMA programme legacy), BRAC digital programmes.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not enter yet.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Pakistan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Very high absolute burden; Lady Health Worker programme.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Provincial; security and FX risk; Urdu/regional languages.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Sehat Kahani, various donor pilots.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not enter yet.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Indonesia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population; archipelago logistics; national SATUSEHAT platform.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Bahasa; regulatory localisation; strong local players (Halodoc, Alodokter).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Local telehealth incumbents.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not enter yet.</w:t>
            </w:r>
          </w:p>
        </w:tc>
      </w:tr>
    </w:tbl>
    <w:p/>
    <w:p>
      <w:r>
        <w:t>Rule for all four: Vytalix E-Learning may sell into these markets from day one (self-serve, regional pricing); Vytalix Consulting may accept donor-funded work; the product does not enter without a licensing partner and dedicated capital.</w:t>
      </w:r>
    </w:p>
    <w:p>
      <w:pPr>
        <w:pStyle w:val="Heading2"/>
      </w:pPr>
      <w:r>
        <w:t>7. Market score table</w:t>
      </w:r>
    </w:p>
    <w:p>
      <w:r>
        <w:t xml:space="preserve">Method: eleven criteria scored 0–10 (10 = most favourable to Vytalix; "customer acquisition difficulty" is inverted so that 10 = easiest); weights sum to 100; raw score = weighted sum/10. A </w:t>
      </w:r>
      <w:r>
        <w:rPr>
          <w:b/>
        </w:rPr>
        <w:t>feasibility gate (0–1)</w:t>
      </w:r>
      <w:r>
        <w:t xml:space="preserve"> then discounts for what Vytalix can actually reach in 2026–28 given a solo founder, GBP-denominated pre-seed capital, existing conversations and regulatory cost. All scores are desk ESTIMATES; re-score quarterly and after every market visit.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Weight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 size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Regulation (ease and clarity)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Competition (room for a new entrant)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infrastructure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Healthcare infrastructure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opportunity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(grants, donors, investors reachable)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Partnership potential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 acquisition (ease)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potential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Size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Reg.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Comp.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Digital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Health infra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Govt opp.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Funding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Partners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Acquisition ease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Revenue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Raw /100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Feasibility gate</w:t>
            </w:r>
          </w:p>
        </w:tc>
        <w:tc>
          <w:tcPr>
            <w:tcW w:type="dxa" w:w="64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Adjusted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67.9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67.9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61.3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55.2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59.0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17.7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58.9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47.1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58.3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11.7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Ghana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54.6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38.2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Rwanda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54.5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32.7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Europe (IE/NL/Nordics proxy)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53.3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26.7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Saudi Arabia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51.9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15.6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UAE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51.1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20.4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Africa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50.9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25.5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Indonesia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50.8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10.2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Bangladesh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50.2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15.1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Ethiopia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50.0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20.0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Canada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49.5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14.9</w:t>
            </w:r>
          </w:p>
        </w:tc>
      </w:tr>
      <w:tr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Pakistan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48.1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64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9.6</w:t>
            </w:r>
          </w:p>
        </w:tc>
      </w:tr>
    </w:tbl>
    <w:p/>
    <w:p>
      <w:r>
        <w:t>Sensitivity: the UK ranks first under any weighting that gives funding and partnerships at least 15 points combined; Nigeria overtakes the UK only if "need" is weighted above 25 and feasibility is ignored; Kenya overtakes Nigeria if the Nigeria feasibility gate falls below 0.75 (i.e., if the Ekiti relationship proves non-transferable and no alternative state partner is found within two quarters).</w:t>
      </w:r>
    </w:p>
    <w:p>
      <w:pPr>
        <w:pStyle w:val="Heading2"/>
      </w:pPr>
      <w:r>
        <w:t>8. Entry sequence and verdicts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Wave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Window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 and mode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Go signal (must be true to start)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No-go / exit signal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Now–month 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UK — services only</w:t>
            </w:r>
            <w:r>
              <w:rPr>
                <w:b w:val="0"/>
                <w:sz w:val="17"/>
              </w:rPr>
              <w:t xml:space="preserve"> (Advisory, Consulting); E-Learning global self-serve from month 9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Incorporated; name cleared; PI insurance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&lt;1 signed engagement by month 3 (</w:t>
            </w:r>
            <w:r>
              <w:rPr>
                <w:rFonts w:ascii="Consolas" w:hAnsi="Consolas"/>
                <w:b w:val="0"/>
                <w:sz w:val="17"/>
              </w:rPr>
              <w:t>01_BUSINESS_MODEL.md</w:t>
            </w:r>
            <w:r>
              <w:rPr>
                <w:b w:val="0"/>
                <w:sz w:val="17"/>
              </w:rPr>
              <w:t xml:space="preserve"> §8)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Months 6–18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UK — MaternaLink design partner</w:t>
            </w:r>
            <w:r>
              <w:rPr>
                <w:b w:val="0"/>
                <w:sz w:val="17"/>
              </w:rPr>
              <w:t xml:space="preserve"> (one trust, unpaid) · </w:t>
            </w:r>
            <w:r>
              <w:rPr>
                <w:b/>
                <w:sz w:val="17"/>
              </w:rPr>
              <w:t>Nigeria — NGO/donor-funded cohort</w:t>
            </w:r>
            <w:r>
              <w:rPr>
                <w:b w:val="0"/>
                <w:sz w:val="17"/>
              </w:rPr>
              <w:t xml:space="preserve"> in a scored state, or a complementarity agreement with mDoc in Ekiti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assigned; prototype audited; CSO appointed; DPIA done; a clinical adviser; a Nigerian implementing partner with an existing cohort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UK trust interest after 10 approaches → product focuses Africa/private; no Nigerian partner within two quarters → pause Nigeria, advance Kenya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Months 18–36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UK — paid pilots (2–3 trusts, private maternity)</w:t>
            </w:r>
            <w:r>
              <w:rPr>
                <w:b w:val="0"/>
                <w:sz w:val="17"/>
              </w:rPr>
              <w:t xml:space="preserve"> · </w:t>
            </w:r>
            <w:r>
              <w:rPr>
                <w:b/>
                <w:sz w:val="17"/>
              </w:rPr>
              <w:t>Kenya — county or NGO programme</w:t>
            </w:r>
            <w:r>
              <w:rPr>
                <w:b w:val="0"/>
                <w:sz w:val="17"/>
              </w:rPr>
              <w:t xml:space="preserve"> positioned on facility coordination/referral alongside PROMPTS-type messaging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service-evaluation evidence and safety case; Kenya partner (NGO or county) and ODPC registration; SMS cost model validated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Pilot NPS/usage below thresholds in </w:t>
            </w:r>
            <w:r>
              <w:rPr>
                <w:rFonts w:ascii="Consolas" w:hAnsi="Consolas"/>
                <w:b w:val="0"/>
                <w:sz w:val="17"/>
              </w:rPr>
              <w:t>04_MATERNALINK_PRODUCT_STRATEGY.md</w:t>
            </w:r>
            <w:r>
              <w:rPr>
                <w:b w:val="0"/>
                <w:sz w:val="17"/>
              </w:rPr>
              <w:t xml:space="preserve"> §24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2028+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Ghana, Rwanda</w:t>
            </w:r>
            <w:r>
              <w:rPr>
                <w:b w:val="0"/>
                <w:sz w:val="17"/>
              </w:rPr>
              <w:t xml:space="preserve"> via a regional implementing partner; </w:t>
            </w:r>
            <w:r>
              <w:rPr>
                <w:b/>
                <w:sz w:val="17"/>
              </w:rPr>
              <w:t>Nigeria second state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Positive evaluation from wave 1–2; Series A or equivalent grant portfolio; local hosting option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Absent evidence → stay at two African markets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2029+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Ireland, Gulf, North America</w:t>
            </w:r>
            <w:r>
              <w:rPr>
                <w:b w:val="0"/>
                <w:sz w:val="17"/>
              </w:rPr>
              <w:t xml:space="preserve"> — partner-led or licensing only; </w:t>
            </w:r>
            <w:r>
              <w:rPr>
                <w:b/>
                <w:sz w:val="17"/>
              </w:rPr>
              <w:t>South Africa, Ethiopia, South Asia, Indonesia</w:t>
            </w:r>
            <w:r>
              <w:rPr>
                <w:b w:val="0"/>
                <w:sz w:val="17"/>
              </w:rPr>
              <w:t xml:space="preserve"> — licensing only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position resolved (US); localisation budget; a channel partner per market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enter direct</w:t>
            </w:r>
          </w:p>
        </w:tc>
      </w:tr>
    </w:tbl>
    <w:p/>
    <w:p>
      <w:r>
        <w:rPr>
          <w:b/>
        </w:rPr>
        <w:t>"Do not enter yet" verdicts (product), with the single fact that would change each:</w:t>
      </w:r>
      <w:r>
        <w:t xml:space="preserve"> Europe (a national single-buyer tender in Ireland); UAE/Saudi (a distribution partner willing to fund localisation); USA/Canada (a coexistence agreement or rename, plus Series A); South Africa (a private-scheme partner); Ethiopia (foreign-operating rules and connectivity); India/Bangladesh/Pakistan/Indonesia (a licensing partner with an existing cohort and local capital).</w:t>
      </w:r>
    </w:p>
    <w:p>
      <w:pPr>
        <w:pStyle w:val="Heading2"/>
      </w:pPr>
      <w:r>
        <w:t>9. Go-to-market plays per market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Lead pillar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Wedge offer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Channel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 anchor (ESTIMATE)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12-month target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→ Health Solutions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C8 inequalities review; C3 readiness review; unpaid design partnership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Networks, LMNS, MNVPs, clinical advisor, sourced report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£14k–£28k per sprint; pilot £20k–£60k (later)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sprints; 1 design partner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→ Health Solutions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Re-scoped, partner-aware pilot (≤ £0.5m/yr programme envelope; platform £6–£40/woman/yr)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Implementing NGO; state MoH/SPHCDA; donor programme officers; diaspora clinician networks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Platform £6–£40/woman/yr + SMS pass-through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NGO/donor cohort scoped; Ekiti status resolved; mDoc conversation held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→ Health Solutions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County/NGO facility-coordination and referral module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Africa's Talking-type gateway; NGO partner; county health executive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£3–£12/enrolled pregnancy (insurer/HMO) or programme licence £8k–£60k/yr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discovery visits; 1 partner LOI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Ghana / Rwanda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Market-entry scans for third parties (C5) that double as Vytalix's own intelligence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Donor programmes; regional health-tech networks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C5 £20k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paid scan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Europe / Gulf / North America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(C4 UK Market-Entry Playbook for inbound vendors)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Serve vendors entering the NHS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accelerators; investors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C4 £22k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1–2 engagements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Asia / Indonesia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Regionally-priced courses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Self-serve; professional associations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£10–£40/course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 learners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UK: 15 discovery interviews (midwives, digital midwives, LMNS leads, private units) by day 60; two consulting proposals to LMNS/trusts by day 90; one design-partner conversation opened through a clinical advisor.</w:t>
      </w:r>
    </w:p>
    <w:p>
      <w:pPr>
        <w:pStyle w:val="ListNumber"/>
      </w:pPr>
      <w:r>
        <w:t>Nigeria: resolve the Ekiti status in one call; one exploratory conversation with mDoc on complementarity; commission (internally) the state scorecard field scan for Oyo and Kano.</w:t>
      </w:r>
    </w:p>
    <w:p>
      <w:pPr>
        <w:pStyle w:val="ListNumber"/>
      </w:pPr>
      <w:r>
        <w:t>Kenya: desk research into county priorities and SHA maternity coverage; two partner conversations (an NGO and a messaging gateway) by month 6.</w:t>
      </w:r>
    </w:p>
    <w:p>
      <w:pPr>
        <w:pStyle w:val="ListNumber"/>
      </w:pPr>
      <w:r>
        <w:t>Keep every other market to consulting and e-learning only; record inbound interest in the CRM, do not chase.</w:t>
      </w:r>
    </w:p>
    <w:p>
      <w:pPr>
        <w:pStyle w:val="ListNumber"/>
      </w:pPr>
      <w:r>
        <w:t>Re-run the score table at month 6 with field data and the FCDO/donor funding calendar.</w:t>
      </w:r>
    </w:p>
    <w:p>
      <w:r>
        <w:rPr>
          <w:b/>
        </w:rPr>
        <w:t>Risks</w:t>
      </w:r>
    </w:p>
    <w:p>
      <w:pPr>
        <w:pStyle w:val="ListBullet"/>
      </w:pPr>
      <w:r>
        <w:t>UK reorganisation (NHS England into DHSC; ICB cost cuts) delays commissioning decisions → sell to trusts and LMNSs, not to bodies being restructured.</w:t>
      </w:r>
    </w:p>
    <w:p>
      <w:pPr>
        <w:pStyle w:val="ListBullet"/>
      </w:pPr>
      <w:r>
        <w:t>Nigeria: the Ekiti relationship is not transferable to Vytalix, or the state has moved on → the state scorecard is the mitigation; NGO cohorts do not depend on any one ministry.</w:t>
      </w:r>
    </w:p>
    <w:p>
      <w:pPr>
        <w:pStyle w:val="ListBullet"/>
      </w:pPr>
      <w:r>
        <w:t>Kenya: PROMPTS' &lt;$1/mother benchmark makes any per-woman price above a few dollars look unrealistic for messaging alone → position on coordination and facility workflow, price to the programme not the message.</w:t>
      </w:r>
    </w:p>
    <w:p>
      <w:pPr>
        <w:pStyle w:val="ListBullet"/>
      </w:pPr>
      <w:r>
        <w:t>Naming collision blocks any North American ambition → resolve trademark strategy before an investor asks about the US.</w:t>
      </w:r>
    </w:p>
    <w:p>
      <w:pPr>
        <w:pStyle w:val="ListBullet"/>
      </w:pPr>
      <w:r>
        <w:t>Founder capacity: each additional market costs ~20 days/year of unbilled time → no more than two active product markets before 2028.</w:t>
      </w:r>
    </w:p>
    <w:p>
      <w:r>
        <w:rPr>
          <w:b/>
        </w:rPr>
        <w:t>Next actions</w:t>
      </w:r>
    </w:p>
    <w:p>
      <w:pPr>
        <w:pStyle w:val="ListBullet"/>
      </w:pPr>
      <w:r>
        <w:t>Week 1–2: build the UK interview list (40 names, roles not people, from public sources) in the CRM; draft the interview guide.</w:t>
      </w:r>
    </w:p>
    <w:p>
      <w:pPr>
        <w:pStyle w:val="ListBullet"/>
      </w:pPr>
      <w:r>
        <w:t>Week 2: Ekiti status call; mDoc outreach email (see partnership strategy for wording rules — no claimed relationship).</w:t>
      </w:r>
    </w:p>
    <w:p>
      <w:pPr>
        <w:pStyle w:val="ListBullet"/>
      </w:pPr>
      <w:r>
        <w:t>Week 3–6: state scorecard desk phase; Kenya partner desk research; verify every web-cited figure above against the primary source and record the check date.</w:t>
      </w:r>
    </w:p>
    <w:p>
      <w:pPr>
        <w:pStyle w:val="ListBullet"/>
      </w:pPr>
      <w:r>
        <w:t>Month 3: first re-score; decide whether Kenya moves ahead of a second Nigerian state.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