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12 — VYTALIX PARTNERSHIP STRATEGY</w:t>
      </w:r>
    </w:p>
    <w:p>
      <w:r>
        <w:rPr>
          <w:b/>
        </w:rPr>
        <w:t>Owner:</w:t>
      </w:r>
      <w:r>
        <w:t xml:space="preserve"> Chief Strategy Officer · </w:t>
      </w:r>
      <w:r>
        <w:rPr>
          <w:b/>
        </w:rPr>
        <w:t>Status:</w:t>
      </w:r>
      <w:r>
        <w:t xml:space="preserve"> PROPOSED v1 · </w:t>
      </w:r>
      <w:r>
        <w:rPr>
          <w:b/>
        </w:rPr>
        <w:t>Date:</w:t>
      </w:r>
      <w:r>
        <w:t xml:space="preserve"> 8 September 2026 · </w:t>
      </w:r>
      <w:r>
        <w:rPr>
          <w:b/>
        </w:rPr>
        <w:t>Governing file: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 xml:space="preserve"> (KNOWN / VERIFIED / ASSUMPTION / ESTIMATE / PROPOSED / TO VALIDATE apply throughout). </w:t>
      </w:r>
      <w:r>
        <w:rPr>
          <w:b/>
        </w:rPr>
        <w:t>Vytalix has no partners today</w:t>
      </w:r>
      <w:r>
        <w:t xml:space="preserve"> — no MoU, LOI, contract, grant, membership or introduction with any organisation named in this document (VERIFIED absence, FACTS_BASE §1). Every organisation below is named as a public institution and a target; nothing here may be read, quoted or presented as a relationship. Every score is a desk ESTIMATE to be re-scored after first contact.</w:t>
      </w:r>
    </w:p>
    <w:p>
      <w:pPr>
        <w:pStyle w:val="Heading2"/>
      </w:pPr>
      <w:r>
        <w:t>Executive view</w:t>
      </w:r>
    </w:p>
    <w:p>
      <w:pPr>
        <w:pStyle w:val="ListNumber"/>
      </w:pPr>
      <w:r>
        <w:rPr>
          <w:b/>
        </w:rPr>
        <w:t>Partnerships are the route to market for everything Vytalix cannot buy or build alone: NHS access, clinical credibility, an African cohort, evidence, and non-dilutive money.</w:t>
      </w:r>
      <w:r>
        <w:t xml:space="preserve"> A solo, pre-formation founder has no references; partners substitute for them. The plan therefore treats partnerships as the second commercial engine beside founder-led services, not as a corporate-development afterthought.</w:t>
      </w:r>
    </w:p>
    <w:p>
      <w:pPr>
        <w:pStyle w:val="ListNumber"/>
      </w:pPr>
      <w:r>
        <w:rPr>
          <w:b/>
        </w:rPr>
        <w:t>Twenty-five organisations were scored on seven weighted criteria (§3).</w:t>
      </w:r>
      <w:r>
        <w:t xml:space="preserve"> The top tier for the next 12 months is a regional Health Innovation Network (86/100), Five X More (76), Africa's Talking (76), Society for Family Health Nigeria (74) and the DigitalHealth.London Accelerator (73) — organisations that are reachable by a solo founder, low-cost to engage and directly unlock either NHS introductions, community co-design, a Nigerian cohort or the messaging rail MaternaLink (in development) needs.</w:t>
      </w:r>
    </w:p>
    <w:p>
      <w:pPr>
        <w:pStyle w:val="ListNumber"/>
      </w:pPr>
      <w:r>
        <w:rPr>
          <w:b/>
        </w:rPr>
        <w:t>Three relationships are gated, not scored down: mDoc, MSD for Mothers and any government.</w:t>
      </w:r>
      <w:r>
        <w:t xml:space="preserve"> mDoc is the funded incumbent in Ekiti (VERIFIED); MSD for Mothers funds it. Both are approached only with complementarity language, never with the March 2026 Ekiti proposal, and only after the MaternaLink IP question is settled (FACTS_BASE §1). Government relationships are pursued through implementing partners and donors, and an MoU is never described as a "government partnership".</w:t>
      </w:r>
    </w:p>
    <w:p>
      <w:pPr>
        <w:pStyle w:val="ListNumber"/>
      </w:pPr>
      <w:r>
        <w:rPr>
          <w:b/>
        </w:rPr>
        <w:t>Six partnership models are used (§4) and each has a default contract form and an economic rule:</w:t>
      </w:r>
      <w:r>
        <w:t xml:space="preserve"> referral (fee-transparent, Bribery Act-safe), co-development (paid community partners, joint IP terms), distribution (revenue share 10–30%, ESTIMATE), data (controller/processor clarity, no individual data to insurers), research (co-applicant, shared authorship, ethics first), funding (grants where a UK entity and a clinical partner exist). Charities and community organisations are always paid for co-design; unpaid "endorsement" is never asked for.</w:t>
      </w:r>
    </w:p>
    <w:p>
      <w:pPr>
        <w:pStyle w:val="ListNumber"/>
      </w:pPr>
      <w:r>
        <w:rPr>
          <w:b/>
        </w:rPr>
        <w:t>The 12-month plan (§5) targets, by month 12: one Health Innovation Network programme place, two paid community co-design agreements, one university co-applicant agreement, one Nigerian implementing-partner LOI for a cohort, one messaging-gateway pilot account, one NHS design-partner conversation opened through a clinical adviser, and two joint grant bids submitted</w:t>
      </w:r>
      <w:r>
        <w:t xml:space="preserve"> (PROPOSED). None of these is revenue in year 1; all of them are what an investor, a trust or a ministry will ask to see in year 2.</w:t>
      </w:r>
    </w:p>
    <w:p>
      <w:pPr>
        <w:pStyle w:val="Heading2"/>
      </w:pPr>
      <w:r>
        <w:t>0. Method, definitions and rules of engagement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Term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Meaning in this document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An organisation with which Vytalix has a written arrangement (LOI, MoU, agreement, programme place, grant award, sub-contract). Until a document exists, an organisation is a </w:t>
            </w:r>
            <w:r>
              <w:rPr>
                <w:b/>
                <w:sz w:val="17"/>
              </w:rPr>
              <w:t>target</w:t>
            </w:r>
            <w:r>
              <w:rPr>
                <w:b w:val="0"/>
                <w:sz w:val="17"/>
              </w:rPr>
              <w:t xml:space="preserve">, and a conversation is a </w:t>
            </w:r>
            <w:r>
              <w:rPr>
                <w:b/>
                <w:sz w:val="17"/>
              </w:rPr>
              <w:t>conversation</w:t>
            </w:r>
            <w:r>
              <w:rPr>
                <w:b w:val="0"/>
                <w:sz w:val="17"/>
              </w:rPr>
              <w:t>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Ecosystem ring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Ring 1 = controls access to buyers or users; Ring 2 = confers credibility or evidence; Ring 3 = supplies money, rails or reach. Many organisations sit in two rings.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of six structures in §4: referral, co-development, distribution, data, research, funding (plus sub-contracting and content licensing as variants).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Seven weighted criteria in §2; 0–100; ESTIMATE.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Horizon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Now</w:t>
            </w:r>
            <w:r>
              <w:rPr>
                <w:b w:val="0"/>
                <w:sz w:val="17"/>
              </w:rPr>
              <w:t xml:space="preserve"> (first contact within 90 days of incorporation); </w:t>
            </w:r>
            <w:r>
              <w:rPr>
                <w:b/>
                <w:sz w:val="17"/>
              </w:rPr>
              <w:t>6m</w:t>
            </w:r>
            <w:r>
              <w:rPr>
                <w:b w:val="0"/>
                <w:sz w:val="17"/>
              </w:rPr>
              <w:t xml:space="preserve">; </w:t>
            </w:r>
            <w:r>
              <w:rPr>
                <w:b/>
                <w:sz w:val="17"/>
              </w:rPr>
              <w:t>12m</w:t>
            </w:r>
            <w:r>
              <w:rPr>
                <w:b w:val="0"/>
                <w:sz w:val="17"/>
              </w:rPr>
              <w:t xml:space="preserve">; </w:t>
            </w:r>
            <w:r>
              <w:rPr>
                <w:b/>
                <w:sz w:val="17"/>
              </w:rPr>
              <w:t>24m+</w:t>
            </w:r>
            <w:r>
              <w:rPr>
                <w:b w:val="0"/>
                <w:sz w:val="17"/>
              </w:rPr>
              <w:t>.</w:t>
            </w:r>
          </w:p>
        </w:tc>
      </w:tr>
    </w:tbl>
    <w:p/>
    <w:p>
      <w:r>
        <w:rPr>
          <w:b/>
        </w:rPr>
        <w:t>Rules of engagement (apply to every outreach, deck, website page and investor conversation):</w:t>
      </w:r>
    </w:p>
    <w:p>
      <w:pPr>
        <w:pStyle w:val="ListNumber"/>
      </w:pPr>
      <w:r>
        <w:t>Never name an organisation as a partner, supporter, client, endorser or "in discussion" without a signed document or their written permission for the wording (FACTS_BASE §4).</w:t>
      </w:r>
    </w:p>
    <w:p>
      <w:pPr>
        <w:pStyle w:val="ListNumber"/>
      </w:pPr>
      <w:r>
        <w:t>Never restate the March 2026 Ekiti proposal (£4.5m / £300 per woman per year) to any organisation; it is UNVALIDATED and it is not Vytalix's document (FACTS_BASE §1).</w:t>
      </w:r>
    </w:p>
    <w:p>
      <w:pPr>
        <w:pStyle w:val="ListNumber"/>
      </w:pPr>
      <w:r>
        <w:t>Never approach a donor, ministry or NGO about MaternaLink (in development) until the IP relationship with David Agunede is documented (FACTS_BASE §1). Services and E-Learning partnerships are not gated.</w:t>
      </w:r>
    </w:p>
    <w:p>
      <w:pPr>
        <w:pStyle w:val="ListNumber"/>
      </w:pPr>
      <w:r>
        <w:t>Pay community organisations and charities for co-design, content and listening exercises; do not ask for endorsement, logos or unpaid advocacy.</w:t>
      </w:r>
    </w:p>
    <w:p>
      <w:pPr>
        <w:pStyle w:val="ListNumber"/>
      </w:pPr>
      <w:r>
        <w:t>Referral fees, commissions and revenue shares are written down, disclosed to the end customer where NHS conflict-of-interest guidance or the Bribery Act 2010 requires it, and never paid to public officials or their relatives. A partnership register (see §5.6) records every arrangement.</w:t>
      </w:r>
    </w:p>
    <w:p>
      <w:pPr>
        <w:pStyle w:val="ListNumber"/>
      </w:pPr>
      <w:r>
        <w:t>Contact details are taken only from public sources; where none exist, the CRM records NOT PUBLICLY AVAILABLE.</w:t>
      </w:r>
    </w:p>
    <w:p>
      <w:pPr>
        <w:pStyle w:val="ListNumber"/>
      </w:pPr>
      <w:r>
        <w:t>Every conversation is logged in the CRM within 24 hours with the next dated action (</w:t>
      </w:r>
      <w:r>
        <w:rPr>
          <w:rFonts w:ascii="Consolas" w:hAnsi="Consolas"/>
          <w:sz w:val="18"/>
        </w:rPr>
        <w:t>/docs/13_SALES_ENGINE.md</w:t>
      </w:r>
      <w:r>
        <w:t xml:space="preserve"> discipline applies to partners as to customers).</w:t>
      </w:r>
    </w:p>
    <w:p>
      <w:pPr>
        <w:pStyle w:val="Heading2"/>
      </w:pPr>
      <w:r>
        <w:t>1. Ecosystem map</w:t>
      </w:r>
    </w:p>
    <w:p>
      <w:r>
        <w:t xml:space="preserve">Organisations are named as public institutions. "Role for Vytalix" is a proposal. The final column states which Vytalix pillar the relationship serves: </w:t>
      </w:r>
      <w:r>
        <w:rPr>
          <w:b/>
        </w:rPr>
        <w:t>Adv</w:t>
      </w:r>
      <w:r>
        <w:t xml:space="preserve"> (Advisory), </w:t>
      </w:r>
      <w:r>
        <w:rPr>
          <w:b/>
        </w:rPr>
        <w:t>Con</w:t>
      </w:r>
      <w:r>
        <w:t xml:space="preserve"> (Consulting), </w:t>
      </w:r>
      <w:r>
        <w:rPr>
          <w:b/>
        </w:rPr>
        <w:t>HS</w:t>
      </w:r>
      <w:r>
        <w:t xml:space="preserve"> (Health Solutions — MaternaLink, in development), </w:t>
      </w:r>
      <w:r>
        <w:rPr>
          <w:b/>
        </w:rPr>
        <w:t>EL</w:t>
      </w:r>
      <w:r>
        <w:t xml:space="preserve"> (E-Learning).</w:t>
      </w:r>
    </w:p>
    <w:p>
      <w:pPr>
        <w:pStyle w:val="Heading3"/>
      </w:pPr>
      <w:r>
        <w:t>1.1 United Kingdom — NHS system and public bodies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Partner class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Examples (institutions only)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control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 for Vytalix (PROPOSED)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Ring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Pillar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Horizon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trusts (maternity services)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~120 trusts in England provide maternity care (ESTIMATE; </w:t>
            </w:r>
            <w:r>
              <w:rPr>
                <w:rFonts w:ascii="Consolas" w:hAnsi="Consolas"/>
                <w:b w:val="0"/>
                <w:sz w:val="17"/>
              </w:rPr>
              <w:t>/docs/06_CUSTOMER_SEGMENTS.md</w:t>
            </w:r>
            <w:r>
              <w:rPr>
                <w:b w:val="0"/>
                <w:sz w:val="17"/>
              </w:rPr>
              <w:t xml:space="preserve"> §1.1)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Design-partner slots; Clinical Safety Officer sign-off (DCB0160); service-evaluation data; reference status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unpaid design partner (one community midwifery team) for MaternaLink v1; consulting buyer for C3/C8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 (conversation), 24m+ (paid)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Integrated Care Boards / Local Maternity and Neonatal Systems (LMNS)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 ICBs in England, each hosting an LMNS (</w:t>
            </w:r>
            <w:r>
              <w:rPr>
                <w:rFonts w:ascii="Consolas" w:hAnsi="Consolas"/>
                <w:b w:val="0"/>
                <w:sz w:val="17"/>
              </w:rPr>
              <w:t>/docs/05_MARKET_STRATEGY.md</w:t>
            </w:r>
            <w:r>
              <w:rPr>
                <w:b w:val="0"/>
                <w:sz w:val="17"/>
              </w:rPr>
              <w:t xml:space="preserve"> §1.1)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Equity action plans; improvement budgets; programme sponsorship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Sub-contracted or direct C8 Health Inequalities Review; sponsor for a multi-trust design partnership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Con, 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and Neonatal Voices Partnerships (MNVPs)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per LMNS (structure TO VALIDATE locally)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voice of service users in NHS maternity decisions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Listening-exercise partner for C8; co-design input for MaternaLink (paid for time)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Con, 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Innovation Networks (HINs)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in England, formerly AHSNs (count TO VALIDATE); e.g., Health Innovation Network South London, Health Innovation Manchester, Health Innovation Oxford and Thames Valley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Innovation programmes; trust introductions; real-world evaluation support; NHS market-access advice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place → introductions → evaluation partner; also a quasi-competitor in advice (</w:t>
            </w:r>
            <w:r>
              <w:rPr>
                <w:rFonts w:ascii="Consolas" w:hAnsi="Consolas"/>
                <w:b w:val="0"/>
                <w:sz w:val="17"/>
              </w:rPr>
              <w:t>/docs/11_COMPETITIVE_INTELLIGENCE.md</w:t>
            </w:r>
            <w:r>
              <w:rPr>
                <w:b w:val="0"/>
                <w:sz w:val="17"/>
              </w:rPr>
              <w:t xml:space="preserve"> §4)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NIHR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Applied Research Collaborations (ARCs); Invention for Innovation (i4i); HealthTech Research Centres (HRCs); Research Design Service successor bodies (names TO VALIDATE)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funding for NHS-partnered innovation; methodological support; evaluation credibility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 and evaluation route for the UK feasibility study (2027–28); requires an NHS partner and a UK entity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2, 3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 (prepare), 12m (bid)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England / DHSC bodies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Year Delivery Plan owners; digital maternity record standard; national maternity investigation (2025–26)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Policy pull; standards (PRSB digital maternity record)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Alignment, not partnership: design to the standard; respond to consultations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NICE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 Standards Framework (ESF) for digital health technologies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Evidence-tier expectations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Alignment target for the evidence plan; no partnership sought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Professional bodies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Royal College of Midwives (RCM); Royal College of Obstetricians and Gynaecologists (RCOG)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Professional trust; content standards; CPD channels; conference access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Content-licensing conversation (RCOG patient information TO VALIDATE); CPD/E-Learning alignment; speaking slots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EL, 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Accelerators and programmes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DigitalHealth.London Accelerator; NHS Clinical Entrepreneur Programme (eligibility TO VALIDATE); NHS Innovation Accelerator (later stage); SBRI Healthcare (funding competitions)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Cohort places; NHS mentors; investor and trust exposure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Apply once incorporated; use for introductions and credibility; SBRI as a funding route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1, 2, 3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Adv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Standards and interoperability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PRSB; HL7 UK / FHIR UK Core; NHS DTAC owners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Interoperability standards; assurance expectations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Design-to-standard; DTAC readiness for v1; integration (v2)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</w:tbl>
    <w:p/>
    <w:p>
      <w:pPr>
        <w:pStyle w:val="Heading3"/>
      </w:pPr>
      <w:r>
        <w:t>1.2 United Kingdom — private providers, charities, universities, insurers, employers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Partner class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Examples (institutions only)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control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 for Vytalix (PROPOSED)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Ring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Pillar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Horizon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Private hospital groups and maternity units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HCA Healthcare UK (The Portland Hospital), Spire, Nuffield Health, Circle Health; the Kensington Wing and Lindo Wing (NHS private units)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Fast decisions; premium client experience budgets; fewer IG barriers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 buyer (C1) and a faster MaternaLink pilot market (</w:t>
            </w:r>
            <w:r>
              <w:rPr>
                <w:rFonts w:ascii="Consolas" w:hAnsi="Consolas"/>
                <w:b w:val="0"/>
                <w:sz w:val="17"/>
              </w:rPr>
              <w:t>/docs/06_CUSTOMER_SEGMENTS.md</w:t>
            </w:r>
            <w:r>
              <w:rPr>
                <w:b w:val="0"/>
                <w:sz w:val="17"/>
              </w:rPr>
              <w:t xml:space="preserve"> §1.2–1.3); distribution partner for E-Learning to staff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Con, 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6m–12m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Maternal-health research charities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Tommy's; Wellbeing of Women; Sands; Bliss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 funding; public trust; content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 co-funding conversations; content signposting and licensing (never duplicate free information); joint events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2, 3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EL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Advocacy and community organisations (Black maternal health, rights)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Five X More; Birthrights; Maternity Action; Black Mothers Matter-type community groups (TO VALIDATE current organisations); Best Beginnings (Baby Buddy app)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Community trust; lived-experience input; policy voice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Paid</w:t>
            </w:r>
            <w:r>
              <w:rPr>
                <w:b w:val="0"/>
                <w:sz w:val="17"/>
              </w:rPr>
              <w:t xml:space="preserve"> co-design, listening exercises and content review for MaternaLink and for C8 reviews; content signposting (Baby Buddy)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Parenting and antenatal organisations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NCT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Antenatal education reach; parent trust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 and distribution conversation for the woman-facing layer (later)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EL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Universities — maternal-health research groups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NPEU (University of Oxford); King's College London; University of Manchester; LSHTM MARCH Centre; City St George's, University of London (midwifery — TO VALIDATE current name); Liverpool School of Tropical Medicine (LSTM) for Africa evaluation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Methodology; ethics routes; NIHR/UKRI/Wellcome co-applications; students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Service-evaluation and feasibility-study partner (2027–28); v3 research-track partner; E-Learning licences and guest lectures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2, 3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EL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Insurers and benefits platforms (UK)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Bupa; AXA Health; Vitality; Aviva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Employer maternity benefits; member communications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Discovery interviews only in 2026; benefit-bundle distribution 24m+ (</w:t>
            </w:r>
            <w:r>
              <w:rPr>
                <w:rFonts w:ascii="Consolas" w:hAnsi="Consolas"/>
                <w:b w:val="0"/>
                <w:sz w:val="17"/>
              </w:rPr>
              <w:t>/docs/04_MATERNALINK_PRODUCT_STRATEGY.md</w:t>
            </w:r>
            <w:r>
              <w:rPr>
                <w:b w:val="0"/>
                <w:sz w:val="17"/>
              </w:rPr>
              <w:t xml:space="preserve"> §14)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24m+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Employers and benefits consultancies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Large employers with DEI/maternity-return programmes; benefits consultancies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Workshop and E-Learning budgets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 and workshop distribution; no product claims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EL, Con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Consultancies (as primes)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 Consulting; Carnall Farrar; Deloitte (</w:t>
            </w:r>
            <w:r>
              <w:rPr>
                <w:rFonts w:ascii="Consolas" w:hAnsi="Consolas"/>
                <w:b w:val="0"/>
                <w:sz w:val="17"/>
              </w:rPr>
              <w:t>/docs/11_COMPETITIVE_INTELLIGENCE.md</w:t>
            </w:r>
            <w:r>
              <w:rPr>
                <w:b w:val="0"/>
                <w:sz w:val="17"/>
              </w:rPr>
              <w:t xml:space="preserve"> §4)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frameworks; large programmes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Sub-contract route for NHS consulting until Vytalix holds a framework place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 vendors (UK maternity)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System C (BadgerNet Maternity); K2 Medical Systems; Magentus (Euroking)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maternity record in most trusts; integration gateways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Integration-first posture (v2); "layer beside the record"; possible channel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</w:tbl>
    <w:p/>
    <w:p>
      <w:pPr>
        <w:pStyle w:val="Heading3"/>
      </w:pPr>
      <w:r>
        <w:t>1.3 Africa — governments, programmes, NGOs, rails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Partner class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Examples (institutions only)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control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 for Vytalix (PROPOSED)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Ring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Pillar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Horizon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— federal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Federal Ministry of Health and Social Welfare; National Primary Health Care Development Agency (NPHCDA); National Health Insurance Authority (NHIA); digital-health governance bodies (current names TO VALIDATE)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National digital-health strategy; PHC standards; insurance rules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Alignment and registration; no early partnership sought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— state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Ekiti State Ministry of Health (one prior conversation by David Agunede, outcome unknown); Lagos State MoH (works with mDoc); candidate states Oyo, Kano, Ondo, Osun, Kwara (</w:t>
            </w:r>
            <w:r>
              <w:rPr>
                <w:rFonts w:ascii="Consolas" w:hAnsi="Consolas"/>
                <w:b w:val="0"/>
                <w:sz w:val="17"/>
              </w:rPr>
              <w:t>/docs/05_MARKET_STRATEGY.md</w:t>
            </w:r>
            <w:r>
              <w:rPr>
                <w:b w:val="0"/>
                <w:sz w:val="17"/>
              </w:rPr>
              <w:t xml:space="preserve"> §2.1); State Primary Health Care Development Agencies (SPHCDAs); state health insurance agencies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LGA access; CHEW workforce; data ownership; budget lines (usually donor-backed)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 host via an implementing partner; MoU → pilot agreement → contract sequence (</w:t>
            </w:r>
            <w:r>
              <w:rPr>
                <w:rFonts w:ascii="Consolas" w:hAnsi="Consolas"/>
                <w:b w:val="0"/>
                <w:sz w:val="17"/>
              </w:rPr>
              <w:t>/docs/04_MATERNALINK_PRODUCT_STRATEGY.md</w:t>
            </w:r>
            <w:r>
              <w:rPr>
                <w:b w:val="0"/>
                <w:sz w:val="17"/>
              </w:rPr>
              <w:t xml:space="preserve"> §12)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Adv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12m–24m+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Ministry of Health; county health departments (47); Social Health Authority (SHA) — maternity coverage under transition (TO VALIDATE)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County procurement; facility networks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Second African market (months 18–36); county or NGO programme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24m+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Ghana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Ghana Health Service; National Health Insurance Authority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Centralised buyer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"Prepare, do not enter" until 2028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24m+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Incumbent programmes (complement, not compete)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mDoc (Digital Mom Project, Ekiti and Lagos, funded by MSD for Mothers — VERIFIED); Jacaranda Health (PROMPTS, Kenya); Helium Health (facility records, Nigeria)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Enrolled women; provider networks; donor goodwill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Complementarity conversations (facility-side coordination, handover, CHEW workflow); integration-ready posture with Helium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 (conversation), 12m (agreement)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Implementing NGOs — Nigeria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Society for Family Health Nigeria; Wellbeing Foundation Africa; Nigeria Health Watch (convenor/advocacy, not implementer); Pathfinder International Nigeria; Jhpiego Nigeria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Cohorts in LGAs; CHEW training; donor reporting; ethics routes (NHREC/state)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fastest route to a cohort: programme-licence host; joint grant applicant; evaluation co-author (</w:t>
            </w:r>
            <w:r>
              <w:rPr>
                <w:rFonts w:ascii="Consolas" w:hAnsi="Consolas"/>
                <w:b w:val="0"/>
                <w:sz w:val="17"/>
              </w:rPr>
              <w:t>/docs/04_MATERNALINK_PRODUCT_STRATEGY.md</w:t>
            </w:r>
            <w:r>
              <w:rPr>
                <w:b w:val="0"/>
                <w:sz w:val="17"/>
              </w:rPr>
              <w:t xml:space="preserve"> §13)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Implementing NGOs — Kenya and regional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Amref Health Africa; Living Goods; Jacaranda Health; Population Services Kenya (TO VALIDATE current structure)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CHW networks; county relationships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 entry partner (2027–28)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24m+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International NGOs and technical agencies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Jhpiego; PATH; MSI Reproductive Choices; Population Council; Save the Children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Large maternal-health programmes; digital-health technical leadership (PATH); country offices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Sub-contract, joint bids, programme licence; evaluation credibility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6m–12m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Multilateral programmes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WHO (Digital Adaptation Kit for antenatal care; SMART guidelines); UNFPA (maternal health and innovation calls); UNICEF (Office of Innovation, country programmes); World Bank Global Financing Facility (GFF)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Standards; funding windows; ministry influence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 to WHO ANC digital adaptation kit; UNFPA/UNICEF innovation calls (eligibility TO VALIDATE); GFF-financed state plans as budget context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2, 3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 (alignment), 12m (calls)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Bilateral development organisations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FCDO (UK-funded health programmes and research); GIZ; USAID (restructured into the US State Department in 2025 — funding landscape TO VALIDATE); Global Affairs Canada via Grand Challenges Canada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funding through primes; research calls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Sub-contract to primes; FCDO-funded research consortia via UK universities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Foundations and corporate programmes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MSD for Mothers (funds mDoc — VERIFIED); Gates Foundation / Grand Challenges; Children's Investment Fund Foundation (CIFF); Wellcome; ELMA Philanthropies; Aliko Dangote Foundation; TY Danjuma Foundation (Nigeria; fit TO VALIDATE)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Non-dilutive funding; programme partnerships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applications with an NGO or university lead; MSD for Mothers approached only with complementarity to its existing grantee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 (prepare), 12m (bid)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Telecoms and messaging rails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MTN Nigeria / MTN Foundation; Airtel Africa; Safaricom (M-Pesa; M-TIBA health-payments platform with CarePay); Africa's Talking; Termii; Twilio; Vodafone Foundation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SMS/USSD/WhatsApp/voice rails; sender-ID and DND compliance; zero-rating; health propositions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Gateway account (Now); telco bundle/white-label channel (24m+, </w:t>
            </w:r>
            <w:r>
              <w:rPr>
                <w:rFonts w:ascii="Consolas" w:hAnsi="Consolas"/>
                <w:b w:val="0"/>
                <w:sz w:val="17"/>
              </w:rPr>
              <w:t>/docs/01_BUSINESS_MODEL.md</w:t>
            </w:r>
            <w:r>
              <w:rPr>
                <w:b w:val="0"/>
                <w:sz w:val="17"/>
              </w:rPr>
              <w:t xml:space="preserve"> stream #13)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 (gateway), 24m+ (telco)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Insurers and HMOs — Africa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Nigeria: AXA Mansard Health, Hygeia HMO, Reliance Health, Leadway Health; state health insurance agencies; Kenya: Jubilee Health, Britam, SHA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Enrolled women with a financial interest in ANC adherence and facility delivery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Engagement-fee pricing with aggregate adherence dashboards; no individual clinical data; 24m+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24m+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Banks and development finance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Access Bank (women's banking programmes), Standard Chartered (community programmes), First Bank — CSR fit TO VALIDATE; British International Investment (BII); IFC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CSR budgets; later-stage capital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Opportunistic CSR co-funding of a cohort; DFI conversations only at Series 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24m+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Diaspora and convening bodies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Nigerian and Kenyan clinician associations in the UK (e.g., MANSAG-type associations — TO VALIDATE); Nigeria Health Watch (Future of Health conference)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Trusted introductions; convening platforms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Advisory-board sourcing; speaking; warm introductions to state and NGO leaders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Adv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</w:tbl>
    <w:p/>
    <w:p>
      <w:pPr>
        <w:pStyle w:val="Heading3"/>
      </w:pPr>
      <w:r>
        <w:t>1.4 Reading the map</w:t>
      </w:r>
    </w:p>
    <w:p>
      <w:pPr>
        <w:pStyle w:val="ListBullet"/>
      </w:pPr>
      <w:r>
        <w:rPr>
          <w:b/>
        </w:rPr>
        <w:t>Only four classes are reachable and useful in the next 90 days without an entity or IP resolution</w:t>
      </w:r>
      <w:r>
        <w:t>: Health Innovation Networks and accelerators (applications), community organisations (paid co-design for services work), messaging gateways (a developer account) and diaspora/convening bodies (introductions).</w:t>
      </w:r>
    </w:p>
    <w:p>
      <w:pPr>
        <w:pStyle w:val="ListBullet"/>
      </w:pPr>
      <w:r>
        <w:rPr>
          <w:b/>
        </w:rPr>
        <w:t>Every African government relationship runs through a Ring 1 implementing partner or a Ring 3 funder</w:t>
      </w:r>
      <w:r>
        <w:t>; Vytalix does not approach a ministry alone (</w:t>
      </w:r>
      <w:r>
        <w:rPr>
          <w:rFonts w:ascii="Consolas" w:hAnsi="Consolas"/>
          <w:sz w:val="18"/>
        </w:rPr>
        <w:t>/docs/04_MATERNALINK_PRODUCT_STRATEGY.md</w:t>
      </w:r>
      <w:r>
        <w:t xml:space="preserve"> §12.1).</w:t>
      </w:r>
    </w:p>
    <w:p>
      <w:pPr>
        <w:pStyle w:val="ListBullet"/>
      </w:pPr>
      <w:r>
        <w:rPr>
          <w:b/>
        </w:rPr>
        <w:t>Two incumbents (mDoc, Jacaranda) are partner targets first and competitors second</w:t>
      </w:r>
      <w:r>
        <w:t>; the test is one documented conversation each before any further product spend in their markets (</w:t>
      </w:r>
      <w:r>
        <w:rPr>
          <w:rFonts w:ascii="Consolas" w:hAnsi="Consolas"/>
          <w:sz w:val="18"/>
        </w:rPr>
        <w:t>/docs/11_COMPETITIVE_INTELLIGENCE.md</w:t>
      </w:r>
      <w:r>
        <w:t xml:space="preserve"> Priorities).</w:t>
      </w:r>
    </w:p>
    <w:p>
      <w:pPr>
        <w:pStyle w:val="Heading2"/>
      </w:pPr>
      <w:r>
        <w:t>2. Partnership scoring framework (PROPOSED)</w:t>
      </w:r>
    </w:p>
    <w:p>
      <w:r>
        <w:t xml:space="preserve">Seven criteria; weights sum to 100; each criterion scored 1–5 (5 = most favourable); </w:t>
      </w:r>
      <w:r>
        <w:rPr>
          <w:b/>
        </w:rPr>
        <w:t>score = Σ(weight × criterion score) ÷ 5</w:t>
      </w:r>
      <w:r>
        <w:t>, giving 0–100. Cost and risk are scored inversely (5 = low cost, low risk).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Criterion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Weight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"5" means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"1" means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Strategic value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Unlocks a gate in the plan (NHS design partner, African cohort, evidence, IP-safe content) that nothing else unlocks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Nice to have; no gate opened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potential (24 months)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Direct fees, sub-contract days or programme licence ≥ £50k (ESTIMATE)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and no plausible path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Credibility conferred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Named association would change a trust's, donor's or investor's view immediately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Unknown to buyers and investors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Access (can the founder reach a decision-maker within 30 days?)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Public application route or founder-level contact; answers in weeks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Requires an introduction Vytalix does not have; institutional gatekeeping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Time-to-value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Signed document or programme place within 3 months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12+ months to any document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to engage (inverse)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Under 3 founder days and &lt; £1k to reach a decision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&gt; 20 founder days, match funding, travel or legal cost &gt; £10k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 (inverse)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IP, reputational, dependency or conflict risk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Dependency on a competitor's goodwill, IP exposure, political or payment risk</w:t>
            </w:r>
          </w:p>
        </w:tc>
      </w:tr>
    </w:tbl>
    <w:p/>
    <w:p>
      <w:r>
        <w:rPr>
          <w:b/>
        </w:rPr>
        <w:t>Gates applied before scoring is used (a "no" on any gate pauses outreach regardless of score):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Gate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Condition to pass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 — Entity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signed document; any grant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Vytalix incorporated, bank account, professional indemnity in place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G2 — IP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conversation about MaternaLink (in development)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Written agreement with David Agunede on MaternaLink IP (FACTS_BASE §1)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G3 — Claims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external material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Intended-use statement adopted; 2025 deck retired externally (FACTS_BASE A4)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G4 — Conflict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competitor or incumbent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Conflict register entry; partner-first wording approved (§5.5)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G5 — Payment integrity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government, official or referral arrangement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Bribery Act 2010 check; written fee terms; no payments to officials</w:t>
            </w:r>
          </w:p>
        </w:tc>
      </w:tr>
    </w:tbl>
    <w:p/>
    <w:p>
      <w:r>
        <w:t>Services and E-Learning partnerships pass G1 and G3 only. Scores are re-run after every first meeting; a partner that fails two consecutive next actions drops one tier.</w:t>
      </w:r>
    </w:p>
    <w:p>
      <w:pPr>
        <w:pStyle w:val="Heading2"/>
      </w:pPr>
      <w:r>
        <w:t>3. Scored long-list — 25 target partner organisations</w:t>
      </w:r>
    </w:p>
    <w:p>
      <w:r>
        <w:t xml:space="preserve">All 25 are real, publicly identifiable organisations. </w:t>
      </w:r>
      <w:r>
        <w:rPr>
          <w:b/>
        </w:rPr>
        <w:t>No relationship exists with any of them (VERIFIED absence).</w:t>
      </w:r>
      <w:r>
        <w:t xml:space="preserve"> Scores are desk ESTIMATES (criteria 1–7 as numbered in §2; the last two are inverse). Model codes refer to §4. Pillar codes as in §1.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Rank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Organisation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 Strat (20)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 Rev (15)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 Cred (15)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 Access (15)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5 Time (15)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6 Cost (10)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7 Risk (10)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Score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Pillar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Gate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Horizon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Innovation Network (one regional HIN first; e.g., South London or Manchester)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innovation body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86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Referral, Research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Five X More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advocacy (Black maternal health)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76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Co-development (paid)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Africa's Talking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Messaging gateway (Kenya, pan-African)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76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Distribution (rail)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Society for Family Health Nigeria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Implementing NGO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74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Distribution, Funding, Research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DigitalHealth.London Accelerator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Accelerator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73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Referral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Adv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Health Watch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Convenor / advocacy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71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Referral, Co-development (content)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Adv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MSD for Mothers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Corporate programme funder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71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G2, G4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Jhpiego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International NGO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71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Distribution, Research, Funding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Birthrights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rights charity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71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Co-development (paid)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NPEU, University of Oxford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University research unit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NIHR (ARC, i4i, HealthTech Research Centres)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 funder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Funding, Research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mDoc (Digital Mom Project)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Incumbent (Ekiti, Lagos)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Co-development / Distribution (complementarity)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G2, G4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 (conversation)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Tommy's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research charity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Co-development (content), Research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EL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Royal College of Midwives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Professional body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Co-development (content), Distribution (E-Learning)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EL, 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UNFPA (Nigeria and Kenya country offices)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Multilateral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PATH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International NGO (digital health)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Research, Distribution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King's College London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University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Research, Distribution (E-Learning)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EL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Jacaranda Health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Incumbent (Kenya)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Co-development (complementarity)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G2, G4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 (conversation)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LSHTM MARCH Centre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University research centre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60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 Foundation / Grand Challenges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Foundation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Wellbeing of Women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research charity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 (research), Co-development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System C (BadgerNet Maternity)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EPR vendor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(integration), Distribution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MSI Reproductive Choices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International NGO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Distribution, Funding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FCDO (UK-funded health programmes)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Bilateral funder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 (via primes)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HS, Con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12m–24m+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MTN Nigeria / MTN Foundation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Telecom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48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Distribution (bundle/white-label)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HS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24m+</w:t>
            </w:r>
          </w:p>
        </w:tc>
      </w:tr>
    </w:tbl>
    <w:p/>
    <w:p>
      <w:r>
        <w:rPr>
          <w:b/>
        </w:rPr>
        <w:t>Watch list (next ten, not yet scored; re-score at month 6):</w:t>
      </w:r>
      <w:r>
        <w:t xml:space="preserve"> HCA Healthcare UK (private maternity pilot market); Helium Health (integration in Nigerian private hospitals); Safaricom / M-TIBA (Kenya rails); Wellbeing Foundation Africa (Nigerian maternal-health NGO); Amref Health Africa (Kenya); Best Beginnings (Baby Buddy content signposting); K2 Medical Systems and Magentus (EPR integration); AXA Mansard Health or Hygeia HMO (Nigeria HMO discovery); Bupa or AXA Health (UK benefits discovery); Innovate UK and SBRI Healthcare (funders rather than partners — tracked in </w:t>
      </w:r>
      <w:r>
        <w:rPr>
          <w:rFonts w:ascii="Consolas" w:hAnsi="Consolas"/>
          <w:sz w:val="18"/>
        </w:rPr>
        <w:t>/docs/08_FINANCIAL_MODEL.md</w:t>
      </w:r>
      <w:r>
        <w:t xml:space="preserve"> grant calendar).</w:t>
      </w:r>
    </w:p>
    <w:p>
      <w:pPr>
        <w:pStyle w:val="Heading3"/>
      </w:pPr>
      <w:r>
        <w:t>3.1 Reading the ranking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Organisations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happens in the next 90 days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Tier 1 — engage now (score ≥ 70)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HIN, Five X More, Africa's Talking, SFH Nigeria, DigitalHealth.London, Nigeria Health Watch, MSD for Mothers, Jhpiego, Birthrights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Reachable, cheap, and each opens a gate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Applications (HIN, DHL); paid co-design proposals (Five X More, Birthrights); gateway account (Africa's Talking); introductions sought (SFH, NHW); MSD for Mothers and Jhpiego prepared but held behind G2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Tier 2 — prepare, engage at 6 months (60–69)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NPEU, NIHR, mDoc, Tommy's, RCM, UNFPA, PATH, King's, Jacaranda, LSHTM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credibility, slower institutions; most need the entity, a clinical adviser or IP resolution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Desk research; identify the right programme or call; warm-introduction paths mapped; mDoc/Jacaranda conversations as soon as G2 and G4 pass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Tier 3 — track (&lt; 60)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Gates/Grand Challenges, Wellbeing of Women, System C, MSI, FCDO, MTN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Long cycles, high cost, or only relevant after evidence exists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Calendar of calls; no outreach beyond a courtesy contact</w:t>
            </w:r>
          </w:p>
        </w:tc>
      </w:tr>
    </w:tbl>
    <w:p/>
    <w:p>
      <w:r>
        <w:t xml:space="preserve">The ranking is sensitive to one variable: </w:t>
      </w:r>
      <w:r>
        <w:rPr>
          <w:b/>
        </w:rPr>
        <w:t>if G2 (IP) is resolved by day 30, mDoc, Jhpiego, SFH and MSD for Mothers all move up a tier because time-to-value improves; if it is not resolved by day 90, every HS-pillar partner freezes and the plan collapses to HIN, community co-design and E-Learning partnerships.</w:t>
      </w:r>
    </w:p>
    <w:p>
      <w:pPr>
        <w:pStyle w:val="Heading2"/>
      </w:pPr>
      <w:r>
        <w:t>4. Partnership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Structure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Economics (ESTIMATE)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Default contract form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Best partner types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When to use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Principal risks and controls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Referral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 introduces Vytalix to buyers (or vice versa); no delivery obligation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Introduction fee 5–10% of first-year fees, or reciprocal referrals with no fee; HINs and accelerators take no fee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Referral agreement or programme terms; fee disclosed to the customer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HINs, accelerators, consultancies, diaspora associations, convenors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Services growth; NHS introductions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Bribery Act and NHS conflict-of-interest exposure — fees written, disclosed, never to public officials; register entry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Co-development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Joint design, content or research with shared outputs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Vytalix </w:t>
            </w:r>
            <w:r>
              <w:rPr>
                <w:b/>
                <w:sz w:val="17"/>
              </w:rPr>
              <w:t>pays</w:t>
            </w:r>
            <w:r>
              <w:rPr>
                <w:b w:val="0"/>
                <w:sz w:val="17"/>
              </w:rPr>
              <w:t xml:space="preserve"> community partners (£2k–£10k per engagement, ESTIMATE); joint IP terms written before work starts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Collaboration agreement with IP schedule; content licence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Five X More, Birthrights, MNVPs, Tommy's, RCM, mDoc/Jacaranda (complementarity)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content and safety-critical journeys; C8 listening exercises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 ambiguity — ownership/licence stated per deliverable; consent and safeguarding for lived-experience work; no "endorsement" claims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Distribution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 carries MaternaLink (in development) or E-Learning to its cohort, members or customers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Revenue share 10–30% to the partner or programme licence to the partner (£8k–£60k/programme/yr, </w:t>
            </w:r>
            <w:r>
              <w:rPr>
                <w:rFonts w:ascii="Consolas" w:hAnsi="Consolas"/>
                <w:b w:val="0"/>
                <w:sz w:val="17"/>
              </w:rPr>
              <w:t>/assets/PARTNERSHIP_DECK.md</w:t>
            </w:r>
            <w:r>
              <w:rPr>
                <w:b w:val="0"/>
                <w:sz w:val="17"/>
              </w:rPr>
              <w:t xml:space="preserve"> slide 7); telco white-label £25k–£75k set-up + £2–£8/user/yr (24m+)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Reseller/programme agreement; data-processing agreement; SLA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Implementing NGOs, HMOs, telecoms, private hospital groups, RCM (E-Learning), EPR vendors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African cohorts; E-Learning scale; telco channel (24m+)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Dependency on a single channel; data-controller/processor split; local data residency (Nigeria NDPA, Kenya ODPC)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Integration, data exchange or shared datasets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Usually no fee; integration cost borne by Vytalix (v2); no individual-level data to insurers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Data-sharing agreement; DPIA; integration agreement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EPR vendors, Helium Health, state DHIS2 owners, insurers (aggregate only)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v2 integration; state data ownership; adherence dashboards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 exposure — DPIA before any exchange; state owns programme data; no processing of real patient data in the prototype until audited (FACTS_BASE §2)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Research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Co-applicant on evaluation or research; shared authorship; pre-registered protocols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Grant-funded; Vytalix costs recovered at 70–100% of eligible costs (scheme-dependent, TO VALIDATE); no fee to the university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Collaboration agreement; ethics (HRA/REC or NHREC) before data; publication policy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NPEU, King's, LSHTM, NIHR ARCs, PATH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service evaluation (2027), feasibility study (2028), v3 research track (data partnership only after v1 evidence)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Timeline (12–36 months); authorship disputes; v3 claims discipline (no predictive claims before validation and MHRA pathway)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Funding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Grants, programme funding, corporate/foundation support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£25k–£500k per award (ESTIMATE); success rates single-digit to ~20% (ESTIMATE); match funding 30–50%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agreement; consortium agreement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NIHR, Innovate UK/SBRI, Grand Challenges, UNFPA/UNICEF calls, MSD for Mothers, Wellcome, FCDO via primes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Non-dilutive R&amp;D and evaluation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Eligibility (UK entity; NHS or NGO partner); subsidy control; reporting burden; MSD for Mothers conflict with its existing grantee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Variant — </w:t>
            </w:r>
            <w:r>
              <w:rPr>
                <w:b/>
                <w:sz w:val="17"/>
              </w:rPr>
              <w:t>Sub-contracting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Vytalix delivers days inside a prime's programme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Day rate £900–£1,200 (associate rates in </w:t>
            </w:r>
            <w:r>
              <w:rPr>
                <w:rFonts w:ascii="Consolas" w:hAnsi="Consolas"/>
                <w:b w:val="0"/>
                <w:sz w:val="17"/>
              </w:rPr>
              <w:t>/docs/01_BUSINESS_MODEL.md</w:t>
            </w:r>
            <w:r>
              <w:rPr>
                <w:b w:val="0"/>
                <w:sz w:val="17"/>
              </w:rPr>
              <w:t xml:space="preserve"> §3)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Sub-contract with IP and non-solicit terms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Consultancies, HINs (evaluation), international NGOs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NHS/donor references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Margin; being typecast; IP leakage of Vytalix methods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Variant — </w:t>
            </w:r>
            <w:r>
              <w:rPr>
                <w:b/>
                <w:sz w:val="17"/>
              </w:rPr>
              <w:t>Content licensing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Vytalix licenses in signed-off content rather than authoring clinical content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Licence fee or free-with-attribution; clinical sign-off by the licensor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 licence; attribution; update obligations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RCOG patient information, Tommy's, Best Beginnings, WHO ANC digital adaptation kit (open)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education layer; E-Learning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Version drift; licensor's clinical-governance requirements; no re-writing clinical content without sign-off</w:t>
            </w:r>
          </w:p>
        </w:tc>
      </w:tr>
    </w:tbl>
    <w:p/>
    <w:p>
      <w:r>
        <w:rPr>
          <w:b/>
        </w:rPr>
        <w:t>Model selection rule (PROPOSED):</w:t>
      </w:r>
      <w:r>
        <w:t xml:space="preserve"> for each partner, choose the model with the shortest path to a signed document, then add models over time. A community organisation starts as paid co-development and may become a distribution partner; an NGO starts as a joint-bid research/funding partner and becomes a distribution partner when a cohort exists; a HIN starts as referral and becomes an evaluation (research) partner.</w:t>
      </w:r>
    </w:p>
    <w:p>
      <w:pPr>
        <w:pStyle w:val="Heading2"/>
      </w:pPr>
      <w:r>
        <w:t>5. Twelve-month partnership plan (PROPOSED)</w:t>
      </w:r>
    </w:p>
    <w:p>
      <w:r>
        <w:t xml:space="preserve">Month 1 = the month of incorporation (planned September–October 2026 per </w:t>
      </w:r>
      <w:r>
        <w:rPr>
          <w:rFonts w:ascii="Consolas" w:hAnsi="Consolas"/>
          <w:sz w:val="18"/>
        </w:rPr>
        <w:t>/docs/18_90_DAY_EXECUTION_PLAN.md</w:t>
      </w:r>
      <w:r>
        <w:t>). Everything below depends on gates G1–G5 in §2.</w:t>
      </w:r>
    </w:p>
    <w:p>
      <w:pPr>
        <w:pStyle w:val="Heading3"/>
      </w:pPr>
      <w:r>
        <w:t>5.1 Quarter plan and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Quarter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Focus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Partner actions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Documents targeted by quarter-end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Founder days (ESTIMATE)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Q1 (months 1–3)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Access and co-design; gate-clearing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Apply to one regional HIN programme and DigitalHealth.London; paid co-design proposals to Five X More and Birthrights; Africa's Talking developer account and pricing; introduction requests to SFH Nigeria and Nigeria Health Watch via public routes; Ekiti status call; mDoc complementarity email </w:t>
            </w:r>
            <w:r>
              <w:rPr>
                <w:b/>
                <w:sz w:val="17"/>
              </w:rPr>
              <w:t>only if G2 passes</w:t>
            </w:r>
            <w:r>
              <w:rPr>
                <w:b w:val="0"/>
                <w:sz w:val="17"/>
              </w:rPr>
              <w:t>; advisory-board recruitment via diaspora associations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1 programme application submitted; 1 paid co-design agreement signed; gateway account live; 2 advisory-board letters (per </w:t>
            </w:r>
            <w:r>
              <w:rPr>
                <w:rFonts w:ascii="Consolas" w:hAnsi="Consolas"/>
                <w:b w:val="0"/>
                <w:sz w:val="17"/>
              </w:rPr>
              <w:t>/docs/18_90_DAY_EXECUTION_PLAN.md</w:t>
            </w:r>
            <w:r>
              <w:rPr>
                <w:b w:val="0"/>
                <w:sz w:val="17"/>
              </w:rPr>
              <w:t xml:space="preserve"> 3.11); partnership register created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Q2 (months 4–6)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 and Nigeria route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University conversations (NPEU, King's, LSHTM) about a 2027 service evaluation; NIHR ARC engagement; second co-design agreement; RCM content/CPD conversation; SFH Nigeria or Jhpiego LOI for a cohort scoping; Jacaranda conversation; state scorecard field scan (Oyo, Kano) with in-country partners; Tommy's content conversation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university letter of intent to co-apply; 1 NGO LOI to scope a cohort; 2 paid co-design agreements in total; mDoc and Jacaranda conversations documented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Q3 (months 7–9)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 and design partner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two grant bids (e.g., SBRI Healthcare or Innovate UK; a Grand Challenges or UNFPA call — calendars TO VALIDATE) with a university or NGO lead; NHS design-partner conversation opened through a clinical adviser and the HIN; MSD for Mothers approach with complementarity framing (post-G2, G4); private maternity pilot conversation (HCA UK-type unit)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bids submitted; 1 NHS trust design-partner conversation at "exploring DCB0160 with CSO"; 1 private-provider pilot LOI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Q4 (months 10–12)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Convert and institutionalise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Convert one design-partner conversation to a written evaluation plan; convert NGO LOI to a programme agreement or joint bid; E-Learning distribution conversation with RCM or a university programme; telco/HMO discovery interviews (5); re-score the long-list; partnership board paper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design-partner agreement or evaluation plan; 1 programme agreement or funded bid; 1 E-Learning distribution LOI; long-list re-scored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</w:tr>
    </w:tbl>
    <w:p/>
    <w:p>
      <w:r>
        <w:rPr>
          <w:b/>
        </w:rPr>
        <w:t>Twelve-month scorecard (PROPOSED):</w:t>
      </w:r>
      <w:r>
        <w:t xml:space="preserve"> 1 HIN/accelerator programme place · 2 paid community co-design agreements · 1 university co-applicant agreement · 1 Nigerian implementing-partner LOI or agreement · 1 gateway pilot account · 1 NHS design-partner conversation opened (agreement is a stretch) · 2 joint grant bids submitted · 1 E-Learning distribution LOI · 0 unverified "partner" claims in any material (audited monthly).</w:t>
      </w:r>
    </w:p>
    <w:p>
      <w:pPr>
        <w:pStyle w:val="Heading3"/>
      </w:pPr>
      <w:r>
        <w:t>5.2 Outreach sequence (per partner; adapt to model)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Step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Timing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Qualify</w:t>
            </w:r>
            <w:r>
              <w:rPr>
                <w:b w:val="0"/>
                <w:sz w:val="17"/>
              </w:rPr>
              <w:t>: score in §2; check gates; identify the decision-maker title and a public route (programme application, published contact, event, LinkedIn); log in CRM with trigger URL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invented contact details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0–3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Earn the right</w:t>
            </w:r>
            <w:r>
              <w:rPr>
                <w:b w:val="0"/>
                <w:sz w:val="17"/>
              </w:rPr>
              <w:t>: read the organisation's latest report, strategy or programme page; identify one thing Vytalix can offer that costs them nothing (a data point, a draft, an introduction, a paid brief)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Never open with an ask for endorsement or a logo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First message</w:t>
            </w:r>
            <w:r>
              <w:rPr>
                <w:b w:val="0"/>
                <w:sz w:val="17"/>
              </w:rPr>
              <w:t xml:space="preserve"> (≤ 120 words): who Vytalix is (pre-seed, honest stage), why this organisation specifically, the one offer, one question, a 20-minute ask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Use the "what we offer / what we ask" line for the partner type (§5.3); language rules from FACTS_BASE §4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Follow-up 1</w:t>
            </w:r>
            <w:r>
              <w:rPr>
                <w:b w:val="0"/>
                <w:sz w:val="17"/>
              </w:rPr>
              <w:t xml:space="preserve">: add one piece of value (a relevant excerpt from the sourced report in </w:t>
            </w:r>
            <w:r>
              <w:rPr>
                <w:rFonts w:ascii="Consolas" w:hAnsi="Consolas"/>
                <w:b w:val="0"/>
                <w:sz w:val="17"/>
              </w:rPr>
              <w:t>/docs/14_MARKETING_AND_CONTENT_ENGINE.md</w:t>
            </w:r>
            <w:r>
              <w:rPr>
                <w:b w:val="0"/>
                <w:sz w:val="17"/>
              </w:rPr>
              <w:t>, a public call they may not have seen)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follow-up; no pressure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20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Follow-up 2 or alternative route</w:t>
            </w:r>
            <w:r>
              <w:rPr>
                <w:b w:val="0"/>
                <w:sz w:val="17"/>
              </w:rPr>
              <w:t>: an event, a mutual contact found through public sources, or a programme application instead of a cold message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touches maximum, then park for 90 days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Discovery, not pitch</w:t>
            </w:r>
            <w:r>
              <w:rPr>
                <w:b w:val="0"/>
                <w:sz w:val="17"/>
              </w:rPr>
              <w:t>: 60% listening; confirm what they control, their calendar (calls, cohorts, board dates), their conditions; agree one concrete next step with a date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Bring the artefact relevant to the model (co-design brief, integration note, evaluation outline, bid outline)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+7 days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Written follow-up</w:t>
            </w:r>
            <w:r>
              <w:rPr>
                <w:b w:val="0"/>
                <w:sz w:val="17"/>
              </w:rPr>
              <w:t>: one-page note of what was agreed; proposed document type (LOI/MoU/agreement/application); named next action on both sides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Nothing is a partnership until signed; wording of any public reference agreed in writing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Register review</w:t>
            </w:r>
            <w:r>
              <w:rPr>
                <w:b w:val="0"/>
                <w:sz w:val="17"/>
              </w:rPr>
              <w:t>: status, next action, gate status, any public reference permission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(later) a partnerships lead</w:t>
            </w:r>
          </w:p>
        </w:tc>
      </w:tr>
    </w:tbl>
    <w:p/>
    <w:p>
      <w:pPr>
        <w:pStyle w:val="Heading3"/>
      </w:pPr>
      <w:r>
        <w:t>5.3 What we offer / what we ask — by partner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Partner type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we offer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we ask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we will not do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trusts / LMNS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Vendor-neutral readiness and inequalities reviews (C3, C8); a non-diagnostic communication and handover layer beside the EPR with the safety artefacts (DCB0129 hazard log, DPIA, intended-use statement) supplied; a service-evaluation design; no licence fee for the design partner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digital midwife and a Clinical Safety Officer willing to run DCB0160; one community team; 3–6 months; a service-evaluation write-up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Replace the EPR; make clinical claims; use the trust's name without written permission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Innovation Networks / accelerators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maternal-health innovation with an honest evidence plan and a founder who will do the work; participation in their evaluation and reporting; case-study material once evidence exists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programme place; introductions to two or three maternity digital leads; evaluation methodology support; no fee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Present the programme as an endorsement; ask them to sell for us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Universities / NIHR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real-world deployment to study; co-designed protocols; shared authorship; SME co-applicant status; industry match where schemes require it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Methodological partnership; a named principal investigator; co-application on one call in 2027; ethics route guidance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Train models on patient data without approvals; make predictive claims; treat the v3 research track as a product commitment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Charities and community organisations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Payment</w:t>
            </w:r>
            <w:r>
              <w:rPr>
                <w:b w:val="0"/>
                <w:sz w:val="17"/>
              </w:rPr>
              <w:t xml:space="preserve"> for co-design, listening exercises and content review; credit in outputs; influence over the woman-facing journeys; joint bids where they lead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Lived-experience input; content review; participation in a C8 listening exercise; candid criticism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Ask for endorsement, logos, free advocacy or unpaid time; speak on their behalf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Professional bodies (RCM, RCOG)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CPD-ready E-Learning aligned to their standards (accreditation TO VALIDATE); content licensing revenue where relevant; speaking content on digital maternity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content-licensing conversation; guidance on CPD routes; conference slots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Claim accreditation or endorsement before it exists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Implementing NGOs (Nigeria, Kenya)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Enrolment and follow-up tracking, two-way SMS at scale, CHEW defaulter lists, logframe/DHIS2-compatible exports, data owned by the NGO or state, local-hosting option (TO VALIDATE), a programme licence priced to a grant line (£8k–£60k/yr, ESTIMATE), joint bid capacity from the UK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existing cohort in 1–2 LGAs; CHEW supervision; a budget line or joint grant; co-authorship of the evaluation; NHREC/state ethics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Arrive with a state-wide proposal; compete on price with an incumbent programme; share individual data with third parties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Donors, foundations and multilaterals (MSD for Mothers, Gates/Grand Challenges, UNFPA, UNICEF, FCDO primes)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complementary, partner-first coordination layer for existing programmes; transparent total programme cost; evaluation-grade data; UK–Nigeria/Kenya corridor delivery with a UK entity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Programme-officer conversation; call eligibility guidance; consideration as a sub-grantee or consortium member; introductions to grantees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Pitch against an existing grantee (mDoc); restate the Ekiti proposal; claim any relationship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African governments (via partners)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LGA-level pilot under £0.5m/yr (ESTIMATE) with a 12-month evaluation and defined exit; data ownership with DHIS2 export; NDPA compliance; a local implementing partner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LOI, then an MoU, then a pilot agreement — in that order; a named focal person; access to CHEWs and facilities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Approach alone; describe an MoU as a government partnership; make payments to officials or intermediaries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Incumbents (mDoc, Jacaranda, Helium Health)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Complementary facility-side coordination, referral tracking and handover; integration-ready posture; shared learning; a joint offer to donors where it helps them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exploratory conversation; clarity on where they see gaps; an integration or referral conversation if there is fit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Enter their state/county against them on price; imply a partnership after one call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Telecoms and gateways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maternal-health messaging and coordination use case with programme buyers; volume assumptions (~60 SMS/woman/year, ESTIMATE); a white-label option later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Gateway pricing and sender-ID/DND guidance (NCC rules TO VALIDATE); zero-rating or bundled data for enrolled women; a named pilot contact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Pass identifiable health data; commit volumes before a funded pilot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Insurers and HMOs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Aggregate adherence dashboards; engagement-fee pricing (24m+); reduced no-shows for covered women (to be evidenced)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Discovery interviews now; a benefits-bundle conversation after evidence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Share individual clinical data; perform underwriting or risk scoring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Private hospital groups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A fast, low-IG-barrier pilot with the safety artefacts included (£10k minimum bundle per </w:t>
            </w:r>
            <w:r>
              <w:rPr>
                <w:rFonts w:ascii="Consolas" w:hAnsi="Consolas"/>
                <w:b w:val="0"/>
                <w:sz w:val="17"/>
              </w:rPr>
              <w:t>/docs/13_SALES_ENGINE.md</w:t>
            </w:r>
            <w:r>
              <w:rPr>
                <w:b w:val="0"/>
                <w:sz w:val="17"/>
              </w:rPr>
              <w:t>); a C1 discovery sprint; staff E-Learning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lead obstetrician sponsor; one service line; a paid pilot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Undercut on price; skip DPIA and safety case because the setting is private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Consultancies (primes)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Specialist maternity/digital/Africa depth at associate rates; speed; fixed-price sub-scopes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Sub-contract days on NHS or donor programmes; a framework route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Compete for their prime work; use their client names</w:t>
            </w:r>
          </w:p>
        </w:tc>
      </w:tr>
    </w:tbl>
    <w:p/>
    <w:p>
      <w:pPr>
        <w:pStyle w:val="Heading3"/>
      </w:pPr>
      <w:r>
        <w:t>5.4 Ekiti and mDoc — the specific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Step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Timing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Q1, by day 26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call to learn the status of the March 2026 proposal (live, dead, in negotiation — FACTS_BASE §2). No restatement of the proposal. Outcome recorded in FACTS_BASE.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(with David Agunede, subject to the IP conversation)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Q1, only after G2 and G4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Complementarity email to mDoc (wording rules in §5.5). One exploratory conversation.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Q1–Q2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Two-state scorecard field scan (Oyo, Kano) with in-country NGO conversations (</w:t>
            </w:r>
            <w:r>
              <w:rPr>
                <w:rFonts w:ascii="Consolas" w:hAnsi="Consolas"/>
                <w:b w:val="0"/>
                <w:sz w:val="17"/>
              </w:rPr>
              <w:t>/docs/05_MARKET_STRATEGY.md</w:t>
            </w:r>
            <w:r>
              <w:rPr>
                <w:b w:val="0"/>
                <w:sz w:val="17"/>
              </w:rPr>
              <w:t xml:space="preserve"> §2.1).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in-country associate (TO RECRUIT)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Go/no-go: partner / differentiate / move state (</w:t>
            </w:r>
            <w:r>
              <w:rPr>
                <w:rFonts w:ascii="Consolas" w:hAnsi="Consolas"/>
                <w:b w:val="0"/>
                <w:sz w:val="17"/>
              </w:rPr>
              <w:t>/docs/18_90_DAY_EXECUTION_PLAN.md</w:t>
            </w:r>
            <w:r>
              <w:rPr>
                <w:b w:val="0"/>
                <w:sz w:val="17"/>
              </w:rPr>
              <w:t xml:space="preserve"> G-D).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advisory board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MSD for Mothers approached only with a complementarity framing agreed (or not objected to) by mDoc, or with a different-state, NGO-led proposal.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</w:tbl>
    <w:p/>
    <w:p>
      <w:pPr>
        <w:pStyle w:val="Heading3"/>
      </w:pPr>
      <w:r>
        <w:t>5.5 Wording rules for incumbent and donor outreach (mDoc, Jacaranda, MSD for Mothers)</w:t>
      </w:r>
    </w:p>
    <w:p>
      <w:pPr>
        <w:pStyle w:val="ListBullet"/>
      </w:pPr>
      <w:r>
        <w:t>State the stage honestly: "pre-seed, UK-based, MaternaLink in development, no deployments".</w:t>
      </w:r>
    </w:p>
    <w:p>
      <w:pPr>
        <w:pStyle w:val="ListBullet"/>
      </w:pPr>
      <w:r>
        <w:t>Acknowledge their programme explicitly and by its public name; cite the public source of what we know.</w:t>
      </w:r>
    </w:p>
    <w:p>
      <w:pPr>
        <w:pStyle w:val="ListBullet"/>
      </w:pPr>
      <w:r>
        <w:t xml:space="preserve">Position on </w:t>
      </w:r>
      <w:r>
        <w:rPr>
          <w:b/>
        </w:rPr>
        <w:t>what they do not do</w:t>
      </w:r>
      <w:r>
        <w:t xml:space="preserve"> (facility-side coordination, referral tracking, handover, CHEW defaulter lists, evaluation-grade exports) — never on price, never on "better".</w:t>
      </w:r>
    </w:p>
    <w:p>
      <w:pPr>
        <w:pStyle w:val="ListBullet"/>
      </w:pPr>
      <w:r>
        <w:t>Ask one question: "Where do you see gaps a complementary coordination layer could fill, and would a 30-minute conversation be useful?"</w:t>
      </w:r>
    </w:p>
    <w:p>
      <w:pPr>
        <w:pStyle w:val="ListBullet"/>
      </w:pPr>
      <w:r>
        <w:t>Never mention the Ekiti proposal, its pricing, or any state contact; never imply a state relationship.</w:t>
      </w:r>
    </w:p>
    <w:p>
      <w:pPr>
        <w:pStyle w:val="ListBullet"/>
      </w:pPr>
      <w:r>
        <w:t>No public reference to the conversation afterwards; the CRM entry is the only record.</w:t>
      </w:r>
    </w:p>
    <w:p>
      <w:pPr>
        <w:pStyle w:val="ListBullet"/>
      </w:pPr>
      <w:r>
        <w:t>If they decline or do not reply, the fallback is "move state" or "different layer", not repetition.</w:t>
      </w:r>
    </w:p>
    <w:p>
      <w:pPr>
        <w:pStyle w:val="Heading3"/>
      </w:pPr>
      <w:r>
        <w:t>5.6 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Instrument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Cadence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Partnership register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Organisation, class, model, gate status, document status (target/conversation/LOI/MoU/agreement), fee terms, public-reference permission, conflicts, next action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Updated within 24h of contact; reviewed monthly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Document ladder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LOI (non-binding, 1 page) → MoU (non-binding, scope and principles) → agreement (binding: collaboration, referral, reseller, data-sharing, sub-contract, grant/consortium)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solicitor for binding documents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partner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Conflicts register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Competitors advised, incumbents contacted, referral fees, public officials met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Public-reference protocol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name, logo or "in discussion" without written permission; wording approved by the partner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reference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Anti-bribery and gifts policy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Bribery Act 2010; no facilitation payments; hospitality thresholds; agent due diligence in Nigeria/Kenya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Adopted at incorporation; reviewed annually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 review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Score re-run, pipeline by tier, documents signed, days spent, lessons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advisory board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Quarterly</w:t>
            </w:r>
          </w:p>
        </w:tc>
      </w:tr>
    </w:tbl>
    <w:p/>
    <w:p>
      <w:pPr>
        <w:pStyle w:val="Heading3"/>
      </w:pPr>
      <w:r>
        <w:t>5.7 Budget (ESTIMATE, 12 months)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Paid community co-design (2 agreements)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£6k–£16k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£3k–£8k each; the single most important spend in this plan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and application fees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£0–£2k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Most HIN/accelerator routes are free (TO VALIDATE)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Messaging gateway pilot credits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£500–£2k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Africa's Talking-type account; pass-through in pilots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In-country field scan (two states)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£4k–£10k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Associate days, travel; may be partly covered by a C5-type paid engagement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Legal (LOI/MoU templates, collaboration and referral agreements)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£3k–£8k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Templates once; reuse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Travel and events (UK conferences, one Nigeria trip, one Kenya desk phase)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£4k–£8k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travel only after G2 and an NGO conversation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time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~60 days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~25% of available days; in tension with ~87 billable days (</w:t>
            </w:r>
            <w:r>
              <w:rPr>
                <w:rFonts w:ascii="Consolas" w:hAnsi="Consolas"/>
                <w:b w:val="0"/>
                <w:sz w:val="17"/>
              </w:rPr>
              <w:t>/docs/01_BUSINESS_MODEL.md</w:t>
            </w:r>
            <w:r>
              <w:rPr>
                <w:b w:val="0"/>
                <w:sz w:val="17"/>
              </w:rPr>
              <w:t xml:space="preserve"> §4.2)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Total cash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£18k–£46k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Funded from services revenue and, from Q3, grant cost recovery</w:t>
            </w:r>
          </w:p>
        </w:tc>
      </w:tr>
    </w:tbl>
    <w:p/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Clear the gates before the outreach: entity (G1), IP with David Agunede (G2) and the claims re-base (G3) are partnership prerequisites, not parallel tracks. Services and community co-design proceed under G1/G3 only.</w:t>
      </w:r>
    </w:p>
    <w:p>
      <w:pPr>
        <w:pStyle w:val="ListNumber"/>
      </w:pPr>
      <w:r>
        <w:t>Engage Tier 1 in the first 90 days: one HIN programme application, DigitalHealth.London application, two paid co-design proposals (Five X More, Birthrights), a gateway account, and public-route introductions to SFH Nigeria and Nigeria Health Watch.</w:t>
      </w:r>
    </w:p>
    <w:p>
      <w:pPr>
        <w:pStyle w:val="ListNumber"/>
      </w:pPr>
      <w:r>
        <w:t>Treat mDoc and Jacaranda as partner tests: one documented complementarity conversation each before any further product spend in Nigeria or Kenya.</w:t>
      </w:r>
    </w:p>
    <w:p>
      <w:pPr>
        <w:pStyle w:val="ListNumber"/>
      </w:pPr>
      <w:r>
        <w:t>Build the evidence coalition early: a university co-applicant and a HIN evaluation route by month 6, so that 2027 grant bids have partners named.</w:t>
      </w:r>
    </w:p>
    <w:p>
      <w:pPr>
        <w:pStyle w:val="ListNumber"/>
      </w:pPr>
      <w:r>
        <w:t>Keep every partner claim auditable: partnership register, public-reference protocol and a monthly zero-unverified-claims check across website, decks and investor material.</w:t>
      </w:r>
    </w:p>
    <w:p>
      <w:r>
        <w:rPr>
          <w:b/>
        </w:rPr>
        <w:t>Risks</w:t>
      </w:r>
    </w:p>
    <w:p>
      <w:pPr>
        <w:pStyle w:val="ListBullet"/>
      </w:pPr>
      <w:r>
        <w:rPr>
          <w:b/>
        </w:rPr>
        <w:t>IP unresolved</w:t>
      </w:r>
      <w:r>
        <w:t xml:space="preserve"> → every Health Solutions partnership freezes; mitigation: the plan degrades gracefully to HIN, co-design and E-Learning partnerships, and the day-30 and day-90 decision points are explicit.</w:t>
      </w:r>
    </w:p>
    <w:p>
      <w:pPr>
        <w:pStyle w:val="ListBullet"/>
      </w:pPr>
      <w:r>
        <w:rPr>
          <w:b/>
        </w:rPr>
        <w:t>Incumbent reads outreach as competitive</w:t>
      </w:r>
      <w:r>
        <w:t xml:space="preserve"> (mDoc, MSD for Mothers) and closes Nigeria doors; mitigation: §5.5 wording rules, no Ekiti restatement, "move state" fallback with Oyo/Kano scored.</w:t>
      </w:r>
    </w:p>
    <w:p>
      <w:pPr>
        <w:pStyle w:val="ListBullet"/>
      </w:pPr>
      <w:r>
        <w:rPr>
          <w:b/>
        </w:rPr>
        <w:t>Founder capacity</w:t>
      </w:r>
      <w:r>
        <w:t>: ~60 partnership days compete with ~87 billable days and fundraising; mitigation: Tier 1 only in Q1; an in-country associate and a fractional partnerships lead from Q3 if services revenue allows.</w:t>
      </w:r>
    </w:p>
    <w:p>
      <w:pPr>
        <w:pStyle w:val="ListBullet"/>
      </w:pPr>
      <w:r>
        <w:rPr>
          <w:b/>
        </w:rPr>
        <w:t>Community organisations approached as free endorsement</w:t>
      </w:r>
      <w:r>
        <w:t xml:space="preserve"> by a start-up with no track record damages reputation permanently; mitigation: paid co-design only; written credit; no logos.</w:t>
      </w:r>
    </w:p>
    <w:p>
      <w:pPr>
        <w:pStyle w:val="ListBullet"/>
      </w:pPr>
      <w:r>
        <w:rPr>
          <w:b/>
        </w:rPr>
        <w:t>Grant dependence</w:t>
      </w:r>
      <w:r>
        <w:t>: two bids at single-digit to ~20% success rates (ESTIMATE) may yield nothing; mitigation: bids are a by-product of partnerships, not the plan's spine; services revenue funds the year.</w:t>
      </w:r>
    </w:p>
    <w:p>
      <w:pPr>
        <w:pStyle w:val="ListBullet"/>
      </w:pPr>
      <w:r>
        <w:rPr>
          <w:b/>
        </w:rPr>
        <w:t>Regulatory or data exposure through a partner</w:t>
      </w:r>
      <w:r>
        <w:t xml:space="preserve"> (e.g., a gateway or NGO handling data without a DPA, or the un-audited prototype used in a demo with real data); mitigation: DPIA and data-sharing agreements before any data; prototype audit (</w:t>
      </w:r>
      <w:r>
        <w:rPr>
          <w:rFonts w:ascii="Consolas" w:hAnsi="Consolas"/>
          <w:sz w:val="18"/>
        </w:rPr>
        <w:t>/docs/04_MATERNALINK_PRODUCT_STRATEGY.md</w:t>
      </w:r>
      <w:r>
        <w:t xml:space="preserve"> §25) before any partner demo.</w:t>
      </w:r>
    </w:p>
    <w:p>
      <w:pPr>
        <w:pStyle w:val="ListBullet"/>
      </w:pPr>
      <w:r>
        <w:rPr>
          <w:b/>
        </w:rPr>
        <w:t>Bribery Act and NHS conflict-of-interest exposure</w:t>
      </w:r>
      <w:r>
        <w:t xml:space="preserve"> from referral fees or in-country intermediaries; mitigation: §0 rule 5, §5.6 policy, no payments to officials, agent due diligence.</w:t>
      </w:r>
    </w:p>
    <w:p>
      <w:r>
        <w:rPr>
          <w:b/>
        </w:rPr>
        <w:t>Next actions</w:t>
      </w:r>
    </w:p>
    <w:p>
      <w:pPr>
        <w:pStyle w:val="ListBullet"/>
      </w:pPr>
      <w:r>
        <w:t>Day 1–7: create the partnership register and conflicts register; write the one-page LOI and MoU templates; identify the regional HIN and its current programme calendar; draft the two paid co-design briefs (£3k–£8k each).</w:t>
      </w:r>
    </w:p>
    <w:p>
      <w:pPr>
        <w:pStyle w:val="ListBullet"/>
      </w:pPr>
      <w:r>
        <w:t>Day 7–14: submit or diarise the HIN and DigitalHealth.London applications (once incorporated); open the Africa's Talking-type gateway account; send introduction requests to SFH Nigeria and Nigeria Health Watch via public routes; hold the Ekiti status call (by day 26 at the latest).</w:t>
      </w:r>
    </w:p>
    <w:p>
      <w:pPr>
        <w:pStyle w:val="ListBullet"/>
      </w:pPr>
      <w:r>
        <w:t>Day 14–30: send the co-design proposals to Five X More and Birthrights; map university contacts (NPEU, King's, LSHTM) and NIHR ARC programmes; recruit the first two advisory-board members through diaspora and clinical networks.</w:t>
      </w:r>
    </w:p>
    <w:p>
      <w:pPr>
        <w:pStyle w:val="ListBullet"/>
      </w:pPr>
      <w:r>
        <w:t>Day 30: G2 decision point — if the IP agreement is signed, send the mDoc complementarity email and open Jhpiego/SFH cohort conversations; if not, hold all Health Solutions outreach and record the decision.</w:t>
      </w:r>
    </w:p>
    <w:p>
      <w:pPr>
        <w:pStyle w:val="ListBullet"/>
      </w:pPr>
      <w:r>
        <w:t xml:space="preserve">Day 60: Ekiti go/no-go with the two-state scorecard; first re-score of the long-list; update </w:t>
      </w:r>
      <w:r>
        <w:rPr>
          <w:rFonts w:ascii="Consolas" w:hAnsi="Consolas"/>
          <w:sz w:val="18"/>
        </w:rPr>
        <w:t>/docs/06_CUSTOMER_SEGMENTS.md</w:t>
      </w:r>
      <w:r>
        <w:t xml:space="preserve"> §3.4 on the design-partner route (NHS trust vs private maternity vs NGO).</w:t>
      </w:r>
    </w:p>
    <w:p>
      <w:pPr>
        <w:pStyle w:val="ListBullet"/>
      </w:pPr>
      <w:r>
        <w:t>Day 90: quarterly partner review; Q2 plan confirmed; partnership section of the investor narrative updated with documents only — never conversations.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