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22 — UPDATE LOG: NEW INFORMATION RECEIVED 8 SEPTEMBER 2026</w:t>
      </w:r>
    </w:p>
    <w:p>
      <w:r>
        <w:t>Applies the continuous-improvement rule: update the system, check assumptions, identify knock-on effects, improve the model, update priorities, say what changed.</w:t>
      </w:r>
    </w:p>
    <w:p>
      <w:pPr>
        <w:pStyle w:val="Heading2"/>
      </w:pPr>
      <w:r>
        <w:t>What was received</w:t>
      </w:r>
    </w:p>
    <w:p>
      <w:pPr>
        <w:pStyle w:val="ListNumber"/>
      </w:pPr>
      <w:r>
        <w:rPr>
          <w:b/>
        </w:rPr>
        <w:t>The Vytalix logo</w:t>
      </w:r>
      <w:r>
        <w:t xml:space="preserve"> (heart outline with a circuit trace and node; wordmark "Vytalix"; strapline "Technology for Life"; single colour deep blue, sampled at #153892).</w:t>
      </w:r>
    </w:p>
    <w:p>
      <w:pPr>
        <w:pStyle w:val="ListNumber"/>
      </w:pPr>
      <w:r>
        <w:rPr>
          <w:b/>
        </w:rPr>
        <w:t>A screen recording of the live MaternaLink prototype</w:t>
      </w:r>
      <w:r>
        <w:t xml:space="preserve"> (101 seconds) and the </w:t>
      </w:r>
      <w:r>
        <w:rPr>
          <w:b/>
        </w:rPr>
        <w:t>language-switcher demo</w:t>
      </w:r>
      <w:r>
        <w:t xml:space="preserve"> (30 seconds, English/French).</w:t>
      </w:r>
    </w:p>
    <w:p>
      <w:pPr>
        <w:pStyle w:val="ListNumber"/>
      </w:pPr>
      <w:r>
        <w:rPr>
          <w:b/>
        </w:rPr>
        <w:t>An "Innovation Provisional Proposal"</w:t>
      </w:r>
      <w:r>
        <w:t xml:space="preserve"> describing the umbrella group (mission, five objectives) and the naming rationale (Vytal + ix).</w:t>
      </w:r>
    </w:p>
    <w:p>
      <w:pPr>
        <w:pStyle w:val="ListNumber"/>
      </w:pPr>
      <w:r>
        <w:rPr>
          <w:b/>
        </w:rPr>
        <w:t>Expanded group scope</w:t>
      </w:r>
      <w:r>
        <w:t>: Advisory, Consulting, Health Solutions (MaternaLink), E-Learning, plus four new lines: an operating system, an overseas doctor-placement agency ("like a football agency"), sponsorship for African hospitals, and hospital property and build.</w:t>
      </w:r>
    </w:p>
    <w:p>
      <w:pPr>
        <w:pStyle w:val="ListNumber"/>
      </w:pPr>
      <w:r>
        <w:rPr>
          <w:b/>
        </w:rPr>
        <w:t>MaternaLink product detail</w:t>
      </w:r>
      <w:r>
        <w:t>: "Maternity Watch" issued at the week-16 midwife appointment and returned after postnatal discharge; e-care patient database; maternity triage and maternity A&amp;E; shorter appointments; voice tracing of baby movements; daily questionnaire; partner quizzes; symptom logging (itching hands and feet, vomiting); blood-glucose input for women with diabetes; hospitals either replacing or integrating existing systems.</w:t>
      </w:r>
    </w:p>
    <w:p>
      <w:pPr>
        <w:pStyle w:val="ListNumber"/>
      </w:pPr>
      <w:r>
        <w:rPr>
          <w:b/>
        </w:rPr>
        <w:t>A request</w:t>
      </w:r>
      <w:r>
        <w:t>: recreate the current MaternaLink website to a high standard, and price per product and per annual service.</w:t>
      </w:r>
    </w:p>
    <w:p>
      <w:pPr>
        <w:pStyle w:val="Heading2"/>
      </w:pPr>
      <w:r>
        <w:t>What the prototype actually contains (VERIFIED from the recording)</w:t>
      </w:r>
    </w:p>
    <w:p>
      <w:pPr>
        <w:pStyle w:val="ListBullet"/>
      </w:pPr>
      <w:r>
        <w:t>Landing page: "Offline-first maternal and newborn monitoring for public health systems"; sections on system-level challenges, how the system works (offline capture, secure local storage, automatic synchronisation, risk engine, automatic clinician and supervisor alerts), who it is for (government programmes, public hospitals, donor-supported initiatives), impact, and security (consent-driven collection, encrypted local storage, secure transmission, GDPR-aligned design). A "Request a pilot" button. English and French.</w:t>
      </w:r>
    </w:p>
    <w:p>
      <w:pPr>
        <w:pStyle w:val="ListBullet"/>
      </w:pPr>
      <w:r>
        <w:t>Operator login (email and password; "Request access").</w:t>
      </w:r>
    </w:p>
    <w:p>
      <w:pPr>
        <w:pStyle w:val="ListBullet"/>
      </w:pPr>
      <w:r>
        <w:t xml:space="preserve">Dashboard: Patients (mother and nested newborn rows with risk badges), Alert queue (severity, assign to me, mark contacted), patient record with Overview (maternal summary, newborns, latest vitals, blood-pressure chart, risk events), Timeline (risk evaluations with reasons such as BP_HIGH and PULSE_HIGH and </w:t>
      </w:r>
      <w:r>
        <w:rPr>
          <w:b/>
        </w:rPr>
        <w:t>suggested actions such as "Immediate clinician review" and "Refer to higher facility"</w:t>
      </w:r>
      <w:r>
        <w:t>), Notes, Voice diaries (upload), CSV/PDF export, an Admin tab in one version.</w:t>
      </w:r>
    </w:p>
    <w:p>
      <w:pPr>
        <w:pStyle w:val="ListBullet"/>
      </w:pPr>
      <w:r>
        <w:t>Test data uses photographs of identifiable people and names that look real. No evidence of real patient data, but this must be confirmed and the photos removed.</w:t>
      </w:r>
    </w:p>
    <w:p>
      <w:pPr>
        <w:pStyle w:val="Heading2"/>
      </w:pPr>
      <w:r>
        <w:t>Assumptions checked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 assumption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Status after new information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A4: v1 should be non-diagnostic care coordination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Reinforced.</w:t>
            </w:r>
            <w:r>
              <w:rPr>
                <w:b w:val="0"/>
                <w:sz w:val="17"/>
              </w:rPr>
              <w:t xml:space="preserve"> The prototype already ships a risk engine that suggests clinical actions; that is clinical decision support and must be brought under an intended-use statement and, if kept, a medical-device pathway. Re-scoping is now more urgent, not less.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Brand palette (teal) chosen in </w:t>
            </w:r>
            <w:r>
              <w:rPr>
                <w:rFonts w:ascii="Consolas" w:hAnsi="Consolas"/>
                <w:b w:val="0"/>
                <w:sz w:val="17"/>
              </w:rPr>
              <w:t>03_BRAND_SYSTEM.md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Overturned.</w:t>
            </w:r>
            <w:r>
              <w:rPr>
                <w:b w:val="0"/>
                <w:sz w:val="17"/>
              </w:rPr>
              <w:t xml:space="preserve"> The real logo is deep blue #153892. Brand system and both websites re-skinned to Vytalix Blue; teal retired.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name "MaternaLink"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Inconsistent with the prototype</w:t>
            </w:r>
            <w:r>
              <w:rPr>
                <w:b w:val="0"/>
                <w:sz w:val="17"/>
              </w:rPr>
              <w:t xml:space="preserve"> ("MaternalLink" / "Maternal Link"). Decision: </w:t>
            </w:r>
            <w:r>
              <w:rPr>
                <w:b/>
                <w:sz w:val="17"/>
              </w:rPr>
              <w:t>MaternaLink</w:t>
            </w:r>
            <w:r>
              <w:rPr>
                <w:b w:val="0"/>
                <w:sz w:val="17"/>
              </w:rPr>
              <w:t xml:space="preserve"> (per the founder's brief) everywhere; trademark search must cover both spellings.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Ekiti pricing £300/woman/year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Retired.</w:t>
            </w:r>
            <w:r>
              <w:rPr>
                <w:b w:val="0"/>
                <w:sz w:val="17"/>
              </w:rPr>
              <w:t xml:space="preserve"> Replaced by </w:t>
            </w:r>
            <w:r>
              <w:rPr>
                <w:rFonts w:ascii="Consolas" w:hAnsi="Consolas"/>
                <w:b w:val="0"/>
                <w:sz w:val="17"/>
              </w:rPr>
              <w:t>21_MATERNALINK_PRICING.md</w:t>
            </w:r>
            <w:r>
              <w:rPr>
                <w:b w:val="0"/>
                <w:sz w:val="17"/>
              </w:rPr>
              <w:t xml:space="preserve"> (UK £18–£36; programme £4–£10 per woman per year, plus modules and service).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Group has four pillars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Extended</w:t>
            </w:r>
            <w:r>
              <w:rPr>
                <w:b w:val="0"/>
                <w:sz w:val="17"/>
              </w:rPr>
              <w:t xml:space="preserve"> with four proposed lines; scored below.</w:t>
            </w:r>
          </w:p>
        </w:tc>
      </w:tr>
    </w:tbl>
    <w:p/>
    <w:p>
      <w:pPr>
        <w:pStyle w:val="Heading2"/>
      </w:pPr>
      <w:r>
        <w:t>New ideas scored (framework in 20_DECISION_FRAMEWORK.md; cost, regulatory risk and complexity reverse-scored)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</w:tblGrid>
      <w:tr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Idea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Fit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Rev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Demand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Speed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Scale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Adv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Reg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Complexity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Leverage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Total</w:t>
            </w:r>
          </w:p>
        </w:tc>
        <w:tc>
          <w:tcPr>
            <w:tcW w:type="dxa" w:w="74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Watch as a Vytalix-manufactured device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KILL (manufacture)</w:t>
            </w:r>
            <w:r>
              <w:rPr>
                <w:b w:val="0"/>
                <w:sz w:val="17"/>
              </w:rPr>
              <w:t>; re-enter as "integrate a certified wearable" (scored 58, TEST, after v1)</w:t>
            </w:r>
          </w:p>
        </w:tc>
      </w:tr>
      <w:tr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Triage module (rules owned by the provider)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TEST</w:t>
            </w:r>
            <w:r>
              <w:rPr>
                <w:b w:val="0"/>
                <w:sz w:val="17"/>
              </w:rPr>
              <w:t xml:space="preserve"> with one maternity assessment unit; regulatory opinion first</w:t>
            </w:r>
          </w:p>
        </w:tc>
      </w:tr>
      <w:tr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Woman &amp; partner engagement (daily check-in, symptom log, partner quizzes)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BUILD</w:t>
            </w:r>
            <w:r>
              <w:rPr>
                <w:b w:val="0"/>
                <w:sz w:val="17"/>
              </w:rPr>
              <w:t xml:space="preserve"> into v1 (non-diagnostic; routes to humans)</w:t>
            </w:r>
          </w:p>
        </w:tc>
      </w:tr>
      <w:tr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Diabetes glucose tracking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DEFER</w:t>
            </w:r>
            <w:r>
              <w:rPr>
                <w:b w:val="0"/>
                <w:sz w:val="17"/>
              </w:rPr>
              <w:t xml:space="preserve"> to v2 pending classification</w:t>
            </w:r>
          </w:p>
        </w:tc>
      </w:tr>
      <w:tr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Voice tracing of baby movements (analysis)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KILL as a feature</w:t>
            </w:r>
            <w:r>
              <w:rPr>
                <w:b w:val="0"/>
                <w:sz w:val="17"/>
              </w:rPr>
              <w:t>; research track only</w:t>
            </w:r>
          </w:p>
        </w:tc>
      </w:tr>
      <w:tr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Overseas doctor-placement agency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DEFER</w:t>
            </w:r>
            <w:r>
              <w:rPr>
                <w:b w:val="0"/>
                <w:sz w:val="17"/>
              </w:rPr>
              <w:t>: real market (international recruitment, ethical-recruitment codes, licensing, GMC/host-country registration) but a different business; if pursued, separate entity and specialist partner; never inside the health-tech cap table</w:t>
            </w:r>
          </w:p>
        </w:tc>
      </w:tr>
      <w:tr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Sponsorship for African hospitals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DEFER</w:t>
            </w:r>
            <w:r>
              <w:rPr>
                <w:b w:val="0"/>
                <w:sz w:val="17"/>
              </w:rPr>
              <w:t>: fits Advisory as a fundraising/partnership service, not a division</w:t>
            </w:r>
          </w:p>
        </w:tc>
      </w:tr>
      <w:tr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Hospital property and build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KILL as a Vytalix division</w:t>
            </w:r>
            <w:r>
              <w:rPr>
                <w:b w:val="0"/>
                <w:sz w:val="17"/>
              </w:rPr>
              <w:t>; the founder's Kemek Enterprise is the natural home if ever pursued; keep Vytalix's cap table clean for health-tech investors</w:t>
            </w:r>
          </w:p>
        </w:tc>
      </w:tr>
      <w:tr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"Operating system" (a Vytalix operating platform for hospitals)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74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KILL as stated</w:t>
            </w:r>
            <w:r>
              <w:rPr>
                <w:b w:val="0"/>
                <w:sz w:val="17"/>
              </w:rPr>
              <w:t xml:space="preserve"> (undefined, huge scope); re-enter only as a named product with a buyer</w:t>
            </w:r>
          </w:p>
        </w:tc>
      </w:tr>
    </w:tbl>
    <w:p/>
    <w:p>
      <w:pPr>
        <w:pStyle w:val="Heading2"/>
      </w:pPr>
      <w:r>
        <w:t>Knock-on effects and what changed in the repository</w:t>
      </w:r>
    </w:p>
    <w:p>
      <w:pPr>
        <w:pStyle w:val="ListNumber"/>
      </w:pPr>
      <w:r>
        <w:rPr>
          <w:b/>
        </w:rPr>
        <w:t>Brand:</w:t>
      </w:r>
      <w:r>
        <w:t xml:space="preserve"> </w:t>
      </w:r>
      <w:r>
        <w:rPr>
          <w:rFonts w:ascii="Consolas" w:hAnsi="Consolas"/>
          <w:sz w:val="18"/>
        </w:rPr>
        <w:t>03_BRAND_SYSTEM.md</w:t>
      </w:r>
      <w:r>
        <w:t xml:space="preserve"> updated; corporate website CSS re-skinned to Vytalix Blue; real logo files added (</w:t>
      </w:r>
      <w:r>
        <w:rPr>
          <w:rFonts w:ascii="Consolas" w:hAnsi="Consolas"/>
          <w:sz w:val="18"/>
        </w:rPr>
        <w:t>website/assets/img/vytalix-logo.png</w:t>
      </w:r>
      <w:r>
        <w:t xml:space="preserve">, </w:t>
      </w:r>
      <w:r>
        <w:rPr>
          <w:rFonts w:ascii="Consolas" w:hAnsi="Consolas"/>
          <w:sz w:val="18"/>
        </w:rPr>
        <w:t>vytalix-mark.png</w:t>
      </w:r>
      <w:r>
        <w:t>).</w:t>
      </w:r>
    </w:p>
    <w:p>
      <w:pPr>
        <w:pStyle w:val="ListNumber"/>
      </w:pPr>
      <w:r>
        <w:rPr>
          <w:b/>
        </w:rPr>
        <w:t>MaternaLink website rebuilt</w:t>
      </w:r>
      <w:r>
        <w:t xml:space="preserve"> at </w:t>
      </w:r>
      <w:r>
        <w:rPr>
          <w:rFonts w:ascii="Consolas" w:hAnsi="Consolas"/>
          <w:sz w:val="18"/>
        </w:rPr>
        <w:t>/maternalink-site/</w:t>
      </w:r>
      <w:r>
        <w:t xml:space="preserve"> (landing with EN/FR, platform, programmes, security, pricing, request-a-pilot, operator login, demo dashboard with clearly labelled demo data) to the Vytalix standard, with all claims traceable to FACTS_BASE.</w:t>
      </w:r>
    </w:p>
    <w:p>
      <w:pPr>
        <w:pStyle w:val="ListNumber"/>
      </w:pPr>
      <w:r>
        <w:rPr>
          <w:b/>
        </w:rPr>
        <w:t>Pricing:</w:t>
      </w:r>
      <w:r>
        <w:t xml:space="preserve"> </w:t>
      </w:r>
      <w:r>
        <w:rPr>
          <w:rFonts w:ascii="Consolas" w:hAnsi="Consolas"/>
          <w:sz w:val="18"/>
        </w:rPr>
        <w:t>21_MATERNALINK_PRICING.md</w:t>
      </w:r>
      <w:r>
        <w:t xml:space="preserve"> (this is the answer to "help me with pricing, per product, annual service").</w:t>
      </w:r>
    </w:p>
    <w:p>
      <w:pPr>
        <w:pStyle w:val="ListNumber"/>
      </w:pPr>
      <w:r>
        <w:rPr>
          <w:b/>
        </w:rPr>
        <w:t>Product:</w:t>
      </w:r>
      <w:r>
        <w:t xml:space="preserve"> </w:t>
      </w:r>
      <w:r>
        <w:rPr>
          <w:rFonts w:ascii="Consolas" w:hAnsi="Consolas"/>
          <w:sz w:val="18"/>
        </w:rPr>
        <w:t>product/MATERNALINK_FEATURE_ADDENDUM.md</w:t>
      </w:r>
      <w:r>
        <w:t xml:space="preserve"> maps every requested feature to version, regulatory posture and evidence needed.</w:t>
      </w:r>
    </w:p>
    <w:p>
      <w:pPr>
        <w:pStyle w:val="ListNumber"/>
      </w:pPr>
      <w:r>
        <w:rPr>
          <w:b/>
        </w:rPr>
        <w:t>Facts base:</w:t>
      </w:r>
      <w:r>
        <w:t xml:space="preserve"> §1 extended with the prototype contents, logo and scope; §3 adds decisions A9–A12.</w:t>
      </w:r>
    </w:p>
    <w:p>
      <w:pPr>
        <w:pStyle w:val="ListNumber"/>
      </w:pPr>
      <w:r>
        <w:rPr>
          <w:b/>
        </w:rPr>
        <w:t>Group structure:</w:t>
      </w:r>
      <w:r>
        <w:t xml:space="preserve"> the agency, sponsorship and property ideas are recorded as out-of-scope for the health-tech entity; Advisory may sell "hospital partnership and sponsorship strategy" as a service.</w:t>
      </w:r>
    </w:p>
    <w:p>
      <w:pPr>
        <w:pStyle w:val="ListNumber"/>
      </w:pPr>
      <w:r>
        <w:rPr>
          <w:b/>
        </w:rPr>
        <w:t>Priorities:</w:t>
      </w:r>
      <w:r>
        <w:t xml:space="preserve"> unchanged order (IP → entity → claims → revenue → investors → product) with one addition: </w:t>
      </w:r>
      <w:r>
        <w:rPr>
          <w:b/>
        </w:rPr>
        <w:t>prototype audit moves from Day 30 to Day 14</w:t>
      </w:r>
      <w:r>
        <w:t xml:space="preserve"> because the risk engine's suggested actions and the identifiable test photos are live on a public URL today.</w:t>
      </w:r>
    </w:p>
    <w:p>
      <w:pPr>
        <w:pStyle w:val="Heading2"/>
      </w:pPr>
      <w:r>
        <w:t>Immediate actions added</w:t>
      </w:r>
    </w:p>
    <w:p>
      <w:pPr>
        <w:pStyle w:val="ListBullet"/>
      </w:pPr>
      <w:r>
        <w:t>Day 1–3: remove identifiable photographs and confirm no real patient data on the public prototype; restrict the Vercel URL behind authentication.</w:t>
      </w:r>
    </w:p>
    <w:p>
      <w:pPr>
        <w:pStyle w:val="ListBullet"/>
      </w:pPr>
      <w:r>
        <w:t>Day 3: adopt the intended-use statement; document the risk engine as programme-configured rules pending a regulatory opinion.</w:t>
      </w:r>
    </w:p>
    <w:p>
      <w:pPr>
        <w:pStyle w:val="ListBullet"/>
      </w:pPr>
      <w:r>
        <w:t>Day 14: prototype code and security audit (brought forward).</w:t>
      </w:r>
    </w:p>
    <w:p>
      <w:pPr>
        <w:pStyle w:val="ListBullet"/>
      </w:pPr>
      <w:r>
        <w:t xml:space="preserve">Day 21: pricing validation interviews scheduled using </w:t>
      </w:r>
      <w:r>
        <w:rPr>
          <w:rFonts w:ascii="Consolas" w:hAnsi="Consolas"/>
          <w:sz w:val="18"/>
        </w:rPr>
        <w:t>21_MATERNALINK_PRICING.md</w:t>
      </w:r>
      <w:r>
        <w:t xml:space="preserve"> worked examples.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