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MATERNALINK FEATURE ADDENDUM (8 September 2026)</w:t>
      </w:r>
    </w:p>
    <w:p>
      <w:r>
        <w:t xml:space="preserve">Maps every feature the founder described to a version, a regulatory posture and the evidence needed before it is sold or claimed. Read with </w:t>
      </w:r>
      <w:r>
        <w:rPr>
          <w:rFonts w:ascii="Consolas" w:hAnsi="Consolas"/>
          <w:sz w:val="18"/>
        </w:rPr>
        <w:t>/docs/04_MATERNALINK_PRODUCT_STRATEGY.md</w:t>
      </w:r>
      <w:r>
        <w:t xml:space="preserve">, </w:t>
      </w:r>
      <w:r>
        <w:rPr>
          <w:rFonts w:ascii="Consolas" w:hAnsi="Consolas"/>
          <w:sz w:val="18"/>
        </w:rPr>
        <w:t>/product/MATERNALINK_PRD.md</w:t>
      </w:r>
      <w:r>
        <w:t xml:space="preserve"> and </w:t>
      </w:r>
      <w:r>
        <w:rPr>
          <w:rFonts w:ascii="Consolas" w:hAnsi="Consolas"/>
          <w:sz w:val="18"/>
        </w:rPr>
        <w:t>/docs/21_MATERNALINK_PRICING.md</w:t>
      </w:r>
      <w:r>
        <w:t>. Status labels: PROPOSED unless stated.</w:t>
      </w:r>
    </w:p>
    <w:p>
      <w:pPr>
        <w:pStyle w:val="Heading2"/>
      </w:pPr>
      <w:r>
        <w:t>Executive view</w:t>
      </w:r>
    </w:p>
    <w:p>
      <w:pPr>
        <w:pStyle w:val="ListNumber"/>
      </w:pPr>
      <w:r>
        <w:t xml:space="preserve">Most of the founder's feature list fits v1 as </w:t>
      </w:r>
      <w:r>
        <w:rPr>
          <w:b/>
        </w:rPr>
        <w:t>non-diagnostic engagement and coordination</w:t>
      </w:r>
      <w:r>
        <w:t>: daily questionnaire, symptom log, partner engagement, e-care database, appointment efficiency, voice diaries as storage.</w:t>
      </w:r>
    </w:p>
    <w:p>
      <w:pPr>
        <w:pStyle w:val="ListNumber"/>
      </w:pPr>
      <w:r>
        <w:t xml:space="preserve">Three features carry </w:t>
      </w:r>
      <w:r>
        <w:rPr>
          <w:b/>
        </w:rPr>
        <w:t>medical-device exposure</w:t>
      </w:r>
      <w:r>
        <w:t xml:space="preserve"> and need a regulatory opinion before they are configured or claimed: triage prioritisation, glucose interpretation, and any wearable that measures physiology for clinical use.</w:t>
      </w:r>
    </w:p>
    <w:p>
      <w:pPr>
        <w:pStyle w:val="ListNumber"/>
      </w:pPr>
      <w:r>
        <w:rPr>
          <w:b/>
        </w:rPr>
        <w:t>Voice tracing of baby movements</w:t>
      </w:r>
      <w:r>
        <w:t xml:space="preserve"> is an unvalidated research idea and must not appear in any sales material as a feature.</w:t>
      </w:r>
    </w:p>
    <w:p>
      <w:pPr>
        <w:pStyle w:val="ListNumber"/>
      </w:pPr>
      <w:r>
        <w:rPr>
          <w:b/>
        </w:rPr>
        <w:t>Replace vs integrate</w:t>
      </w:r>
      <w:r>
        <w:t xml:space="preserve"> is a deployment mode, not two products: Core can be the working programme record where none exists; where a maternity record exists, MaternaLink integrates and never becomes the legal record.</w:t>
      </w:r>
    </w:p>
    <w:p>
      <w:pPr>
        <w:pStyle w:val="ListNumber"/>
      </w:pPr>
      <w:r>
        <w:t>The prototype already implements a risk engine with suggested clinical actions; that is the single biggest gap between "what exists" and "what can be claimed".</w:t>
      </w:r>
    </w:p>
    <w:p>
      <w:pPr>
        <w:pStyle w:val="Heading2"/>
      </w:pPr>
      <w:r>
        <w:t>Feature map</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Founder's feature</w:t>
            </w:r>
          </w:p>
        </w:tc>
        <w:tc>
          <w:tcPr>
            <w:tcW w:type="dxa" w:w="1608"/>
          </w:tcPr>
          <w:p>
            <w:r>
              <w:rPr>
                <w:b/>
                <w:sz w:val="17"/>
              </w:rPr>
            </w:r>
            <w:r>
              <w:rPr>
                <w:b/>
                <w:sz w:val="17"/>
              </w:rPr>
              <w:t>Product mapping</w:t>
            </w:r>
          </w:p>
        </w:tc>
        <w:tc>
          <w:tcPr>
            <w:tcW w:type="dxa" w:w="1608"/>
          </w:tcPr>
          <w:p>
            <w:r>
              <w:rPr>
                <w:b/>
                <w:sz w:val="17"/>
              </w:rPr>
            </w:r>
            <w:r>
              <w:rPr>
                <w:b/>
                <w:sz w:val="17"/>
              </w:rPr>
              <w:t>Version</w:t>
            </w:r>
          </w:p>
        </w:tc>
        <w:tc>
          <w:tcPr>
            <w:tcW w:type="dxa" w:w="1608"/>
          </w:tcPr>
          <w:p>
            <w:r>
              <w:rPr>
                <w:b/>
                <w:sz w:val="17"/>
              </w:rPr>
            </w:r>
            <w:r>
              <w:rPr>
                <w:b/>
                <w:sz w:val="17"/>
              </w:rPr>
              <w:t>Regulatory posture</w:t>
            </w:r>
          </w:p>
        </w:tc>
        <w:tc>
          <w:tcPr>
            <w:tcW w:type="dxa" w:w="1608"/>
          </w:tcPr>
          <w:p>
            <w:r>
              <w:rPr>
                <w:b/>
                <w:sz w:val="17"/>
              </w:rPr>
            </w:r>
            <w:r>
              <w:rPr>
                <w:b/>
                <w:sz w:val="17"/>
              </w:rPr>
              <w:t>Evidence before claim</w:t>
            </w:r>
          </w:p>
        </w:tc>
        <w:tc>
          <w:tcPr>
            <w:tcW w:type="dxa" w:w="1608"/>
          </w:tcPr>
          <w:p>
            <w:r>
              <w:rPr>
                <w:b/>
                <w:sz w:val="17"/>
              </w:rPr>
            </w:r>
            <w:r>
              <w:rPr>
                <w:b/>
                <w:sz w:val="17"/>
              </w:rPr>
              <w:t>Pricing code</w:t>
            </w:r>
          </w:p>
        </w:tc>
      </w:tr>
      <w:tr>
        <w:tc>
          <w:tcPr>
            <w:tcW w:type="dxa" w:w="1608"/>
          </w:tcPr>
          <w:p>
            <w:r>
              <w:rPr>
                <w:b w:val="0"/>
                <w:sz w:val="17"/>
              </w:rPr>
            </w:r>
            <w:r>
              <w:rPr>
                <w:b w:val="0"/>
                <w:sz w:val="17"/>
              </w:rPr>
              <w:t>E-care patient database ("Maternity watch" record)</w:t>
            </w:r>
          </w:p>
        </w:tc>
        <w:tc>
          <w:tcPr>
            <w:tcW w:type="dxa" w:w="1608"/>
          </w:tcPr>
          <w:p>
            <w:r>
              <w:rPr>
                <w:b w:val="0"/>
                <w:sz w:val="17"/>
              </w:rPr>
            </w:r>
            <w:r>
              <w:rPr>
                <w:b w:val="0"/>
                <w:sz w:val="17"/>
              </w:rPr>
              <w:t>Core registry: mother + newborn, timeline, notes, exports; provider-configurable fields</w:t>
            </w:r>
          </w:p>
        </w:tc>
        <w:tc>
          <w:tcPr>
            <w:tcW w:type="dxa" w:w="1608"/>
          </w:tcPr>
          <w:p>
            <w:r>
              <w:rPr>
                <w:b w:val="0"/>
                <w:sz w:val="17"/>
              </w:rPr>
            </w:r>
            <w:r>
              <w:rPr>
                <w:b w:val="0"/>
                <w:sz w:val="17"/>
              </w:rPr>
              <w:t>v1</w:t>
            </w:r>
          </w:p>
        </w:tc>
        <w:tc>
          <w:tcPr>
            <w:tcW w:type="dxa" w:w="1608"/>
          </w:tcPr>
          <w:p>
            <w:r>
              <w:rPr>
                <w:b w:val="0"/>
                <w:sz w:val="17"/>
              </w:rPr>
            </w:r>
            <w:r>
              <w:rPr>
                <w:b w:val="0"/>
                <w:sz w:val="17"/>
              </w:rPr>
              <w:t>Non-diagnostic record support; data-protection controls; never the legal record where one exists</w:t>
            </w:r>
          </w:p>
        </w:tc>
        <w:tc>
          <w:tcPr>
            <w:tcW w:type="dxa" w:w="1608"/>
          </w:tcPr>
          <w:p>
            <w:r>
              <w:rPr>
                <w:b w:val="0"/>
                <w:sz w:val="17"/>
              </w:rPr>
            </w:r>
            <w:r>
              <w:rPr>
                <w:b w:val="0"/>
                <w:sz w:val="17"/>
              </w:rPr>
              <w:t>DPIA, DSPT/Cyber Essentials, audit log tests</w:t>
            </w:r>
          </w:p>
        </w:tc>
        <w:tc>
          <w:tcPr>
            <w:tcW w:type="dxa" w:w="1608"/>
          </w:tcPr>
          <w:p>
            <w:r>
              <w:rPr>
                <w:b w:val="0"/>
                <w:sz w:val="17"/>
              </w:rPr>
            </w:r>
            <w:r>
              <w:rPr>
                <w:b w:val="0"/>
                <w:sz w:val="17"/>
              </w:rPr>
              <w:t>ML-CORE</w:t>
            </w:r>
          </w:p>
        </w:tc>
      </w:tr>
      <w:tr>
        <w:tc>
          <w:tcPr>
            <w:tcW w:type="dxa" w:w="1608"/>
          </w:tcPr>
          <w:p>
            <w:r>
              <w:rPr>
                <w:b w:val="0"/>
                <w:sz w:val="17"/>
              </w:rPr>
            </w:r>
            <w:r>
              <w:rPr>
                <w:b w:val="0"/>
                <w:sz w:val="17"/>
              </w:rPr>
              <w:t>Given at the week-16 midwife appointment; returned after postnatal discharge</w:t>
            </w:r>
          </w:p>
        </w:tc>
        <w:tc>
          <w:tcPr>
            <w:tcW w:type="dxa" w:w="1608"/>
          </w:tcPr>
          <w:p>
            <w:r>
              <w:rPr>
                <w:b w:val="0"/>
                <w:sz w:val="17"/>
              </w:rPr>
            </w:r>
            <w:r>
              <w:rPr>
                <w:b/>
                <w:sz w:val="17"/>
              </w:rPr>
              <w:t>Enrolment and discharge workflow</w:t>
            </w:r>
            <w:r>
              <w:rPr>
                <w:b w:val="0"/>
                <w:sz w:val="17"/>
              </w:rPr>
              <w:t>: consent, onboarding, device issue/return log, offboarding and data retention rules</w:t>
            </w:r>
          </w:p>
        </w:tc>
        <w:tc>
          <w:tcPr>
            <w:tcW w:type="dxa" w:w="1608"/>
          </w:tcPr>
          <w:p>
            <w:r>
              <w:rPr>
                <w:b w:val="0"/>
                <w:sz w:val="17"/>
              </w:rPr>
            </w:r>
            <w:r>
              <w:rPr>
                <w:b w:val="0"/>
                <w:sz w:val="17"/>
              </w:rPr>
              <w:t>v1 (software) · device later</w:t>
            </w:r>
          </w:p>
        </w:tc>
        <w:tc>
          <w:tcPr>
            <w:tcW w:type="dxa" w:w="1608"/>
          </w:tcPr>
          <w:p>
            <w:r>
              <w:rPr>
                <w:b w:val="0"/>
                <w:sz w:val="17"/>
              </w:rPr>
            </w:r>
            <w:r>
              <w:rPr>
                <w:b w:val="0"/>
                <w:sz w:val="17"/>
              </w:rPr>
              <w:t>Software: none beyond data protection. Device: see Watch row</w:t>
            </w:r>
          </w:p>
        </w:tc>
        <w:tc>
          <w:tcPr>
            <w:tcW w:type="dxa" w:w="1608"/>
          </w:tcPr>
          <w:p>
            <w:r>
              <w:rPr>
                <w:b w:val="0"/>
                <w:sz w:val="17"/>
              </w:rPr>
            </w:r>
            <w:r>
              <w:rPr>
                <w:b w:val="0"/>
                <w:sz w:val="17"/>
              </w:rPr>
              <w:t>Onboarding time and completion rates in pilot</w:t>
            </w:r>
          </w:p>
        </w:tc>
        <w:tc>
          <w:tcPr>
            <w:tcW w:type="dxa" w:w="1608"/>
          </w:tcPr>
          <w:p>
            <w:r>
              <w:rPr>
                <w:b w:val="0"/>
                <w:sz w:val="17"/>
              </w:rPr>
            </w:r>
            <w:r>
              <w:rPr>
                <w:b w:val="0"/>
                <w:sz w:val="17"/>
              </w:rPr>
              <w:t>ML-CORE (+ML-WATCH)</w:t>
            </w:r>
          </w:p>
        </w:tc>
      </w:tr>
      <w:tr>
        <w:tc>
          <w:tcPr>
            <w:tcW w:type="dxa" w:w="1608"/>
          </w:tcPr>
          <w:p>
            <w:r>
              <w:rPr>
                <w:b w:val="0"/>
                <w:sz w:val="17"/>
              </w:rPr>
            </w:r>
            <w:r>
              <w:rPr>
                <w:b w:val="0"/>
                <w:sz w:val="17"/>
              </w:rPr>
              <w:t>Midwife better explanation</w:t>
            </w:r>
          </w:p>
        </w:tc>
        <w:tc>
          <w:tcPr>
            <w:tcW w:type="dxa" w:w="1608"/>
          </w:tcPr>
          <w:p>
            <w:r>
              <w:rPr>
                <w:b w:val="0"/>
                <w:sz w:val="17"/>
              </w:rPr>
            </w:r>
            <w:r>
              <w:rPr>
                <w:b w:val="0"/>
                <w:sz w:val="17"/>
              </w:rPr>
              <w:t>Clinician-signed-off education library, delivered in-app and by SMS/WhatsApp, multilingual roadmap</w:t>
            </w:r>
          </w:p>
        </w:tc>
        <w:tc>
          <w:tcPr>
            <w:tcW w:type="dxa" w:w="1608"/>
          </w:tcPr>
          <w:p>
            <w:r>
              <w:rPr>
                <w:b w:val="0"/>
                <w:sz w:val="17"/>
              </w:rPr>
            </w:r>
            <w:r>
              <w:rPr>
                <w:b w:val="0"/>
                <w:sz w:val="17"/>
              </w:rPr>
              <w:t>v1</w:t>
            </w:r>
          </w:p>
        </w:tc>
        <w:tc>
          <w:tcPr>
            <w:tcW w:type="dxa" w:w="1608"/>
          </w:tcPr>
          <w:p>
            <w:r>
              <w:rPr>
                <w:b w:val="0"/>
                <w:sz w:val="17"/>
              </w:rPr>
            </w:r>
            <w:r>
              <w:rPr>
                <w:b w:val="0"/>
                <w:sz w:val="17"/>
              </w:rPr>
              <w:t>Educational content; governed by a content sign-off process</w:t>
            </w:r>
          </w:p>
        </w:tc>
        <w:tc>
          <w:tcPr>
            <w:tcW w:type="dxa" w:w="1608"/>
          </w:tcPr>
          <w:p>
            <w:r>
              <w:rPr>
                <w:b w:val="0"/>
                <w:sz w:val="17"/>
              </w:rPr>
            </w:r>
            <w:r>
              <w:rPr>
                <w:b w:val="0"/>
                <w:sz w:val="17"/>
              </w:rPr>
              <w:t>Comprehension and engagement measures</w:t>
            </w:r>
          </w:p>
        </w:tc>
        <w:tc>
          <w:tcPr>
            <w:tcW w:type="dxa" w:w="1608"/>
          </w:tcPr>
          <w:p>
            <w:r>
              <w:rPr>
                <w:b w:val="0"/>
                <w:sz w:val="17"/>
              </w:rPr>
            </w:r>
            <w:r>
              <w:rPr>
                <w:b w:val="0"/>
                <w:sz w:val="17"/>
              </w:rPr>
              <w:t>ML-ENGAGE</w:t>
            </w:r>
          </w:p>
        </w:tc>
      </w:tr>
      <w:tr>
        <w:tc>
          <w:tcPr>
            <w:tcW w:type="dxa" w:w="1608"/>
          </w:tcPr>
          <w:p>
            <w:r>
              <w:rPr>
                <w:b w:val="0"/>
                <w:sz w:val="17"/>
              </w:rPr>
            </w:r>
            <w:r>
              <w:rPr>
                <w:b w:val="0"/>
                <w:sz w:val="17"/>
              </w:rPr>
              <w:t>Decrease the appointment time</w:t>
            </w:r>
          </w:p>
        </w:tc>
        <w:tc>
          <w:tcPr>
            <w:tcW w:type="dxa" w:w="1608"/>
          </w:tcPr>
          <w:p>
            <w:r>
              <w:rPr>
                <w:b w:val="0"/>
                <w:sz w:val="17"/>
              </w:rPr>
            </w:r>
            <w:r>
              <w:rPr>
                <w:b w:val="0"/>
                <w:sz w:val="17"/>
              </w:rPr>
              <w:t>Pre-appointment check-in and symptom summary for the clinician; structured handover</w:t>
            </w:r>
          </w:p>
        </w:tc>
        <w:tc>
          <w:tcPr>
            <w:tcW w:type="dxa" w:w="1608"/>
          </w:tcPr>
          <w:p>
            <w:r>
              <w:rPr>
                <w:b w:val="0"/>
                <w:sz w:val="17"/>
              </w:rPr>
            </w:r>
            <w:r>
              <w:rPr>
                <w:b w:val="0"/>
                <w:sz w:val="17"/>
              </w:rPr>
              <w:t>v1</w:t>
            </w:r>
          </w:p>
        </w:tc>
        <w:tc>
          <w:tcPr>
            <w:tcW w:type="dxa" w:w="1608"/>
          </w:tcPr>
          <w:p>
            <w:r>
              <w:rPr>
                <w:b w:val="0"/>
                <w:sz w:val="17"/>
              </w:rPr>
            </w:r>
            <w:r>
              <w:rPr>
                <w:b w:val="0"/>
                <w:sz w:val="17"/>
              </w:rPr>
              <w:t>Non-diagnostic summary; clinician reviews raw entries</w:t>
            </w:r>
          </w:p>
        </w:tc>
        <w:tc>
          <w:tcPr>
            <w:tcW w:type="dxa" w:w="1608"/>
          </w:tcPr>
          <w:p>
            <w:r>
              <w:rPr>
                <w:b w:val="0"/>
                <w:sz w:val="17"/>
              </w:rPr>
            </w:r>
            <w:r>
              <w:rPr>
                <w:b w:val="0"/>
                <w:sz w:val="17"/>
              </w:rPr>
              <w:t>Time-and-motion study in the pilot (do not claim minutes saved before measured)</w:t>
            </w:r>
          </w:p>
        </w:tc>
        <w:tc>
          <w:tcPr>
            <w:tcW w:type="dxa" w:w="1608"/>
          </w:tcPr>
          <w:p>
            <w:r>
              <w:rPr>
                <w:b w:val="0"/>
                <w:sz w:val="17"/>
              </w:rPr>
            </w:r>
            <w:r>
              <w:rPr>
                <w:b w:val="0"/>
                <w:sz w:val="17"/>
              </w:rPr>
              <w:t>ML-CORE</w:t>
            </w:r>
          </w:p>
        </w:tc>
      </w:tr>
      <w:tr>
        <w:tc>
          <w:tcPr>
            <w:tcW w:type="dxa" w:w="1608"/>
          </w:tcPr>
          <w:p>
            <w:r>
              <w:rPr>
                <w:b w:val="0"/>
                <w:sz w:val="17"/>
              </w:rPr>
            </w:r>
            <w:r>
              <w:rPr>
                <w:b w:val="0"/>
                <w:sz w:val="17"/>
              </w:rPr>
              <w:t>Maternity Triage / Maternity A&amp;E</w:t>
            </w:r>
          </w:p>
        </w:tc>
        <w:tc>
          <w:tcPr>
            <w:tcW w:type="dxa" w:w="1608"/>
          </w:tcPr>
          <w:p>
            <w:r>
              <w:rPr>
                <w:b w:val="0"/>
                <w:sz w:val="17"/>
              </w:rPr>
            </w:r>
            <w:r>
              <w:rPr>
                <w:b/>
                <w:sz w:val="17"/>
              </w:rPr>
              <w:t>Triage intake module</w:t>
            </w:r>
            <w:r>
              <w:rPr>
                <w:b w:val="0"/>
                <w:sz w:val="17"/>
              </w:rPr>
              <w:t xml:space="preserve">: structured presenting-complaint capture, contact and outcome logging, prioritisation rules </w:t>
            </w:r>
            <w:r>
              <w:rPr>
                <w:b/>
                <w:sz w:val="17"/>
              </w:rPr>
              <w:t>configured and owned by the site's clinical governance</w:t>
            </w:r>
          </w:p>
        </w:tc>
        <w:tc>
          <w:tcPr>
            <w:tcW w:type="dxa" w:w="1608"/>
          </w:tcPr>
          <w:p>
            <w:r>
              <w:rPr>
                <w:b w:val="0"/>
                <w:sz w:val="17"/>
              </w:rPr>
            </w:r>
            <w:r>
              <w:rPr>
                <w:b w:val="0"/>
                <w:sz w:val="17"/>
              </w:rPr>
              <w:t>v2 (TEST first)</w:t>
            </w:r>
          </w:p>
        </w:tc>
        <w:tc>
          <w:tcPr>
            <w:tcW w:type="dxa" w:w="1608"/>
          </w:tcPr>
          <w:p>
            <w:r>
              <w:rPr>
                <w:b w:val="0"/>
                <w:sz w:val="17"/>
              </w:rPr>
            </w:r>
            <w:r>
              <w:rPr>
                <w:b w:val="0"/>
                <w:sz w:val="17"/>
              </w:rPr>
              <w:t>Likely clinical decision support if Vytalix ships rules; safe posture = rule editor without default rules; obtain MHRA classification opinion</w:t>
            </w:r>
          </w:p>
        </w:tc>
        <w:tc>
          <w:tcPr>
            <w:tcW w:type="dxa" w:w="1608"/>
          </w:tcPr>
          <w:p>
            <w:r>
              <w:rPr>
                <w:b w:val="0"/>
                <w:sz w:val="17"/>
              </w:rPr>
            </w:r>
            <w:r>
              <w:rPr>
                <w:b w:val="0"/>
                <w:sz w:val="17"/>
              </w:rPr>
              <w:t>Regulatory opinion; one-site service evaluation</w:t>
            </w:r>
          </w:p>
        </w:tc>
        <w:tc>
          <w:tcPr>
            <w:tcW w:type="dxa" w:w="1608"/>
          </w:tcPr>
          <w:p>
            <w:r>
              <w:rPr>
                <w:b w:val="0"/>
                <w:sz w:val="17"/>
              </w:rPr>
            </w:r>
            <w:r>
              <w:rPr>
                <w:b w:val="0"/>
                <w:sz w:val="17"/>
              </w:rPr>
              <w:t>ML-TRIAGE</w:t>
            </w:r>
          </w:p>
        </w:tc>
      </w:tr>
      <w:tr>
        <w:tc>
          <w:tcPr>
            <w:tcW w:type="dxa" w:w="1608"/>
          </w:tcPr>
          <w:p>
            <w:r>
              <w:rPr>
                <w:b w:val="0"/>
                <w:sz w:val="17"/>
              </w:rPr>
            </w:r>
            <w:r>
              <w:rPr>
                <w:b w:val="0"/>
                <w:sz w:val="17"/>
              </w:rPr>
              <w:t>Daily questionnaire (like a period app)</w:t>
            </w:r>
          </w:p>
        </w:tc>
        <w:tc>
          <w:tcPr>
            <w:tcW w:type="dxa" w:w="1608"/>
          </w:tcPr>
          <w:p>
            <w:r>
              <w:rPr>
                <w:b w:val="0"/>
                <w:sz w:val="17"/>
              </w:rPr>
            </w:r>
            <w:r>
              <w:rPr>
                <w:b w:val="0"/>
                <w:sz w:val="17"/>
              </w:rPr>
              <w:t>Daily check-in with configurable questions; streaks and reminders; answers visible to the care team</w:t>
            </w:r>
          </w:p>
        </w:tc>
        <w:tc>
          <w:tcPr>
            <w:tcW w:type="dxa" w:w="1608"/>
          </w:tcPr>
          <w:p>
            <w:r>
              <w:rPr>
                <w:b w:val="0"/>
                <w:sz w:val="17"/>
              </w:rPr>
            </w:r>
            <w:r>
              <w:rPr>
                <w:b w:val="0"/>
                <w:sz w:val="17"/>
              </w:rPr>
              <w:t>v1</w:t>
            </w:r>
          </w:p>
        </w:tc>
        <w:tc>
          <w:tcPr>
            <w:tcW w:type="dxa" w:w="1608"/>
          </w:tcPr>
          <w:p>
            <w:r>
              <w:rPr>
                <w:b w:val="0"/>
                <w:sz w:val="17"/>
              </w:rPr>
            </w:r>
            <w:r>
              <w:rPr>
                <w:b w:val="0"/>
                <w:sz w:val="17"/>
              </w:rPr>
              <w:t>Non-diagnostic; every concerning answer routes to a human within a defined SLA</w:t>
            </w:r>
          </w:p>
        </w:tc>
        <w:tc>
          <w:tcPr>
            <w:tcW w:type="dxa" w:w="1608"/>
          </w:tcPr>
          <w:p>
            <w:r>
              <w:rPr>
                <w:b w:val="0"/>
                <w:sz w:val="17"/>
              </w:rPr>
            </w:r>
            <w:r>
              <w:rPr>
                <w:b w:val="0"/>
                <w:sz w:val="17"/>
              </w:rPr>
              <w:t>Engagement rates; escalation handling audit</w:t>
            </w:r>
          </w:p>
        </w:tc>
        <w:tc>
          <w:tcPr>
            <w:tcW w:type="dxa" w:w="1608"/>
          </w:tcPr>
          <w:p>
            <w:r>
              <w:rPr>
                <w:b w:val="0"/>
                <w:sz w:val="17"/>
              </w:rPr>
            </w:r>
            <w:r>
              <w:rPr>
                <w:b w:val="0"/>
                <w:sz w:val="17"/>
              </w:rPr>
              <w:t>ML-ENGAGE</w:t>
            </w:r>
          </w:p>
        </w:tc>
      </w:tr>
      <w:tr>
        <w:tc>
          <w:tcPr>
            <w:tcW w:type="dxa" w:w="1608"/>
          </w:tcPr>
          <w:p>
            <w:r>
              <w:rPr>
                <w:b w:val="0"/>
                <w:sz w:val="17"/>
              </w:rPr>
            </w:r>
            <w:r>
              <w:rPr>
                <w:b w:val="0"/>
                <w:sz w:val="17"/>
              </w:rPr>
              <w:t>Quizzes and section for partners</w:t>
            </w:r>
          </w:p>
        </w:tc>
        <w:tc>
          <w:tcPr>
            <w:tcW w:type="dxa" w:w="1608"/>
          </w:tcPr>
          <w:p>
            <w:r>
              <w:rPr>
                <w:b w:val="0"/>
                <w:sz w:val="17"/>
              </w:rPr>
            </w:r>
            <w:r>
              <w:rPr>
                <w:b w:val="0"/>
                <w:sz w:val="17"/>
              </w:rPr>
              <w:t>Partner account linked with the woman's consent; education quizzes; prompts (appointment companion, warning signs to watch)</w:t>
            </w:r>
          </w:p>
        </w:tc>
        <w:tc>
          <w:tcPr>
            <w:tcW w:type="dxa" w:w="1608"/>
          </w:tcPr>
          <w:p>
            <w:r>
              <w:rPr>
                <w:b w:val="0"/>
                <w:sz w:val="17"/>
              </w:rPr>
            </w:r>
            <w:r>
              <w:rPr>
                <w:b w:val="0"/>
                <w:sz w:val="17"/>
              </w:rPr>
              <w:t>v1</w:t>
            </w:r>
          </w:p>
        </w:tc>
        <w:tc>
          <w:tcPr>
            <w:tcW w:type="dxa" w:w="1608"/>
          </w:tcPr>
          <w:p>
            <w:r>
              <w:rPr>
                <w:b w:val="0"/>
                <w:sz w:val="17"/>
              </w:rPr>
            </w:r>
            <w:r>
              <w:rPr>
                <w:b w:val="0"/>
                <w:sz w:val="17"/>
              </w:rPr>
              <w:t>Consent and safeguarding: the woman controls partner access and can revoke it silently (domestic-abuse safe design)</w:t>
            </w:r>
          </w:p>
        </w:tc>
        <w:tc>
          <w:tcPr>
            <w:tcW w:type="dxa" w:w="1608"/>
          </w:tcPr>
          <w:p>
            <w:r>
              <w:rPr>
                <w:b w:val="0"/>
                <w:sz w:val="17"/>
              </w:rPr>
            </w:r>
            <w:r>
              <w:rPr>
                <w:b w:val="0"/>
                <w:sz w:val="17"/>
              </w:rPr>
              <w:t>Safeguarding review; user testing with charities</w:t>
            </w:r>
          </w:p>
        </w:tc>
        <w:tc>
          <w:tcPr>
            <w:tcW w:type="dxa" w:w="1608"/>
          </w:tcPr>
          <w:p>
            <w:r>
              <w:rPr>
                <w:b w:val="0"/>
                <w:sz w:val="17"/>
              </w:rPr>
            </w:r>
            <w:r>
              <w:rPr>
                <w:b w:val="0"/>
                <w:sz w:val="17"/>
              </w:rPr>
              <w:t>ML-ENGAGE</w:t>
            </w:r>
          </w:p>
        </w:tc>
      </w:tr>
      <w:tr>
        <w:tc>
          <w:tcPr>
            <w:tcW w:type="dxa" w:w="1608"/>
          </w:tcPr>
          <w:p>
            <w:r>
              <w:rPr>
                <w:b w:val="0"/>
                <w:sz w:val="17"/>
              </w:rPr>
            </w:r>
            <w:r>
              <w:rPr>
                <w:b w:val="0"/>
                <w:sz w:val="17"/>
              </w:rPr>
              <w:t>Log symptoms: itching hands and feet, vomiting, etc.</w:t>
            </w:r>
          </w:p>
        </w:tc>
        <w:tc>
          <w:tcPr>
            <w:tcW w:type="dxa" w:w="1608"/>
          </w:tcPr>
          <w:p>
            <w:r>
              <w:rPr>
                <w:b w:val="0"/>
                <w:sz w:val="17"/>
              </w:rPr>
            </w:r>
            <w:r>
              <w:rPr>
                <w:b w:val="0"/>
                <w:sz w:val="17"/>
              </w:rPr>
              <w:t xml:space="preserve">Symptom log with plain-language prompts; </w:t>
            </w:r>
            <w:r>
              <w:rPr>
                <w:b/>
                <w:sz w:val="17"/>
              </w:rPr>
              <w:t>information only</w:t>
            </w:r>
            <w:r>
              <w:rPr>
                <w:b w:val="0"/>
                <w:sz w:val="17"/>
              </w:rPr>
              <w:t>: "itching of hands and feet in pregnancy should be reported to your midwife today" with one-tap contact; no diagnosis (no "cholestasis" label generated by software)</w:t>
            </w:r>
          </w:p>
        </w:tc>
        <w:tc>
          <w:tcPr>
            <w:tcW w:type="dxa" w:w="1608"/>
          </w:tcPr>
          <w:p>
            <w:r>
              <w:rPr>
                <w:b w:val="0"/>
                <w:sz w:val="17"/>
              </w:rPr>
            </w:r>
            <w:r>
              <w:rPr>
                <w:b w:val="0"/>
                <w:sz w:val="17"/>
              </w:rPr>
              <w:t>v1</w:t>
            </w:r>
          </w:p>
        </w:tc>
        <w:tc>
          <w:tcPr>
            <w:tcW w:type="dxa" w:w="1608"/>
          </w:tcPr>
          <w:p>
            <w:r>
              <w:rPr>
                <w:b w:val="0"/>
                <w:sz w:val="17"/>
              </w:rPr>
            </w:r>
            <w:r>
              <w:rPr>
                <w:b w:val="0"/>
                <w:sz w:val="17"/>
              </w:rPr>
              <w:t>Non-diagnostic if the software neither scores nor interprets; wording reviewed by clinicians</w:t>
            </w:r>
          </w:p>
        </w:tc>
        <w:tc>
          <w:tcPr>
            <w:tcW w:type="dxa" w:w="1608"/>
          </w:tcPr>
          <w:p>
            <w:r>
              <w:rPr>
                <w:b w:val="0"/>
                <w:sz w:val="17"/>
              </w:rPr>
            </w:r>
            <w:r>
              <w:rPr>
                <w:b w:val="0"/>
                <w:sz w:val="17"/>
              </w:rPr>
              <w:t>Content sign-off; hazard log entry per symptom</w:t>
            </w:r>
          </w:p>
        </w:tc>
        <w:tc>
          <w:tcPr>
            <w:tcW w:type="dxa" w:w="1608"/>
          </w:tcPr>
          <w:p>
            <w:r>
              <w:rPr>
                <w:b w:val="0"/>
                <w:sz w:val="17"/>
              </w:rPr>
            </w:r>
            <w:r>
              <w:rPr>
                <w:b w:val="0"/>
                <w:sz w:val="17"/>
              </w:rPr>
              <w:t>ML-ENGAGE</w:t>
            </w:r>
          </w:p>
        </w:tc>
      </w:tr>
      <w:tr>
        <w:tc>
          <w:tcPr>
            <w:tcW w:type="dxa" w:w="1608"/>
          </w:tcPr>
          <w:p>
            <w:r>
              <w:rPr>
                <w:b w:val="0"/>
                <w:sz w:val="17"/>
              </w:rPr>
            </w:r>
            <w:r>
              <w:rPr>
                <w:b w:val="0"/>
                <w:sz w:val="17"/>
              </w:rPr>
              <w:t>Women with diabetes: input blood-sugar levels</w:t>
            </w:r>
          </w:p>
        </w:tc>
        <w:tc>
          <w:tcPr>
            <w:tcW w:type="dxa" w:w="1608"/>
          </w:tcPr>
          <w:p>
            <w:r>
              <w:rPr>
                <w:b w:val="0"/>
                <w:sz w:val="17"/>
              </w:rPr>
            </w:r>
            <w:r>
              <w:rPr>
                <w:b w:val="0"/>
                <w:sz w:val="17"/>
              </w:rPr>
              <w:t xml:space="preserve">Self-reported glucose diary with clinician-set targets; trend view; </w:t>
            </w:r>
            <w:r>
              <w:rPr>
                <w:b/>
                <w:sz w:val="17"/>
              </w:rPr>
              <w:t>threshold notification</w:t>
            </w:r>
            <w:r>
              <w:rPr>
                <w:b w:val="0"/>
                <w:sz w:val="17"/>
              </w:rPr>
              <w:t xml:space="preserve"> to the care team</w:t>
            </w:r>
          </w:p>
        </w:tc>
        <w:tc>
          <w:tcPr>
            <w:tcW w:type="dxa" w:w="1608"/>
          </w:tcPr>
          <w:p>
            <w:r>
              <w:rPr>
                <w:b w:val="0"/>
                <w:sz w:val="17"/>
              </w:rPr>
            </w:r>
            <w:r>
              <w:rPr>
                <w:b w:val="0"/>
                <w:sz w:val="17"/>
              </w:rPr>
              <w:t>v2 (DEFER)</w:t>
            </w:r>
          </w:p>
        </w:tc>
        <w:tc>
          <w:tcPr>
            <w:tcW w:type="dxa" w:w="1608"/>
          </w:tcPr>
          <w:p>
            <w:r>
              <w:rPr>
                <w:b w:val="0"/>
                <w:sz w:val="17"/>
              </w:rPr>
            </w:r>
            <w:r>
              <w:rPr>
                <w:b w:val="0"/>
                <w:sz w:val="17"/>
              </w:rPr>
              <w:t>Threshold alerting on physiological data edges toward device classification; obtain opinion before build</w:t>
            </w:r>
          </w:p>
        </w:tc>
        <w:tc>
          <w:tcPr>
            <w:tcW w:type="dxa" w:w="1608"/>
          </w:tcPr>
          <w:p>
            <w:r>
              <w:rPr>
                <w:b w:val="0"/>
                <w:sz w:val="17"/>
              </w:rPr>
            </w:r>
            <w:r>
              <w:rPr>
                <w:b w:val="0"/>
                <w:sz w:val="17"/>
              </w:rPr>
              <w:t>Regulatory opinion; clinician co-design</w:t>
            </w:r>
          </w:p>
        </w:tc>
        <w:tc>
          <w:tcPr>
            <w:tcW w:type="dxa" w:w="1608"/>
          </w:tcPr>
          <w:p>
            <w:r>
              <w:rPr>
                <w:b w:val="0"/>
                <w:sz w:val="17"/>
              </w:rPr>
            </w:r>
            <w:r>
              <w:rPr>
                <w:b w:val="0"/>
                <w:sz w:val="17"/>
              </w:rPr>
              <w:t>ML-GLUCOSE</w:t>
            </w:r>
          </w:p>
        </w:tc>
      </w:tr>
      <w:tr>
        <w:tc>
          <w:tcPr>
            <w:tcW w:type="dxa" w:w="1608"/>
          </w:tcPr>
          <w:p>
            <w:r>
              <w:rPr>
                <w:b w:val="0"/>
                <w:sz w:val="17"/>
              </w:rPr>
            </w:r>
            <w:r>
              <w:rPr>
                <w:b w:val="0"/>
                <w:sz w:val="17"/>
              </w:rPr>
              <w:t>Voice tracing of babies' movements</w:t>
            </w:r>
          </w:p>
        </w:tc>
        <w:tc>
          <w:tcPr>
            <w:tcW w:type="dxa" w:w="1608"/>
          </w:tcPr>
          <w:p>
            <w:r>
              <w:rPr>
                <w:b w:val="0"/>
                <w:sz w:val="17"/>
              </w:rPr>
            </w:r>
            <w:r>
              <w:rPr>
                <w:b/>
                <w:sz w:val="17"/>
              </w:rPr>
              <w:t>Not a feature.</w:t>
            </w:r>
            <w:r>
              <w:rPr>
                <w:b w:val="0"/>
                <w:sz w:val="17"/>
              </w:rPr>
              <w:t xml:space="preserve"> Research track: feasibility of movement-pattern capture requires a validated sensor, ethics approval, a clinical partner and a device pathway</w:t>
            </w:r>
          </w:p>
        </w:tc>
        <w:tc>
          <w:tcPr>
            <w:tcW w:type="dxa" w:w="1608"/>
          </w:tcPr>
          <w:p>
            <w:r>
              <w:rPr>
                <w:b w:val="0"/>
                <w:sz w:val="17"/>
              </w:rPr>
            </w:r>
            <w:r>
              <w:rPr>
                <w:b w:val="0"/>
                <w:sz w:val="17"/>
              </w:rPr>
              <w:t>v3 research</w:t>
            </w:r>
          </w:p>
        </w:tc>
        <w:tc>
          <w:tcPr>
            <w:tcW w:type="dxa" w:w="1608"/>
          </w:tcPr>
          <w:p>
            <w:r>
              <w:rPr>
                <w:b w:val="0"/>
                <w:sz w:val="17"/>
              </w:rPr>
            </w:r>
            <w:r>
              <w:rPr>
                <w:b w:val="0"/>
                <w:sz w:val="17"/>
              </w:rPr>
              <w:t>Medical device by intended purpose if it informs care</w:t>
            </w:r>
          </w:p>
        </w:tc>
        <w:tc>
          <w:tcPr>
            <w:tcW w:type="dxa" w:w="1608"/>
          </w:tcPr>
          <w:p>
            <w:r>
              <w:rPr>
                <w:b w:val="0"/>
                <w:sz w:val="17"/>
              </w:rPr>
            </w:r>
            <w:r>
              <w:rPr>
                <w:b w:val="0"/>
                <w:sz w:val="17"/>
              </w:rPr>
              <w:t>Ethics, protocol, data partnership, validation study</w:t>
            </w:r>
          </w:p>
        </w:tc>
        <w:tc>
          <w:tcPr>
            <w:tcW w:type="dxa" w:w="1608"/>
          </w:tcPr>
          <w:p>
            <w:r>
              <w:rPr>
                <w:b w:val="0"/>
                <w:sz w:val="17"/>
              </w:rPr>
            </w:r>
            <w:r>
              <w:rPr>
                <w:b w:val="0"/>
                <w:sz w:val="17"/>
              </w:rPr>
              <w:t>none</w:t>
            </w:r>
          </w:p>
        </w:tc>
      </w:tr>
      <w:tr>
        <w:tc>
          <w:tcPr>
            <w:tcW w:type="dxa" w:w="1608"/>
          </w:tcPr>
          <w:p>
            <w:r>
              <w:rPr>
                <w:b w:val="0"/>
                <w:sz w:val="17"/>
              </w:rPr>
            </w:r>
            <w:r>
              <w:rPr>
                <w:b w:val="0"/>
                <w:sz w:val="17"/>
              </w:rPr>
              <w:t>Voice diaries</w:t>
            </w:r>
          </w:p>
        </w:tc>
        <w:tc>
          <w:tcPr>
            <w:tcW w:type="dxa" w:w="1608"/>
          </w:tcPr>
          <w:p>
            <w:r>
              <w:rPr>
                <w:b w:val="0"/>
                <w:sz w:val="17"/>
              </w:rPr>
            </w:r>
            <w:r>
              <w:rPr>
                <w:b w:val="0"/>
                <w:sz w:val="17"/>
              </w:rPr>
              <w:t>Storage and playback attached to the timeline; optional transcription/translation roadmap</w:t>
            </w:r>
          </w:p>
        </w:tc>
        <w:tc>
          <w:tcPr>
            <w:tcW w:type="dxa" w:w="1608"/>
          </w:tcPr>
          <w:p>
            <w:r>
              <w:rPr>
                <w:b w:val="0"/>
                <w:sz w:val="17"/>
              </w:rPr>
            </w:r>
            <w:r>
              <w:rPr>
                <w:b w:val="0"/>
                <w:sz w:val="17"/>
              </w:rPr>
              <w:t>v1</w:t>
            </w:r>
          </w:p>
        </w:tc>
        <w:tc>
          <w:tcPr>
            <w:tcW w:type="dxa" w:w="1608"/>
          </w:tcPr>
          <w:p>
            <w:r>
              <w:rPr>
                <w:b w:val="0"/>
                <w:sz w:val="17"/>
              </w:rPr>
            </w:r>
            <w:r>
              <w:rPr>
                <w:b w:val="0"/>
                <w:sz w:val="17"/>
              </w:rPr>
              <w:t>Storage only; no analysis</w:t>
            </w:r>
          </w:p>
        </w:tc>
        <w:tc>
          <w:tcPr>
            <w:tcW w:type="dxa" w:w="1608"/>
          </w:tcPr>
          <w:p>
            <w:r>
              <w:rPr>
                <w:b w:val="0"/>
                <w:sz w:val="17"/>
              </w:rPr>
            </w:r>
            <w:r>
              <w:rPr>
                <w:b w:val="0"/>
                <w:sz w:val="17"/>
              </w:rPr>
              <w:t>Consent flows; retention policy</w:t>
            </w:r>
          </w:p>
        </w:tc>
        <w:tc>
          <w:tcPr>
            <w:tcW w:type="dxa" w:w="1608"/>
          </w:tcPr>
          <w:p>
            <w:r>
              <w:rPr>
                <w:b w:val="0"/>
                <w:sz w:val="17"/>
              </w:rPr>
            </w:r>
            <w:r>
              <w:rPr>
                <w:b w:val="0"/>
                <w:sz w:val="17"/>
              </w:rPr>
              <w:t>ML-VOICE</w:t>
            </w:r>
          </w:p>
        </w:tc>
      </w:tr>
      <w:tr>
        <w:tc>
          <w:tcPr>
            <w:tcW w:type="dxa" w:w="1608"/>
          </w:tcPr>
          <w:p>
            <w:r>
              <w:rPr>
                <w:b w:val="0"/>
                <w:sz w:val="17"/>
              </w:rPr>
            </w:r>
            <w:r>
              <w:rPr>
                <w:b w:val="0"/>
                <w:sz w:val="17"/>
              </w:rPr>
              <w:t>Maternity Watch (wearable)</w:t>
            </w:r>
          </w:p>
        </w:tc>
        <w:tc>
          <w:tcPr>
            <w:tcW w:type="dxa" w:w="1608"/>
          </w:tcPr>
          <w:p>
            <w:r>
              <w:rPr>
                <w:b w:val="0"/>
                <w:sz w:val="17"/>
              </w:rPr>
            </w:r>
            <w:r>
              <w:rPr>
                <w:b w:val="0"/>
                <w:sz w:val="17"/>
              </w:rPr>
              <w:t>Integration of a certified wearable for prompts and, where the device is certified for it, physiological readings synced to the record</w:t>
            </w:r>
          </w:p>
        </w:tc>
        <w:tc>
          <w:tcPr>
            <w:tcW w:type="dxa" w:w="1608"/>
          </w:tcPr>
          <w:p>
            <w:r>
              <w:rPr>
                <w:b w:val="0"/>
                <w:sz w:val="17"/>
              </w:rPr>
            </w:r>
            <w:r>
              <w:rPr>
                <w:b w:val="0"/>
                <w:sz w:val="17"/>
              </w:rPr>
              <w:t>v2/v3 (partner device)</w:t>
            </w:r>
          </w:p>
        </w:tc>
        <w:tc>
          <w:tcPr>
            <w:tcW w:type="dxa" w:w="1608"/>
          </w:tcPr>
          <w:p>
            <w:r>
              <w:rPr>
                <w:b w:val="0"/>
                <w:sz w:val="17"/>
              </w:rPr>
            </w:r>
            <w:r>
              <w:rPr>
                <w:b w:val="0"/>
                <w:sz w:val="17"/>
              </w:rPr>
              <w:t>The device carries its own UKCA/CE marking; MaternaLink displays data without interpreting it unless a pathway is in place</w:t>
            </w:r>
          </w:p>
        </w:tc>
        <w:tc>
          <w:tcPr>
            <w:tcW w:type="dxa" w:w="1608"/>
          </w:tcPr>
          <w:p>
            <w:r>
              <w:rPr>
                <w:b w:val="0"/>
                <w:sz w:val="17"/>
              </w:rPr>
            </w:r>
            <w:r>
              <w:rPr>
                <w:b w:val="0"/>
                <w:sz w:val="17"/>
              </w:rPr>
              <w:t>Supplier due diligence; device MDR status; DPIA update</w:t>
            </w:r>
          </w:p>
        </w:tc>
        <w:tc>
          <w:tcPr>
            <w:tcW w:type="dxa" w:w="1608"/>
          </w:tcPr>
          <w:p>
            <w:r>
              <w:rPr>
                <w:b w:val="0"/>
                <w:sz w:val="17"/>
              </w:rPr>
            </w:r>
            <w:r>
              <w:rPr>
                <w:b w:val="0"/>
                <w:sz w:val="17"/>
              </w:rPr>
              <w:t>ML-WATCH</w:t>
            </w:r>
          </w:p>
        </w:tc>
      </w:tr>
      <w:tr>
        <w:tc>
          <w:tcPr>
            <w:tcW w:type="dxa" w:w="1608"/>
          </w:tcPr>
          <w:p>
            <w:r>
              <w:rPr>
                <w:b w:val="0"/>
                <w:sz w:val="17"/>
              </w:rPr>
            </w:r>
            <w:r>
              <w:rPr>
                <w:b w:val="0"/>
                <w:sz w:val="17"/>
              </w:rPr>
              <w:t>Replacing hospital systems</w:t>
            </w:r>
          </w:p>
        </w:tc>
        <w:tc>
          <w:tcPr>
            <w:tcW w:type="dxa" w:w="1608"/>
          </w:tcPr>
          <w:p>
            <w:r>
              <w:rPr>
                <w:b w:val="0"/>
                <w:sz w:val="17"/>
              </w:rPr>
            </w:r>
            <w:r>
              <w:rPr>
                <w:b w:val="0"/>
                <w:sz w:val="17"/>
              </w:rPr>
              <w:t>Deployment mode A: MaternaLink Core as the programme's working record where none exists</w:t>
            </w:r>
          </w:p>
        </w:tc>
        <w:tc>
          <w:tcPr>
            <w:tcW w:type="dxa" w:w="1608"/>
          </w:tcPr>
          <w:p>
            <w:r>
              <w:rPr>
                <w:b w:val="0"/>
                <w:sz w:val="17"/>
              </w:rPr>
            </w:r>
            <w:r>
              <w:rPr>
                <w:b w:val="0"/>
                <w:sz w:val="17"/>
              </w:rPr>
              <w:t>v1</w:t>
            </w:r>
          </w:p>
        </w:tc>
        <w:tc>
          <w:tcPr>
            <w:tcW w:type="dxa" w:w="1608"/>
          </w:tcPr>
          <w:p>
            <w:r>
              <w:rPr>
                <w:b w:val="0"/>
                <w:sz w:val="17"/>
              </w:rPr>
            </w:r>
            <w:r>
              <w:rPr>
                <w:b w:val="0"/>
                <w:sz w:val="17"/>
              </w:rPr>
              <w:t>Data-protection and clinical-safety case for record-keeping; still not a certified EPR</w:t>
            </w:r>
          </w:p>
        </w:tc>
        <w:tc>
          <w:tcPr>
            <w:tcW w:type="dxa" w:w="1608"/>
          </w:tcPr>
          <w:p>
            <w:r>
              <w:rPr>
                <w:b w:val="0"/>
                <w:sz w:val="17"/>
              </w:rPr>
            </w:r>
            <w:r>
              <w:rPr>
                <w:b w:val="0"/>
                <w:sz w:val="17"/>
              </w:rPr>
              <w:t>Clinical-safety case (DCB0129/0160 equivalent)</w:t>
            </w:r>
          </w:p>
        </w:tc>
        <w:tc>
          <w:tcPr>
            <w:tcW w:type="dxa" w:w="1608"/>
          </w:tcPr>
          <w:p>
            <w:r>
              <w:rPr>
                <w:b w:val="0"/>
                <w:sz w:val="17"/>
              </w:rPr>
            </w:r>
            <w:r>
              <w:rPr>
                <w:b w:val="0"/>
                <w:sz w:val="17"/>
              </w:rPr>
              <w:t>ML-CORE + implementation</w:t>
            </w:r>
          </w:p>
        </w:tc>
      </w:tr>
      <w:tr>
        <w:tc>
          <w:tcPr>
            <w:tcW w:type="dxa" w:w="1608"/>
          </w:tcPr>
          <w:p>
            <w:r>
              <w:rPr>
                <w:b w:val="0"/>
                <w:sz w:val="17"/>
              </w:rPr>
            </w:r>
            <w:r>
              <w:rPr>
                <w:b w:val="0"/>
                <w:sz w:val="17"/>
              </w:rPr>
              <w:t>Integrating with hospital systems</w:t>
            </w:r>
          </w:p>
        </w:tc>
        <w:tc>
          <w:tcPr>
            <w:tcW w:type="dxa" w:w="1608"/>
          </w:tcPr>
          <w:p>
            <w:r>
              <w:rPr>
                <w:b w:val="0"/>
                <w:sz w:val="17"/>
              </w:rPr>
            </w:r>
            <w:r>
              <w:rPr>
                <w:b w:val="0"/>
                <w:sz w:val="17"/>
              </w:rPr>
              <w:t>Deployment mode B: interfaces to BadgerNet/K2/Euroking, DHIS2/HMIS, SSO</w:t>
            </w:r>
          </w:p>
        </w:tc>
        <w:tc>
          <w:tcPr>
            <w:tcW w:type="dxa" w:w="1608"/>
          </w:tcPr>
          <w:p>
            <w:r>
              <w:rPr>
                <w:b w:val="0"/>
                <w:sz w:val="17"/>
              </w:rPr>
            </w:r>
            <w:r>
              <w:rPr>
                <w:b w:val="0"/>
                <w:sz w:val="17"/>
              </w:rPr>
              <w:t>v1–v2</w:t>
            </w:r>
          </w:p>
        </w:tc>
        <w:tc>
          <w:tcPr>
            <w:tcW w:type="dxa" w:w="1608"/>
          </w:tcPr>
          <w:p>
            <w:r>
              <w:rPr>
                <w:b w:val="0"/>
                <w:sz w:val="17"/>
              </w:rPr>
            </w:r>
            <w:r>
              <w:rPr>
                <w:b w:val="0"/>
                <w:sz w:val="17"/>
              </w:rPr>
              <w:t>Standard integration; vendor agreements</w:t>
            </w:r>
          </w:p>
        </w:tc>
        <w:tc>
          <w:tcPr>
            <w:tcW w:type="dxa" w:w="1608"/>
          </w:tcPr>
          <w:p>
            <w:r>
              <w:rPr>
                <w:b w:val="0"/>
                <w:sz w:val="17"/>
              </w:rPr>
            </w:r>
            <w:r>
              <w:rPr>
                <w:b w:val="0"/>
                <w:sz w:val="17"/>
              </w:rPr>
              <w:t>Interface tests; vendor sign-off</w:t>
            </w:r>
          </w:p>
        </w:tc>
        <w:tc>
          <w:tcPr>
            <w:tcW w:type="dxa" w:w="1608"/>
          </w:tcPr>
          <w:p>
            <w:r>
              <w:rPr>
                <w:b w:val="0"/>
                <w:sz w:val="17"/>
              </w:rPr>
            </w:r>
            <w:r>
              <w:rPr>
                <w:b w:val="0"/>
                <w:sz w:val="17"/>
              </w:rPr>
              <w:t>ML-INTEGRATE</w:t>
            </w:r>
          </w:p>
        </w:tc>
      </w:tr>
    </w:tbl>
    <w:p/>
    <w:p>
      <w:pPr>
        <w:pStyle w:val="Heading2"/>
      </w:pPr>
      <w:r>
        <w:t>Intended-use statement (draft for clinical and legal review)</w:t>
      </w:r>
    </w:p>
    <w:p>
      <w:r>
        <w:t>"MaternaLink is a care-coordination and communication platform that helps maternity programmes enrol women, keep in contact between appointments, record self-reported information and clinician notes, and route reported concerns to the responsible clinician. It does not diagnose, predict, triage or recommend treatment. Any prioritisation rules are configured, owned and reviewed by the deploying organisation's clinical governance."</w:t>
      </w:r>
    </w:p>
    <w:p>
      <w:pPr>
        <w:pStyle w:val="Heading2"/>
      </w:pPr>
      <w:r>
        <w:t>What must change in the prototype before reuse</w:t>
      </w:r>
    </w:p>
    <w:p>
      <w:pPr>
        <w:pStyle w:val="ListNumber"/>
      </w:pPr>
      <w:r>
        <w:t>Remove or relabel the "suggested actions" output so that no clinical recommendation is generated by default; replace with "Programme escalation rule: [name] — contact the responsible clinician".</w:t>
      </w:r>
    </w:p>
    <w:p>
      <w:pPr>
        <w:pStyle w:val="ListNumber"/>
      </w:pPr>
      <w:r>
        <w:t>Remove identifiable photographs and real-looking test identities; use synthetic data.</w:t>
      </w:r>
    </w:p>
    <w:p>
      <w:pPr>
        <w:pStyle w:val="ListNumber"/>
      </w:pPr>
      <w:r>
        <w:t>Put the public URL behind authentication; confirm no real patient data was ever entered.</w:t>
      </w:r>
    </w:p>
    <w:p>
      <w:pPr>
        <w:pStyle w:val="ListNumber"/>
      </w:pPr>
      <w:r>
        <w:t>Rename to MaternaLink; add the Vytalix mark; align copy to this addendum.</w:t>
      </w:r>
    </w:p>
    <w:p>
      <w:pPr>
        <w:pStyle w:val="Heading2"/>
      </w:pPr>
      <w:r>
        <w:t>Priorities / Risks / Next actions</w:t>
      </w:r>
    </w:p>
    <w:p>
      <w:r>
        <w:rPr>
          <w:b/>
        </w:rPr>
        <w:t>Priorities:</w:t>
      </w:r>
      <w:r>
        <w:t xml:space="preserve"> v1 = Core + Engage + Voice storage; Triage and Glucose behind a regulatory opinion; Watch as a partner device.</w:t>
      </w:r>
    </w:p>
    <w:p>
      <w:r>
        <w:rPr>
          <w:b/>
        </w:rPr>
        <w:t>Risks:</w:t>
      </w:r>
      <w:r>
        <w:t xml:space="preserve"> feature creep back into decision support; partner-access safeguarding failures; over-promising the watch.</w:t>
      </w:r>
    </w:p>
    <w:p>
      <w:r>
        <w:rPr>
          <w:b/>
        </w:rPr>
        <w:t>Next actions:</w:t>
      </w:r>
      <w:r>
        <w:t xml:space="preserve"> clinician review of the intended-use statement (Day 14); regulatory opinion scoped (Day 21); prototype changes 1–4 (Day 14).</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