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VYTALIX INVESTOR OUTREACH ENGINE</w:t>
      </w:r>
    </w:p>
    <w:p>
      <w:r>
        <w:t xml:space="preserve">Companion to </w:t>
      </w:r>
      <w:r>
        <w:rPr>
          <w:rFonts w:ascii="Consolas" w:hAnsi="Consolas"/>
          <w:sz w:val="18"/>
        </w:rPr>
        <w:t>VYTALIX_INVESTOR_CRM.xlsx</w:t>
      </w:r>
      <w:r>
        <w:t xml:space="preserve">, </w:t>
      </w:r>
      <w:r>
        <w:rPr>
          <w:rFonts w:ascii="Consolas" w:hAnsi="Consolas"/>
          <w:sz w:val="18"/>
        </w:rPr>
        <w:t>TOP_25_INVESTORS.md</w:t>
      </w:r>
      <w:r>
        <w:t xml:space="preserve">, </w:t>
      </w:r>
      <w:r>
        <w:rPr>
          <w:rFonts w:ascii="Consolas" w:hAnsi="Consolas"/>
          <w:sz w:val="18"/>
        </w:rPr>
        <w:t>CALL_LISTS.md</w:t>
      </w:r>
      <w:r>
        <w:t xml:space="preserve"> and the per-investor scripts in </w:t>
      </w:r>
      <w:r>
        <w:rPr>
          <w:rFonts w:ascii="Consolas" w:hAnsi="Consolas"/>
          <w:sz w:val="18"/>
        </w:rPr>
        <w:t>OUTREACH_TOP25.md</w:t>
      </w:r>
      <w:r>
        <w:t>. Pre-conditions before ANY outreach: (1) Vytalix incorporated, (2) MaternaLink IP heads of terms signed, (3) the 2025 clinical-AI claims retired from all materials, (4) one-pager and data-room v1 ready, (5) SEIS/EIS advance assurance submitted (say "applied for", never "approved", until it is).</w:t>
      </w:r>
    </w:p>
    <w:p>
      <w:pPr>
        <w:pStyle w:val="Heading2"/>
      </w:pPr>
      <w:r>
        <w:t>1. Operating rules</w:t>
      </w:r>
    </w:p>
    <w:p>
      <w:pPr>
        <w:pStyle w:val="ListBullet"/>
      </w:pPr>
      <w:r>
        <w:t xml:space="preserve">Phone-first for A-tier with a verified number; email/LinkedIn-first otherwise. Never call personal mobiles. Log every touch in </w:t>
      </w:r>
      <w:r>
        <w:rPr>
          <w:rFonts w:ascii="Consolas" w:hAnsi="Consolas"/>
          <w:sz w:val="18"/>
        </w:rPr>
        <w:t>CRM Status</w:t>
      </w:r>
      <w:r>
        <w:t xml:space="preserve"> the same day.</w:t>
      </w:r>
    </w:p>
    <w:p>
      <w:pPr>
        <w:pStyle w:val="ListBullet"/>
      </w:pPr>
      <w:r>
        <w:t>One personalised reason per message: a named portfolio company, a stated thesis, or a public statement by the partner. No mass messages.</w:t>
      </w:r>
    </w:p>
    <w:p>
      <w:pPr>
        <w:pStyle w:val="ListBullet"/>
      </w:pPr>
      <w:r>
        <w:t>Truth rule: describe stage as "pre-seed, founder-led, prototype and pilot in design". Never imply NHS, government or clinical validation.</w:t>
      </w:r>
    </w:p>
    <w:p>
      <w:pPr>
        <w:pStyle w:val="ListBullet"/>
      </w:pPr>
      <w:r>
        <w:t>Cadence: call → same-day email → +4 days follow-up #1 → +10 days follow-up #2 → +21 days follow-up #3 → quarterly update list. Three touches without response = "Future Opportunity", not "Passed".</w:t>
      </w:r>
    </w:p>
    <w:p>
      <w:pPr>
        <w:pStyle w:val="ListBullet"/>
      </w:pPr>
      <w:r>
        <w:t>Weekly volume target (founder, weeks 5–12): 15 calls, 25 emails, 20 LinkedIn touches, 3 meetings.</w:t>
      </w:r>
    </w:p>
    <w:p>
      <w:pPr>
        <w:pStyle w:val="Heading2"/>
      </w:pPr>
      <w:r>
        <w:t>2. Phone opening (generic, 25 seconds)</w:t>
      </w:r>
    </w:p>
    <w:p>
      <w:r>
        <w:t>"Good morning, [name], this is [Founder], founder of Vytalix, a UK health-technology group. I'm calling because [Fund] backed [portfolio company] and we're building something in an adjacent space: MaternaLink, a maternal-health coordination platform in development for the UK and Nigeria. I'm not asking for a decision on this call. I'd like 20 minutes with [partner] to test fit against your [stage] mandate. Is [partner] the right person, and what's the best way to get that slot?"</w:t>
      </w:r>
    </w:p>
    <w:p>
      <w:r>
        <w:t>Gatekeeper variant: "Could you tell me who leads health-tech investments and the best route to reach them, an email or a pitch form? I'll keep it to one page."</w:t>
      </w:r>
    </w:p>
    <w:p>
      <w:r>
        <w:t>Voicemail (15 seconds): name, company, one-line reason, "I'll send a one-page summary by email today; my number is [number]."</w:t>
      </w:r>
    </w:p>
    <w:p>
      <w:pPr>
        <w:pStyle w:val="Heading2"/>
      </w:pPr>
      <w:r>
        <w:t>3. Email (generic skeleton)</w:t>
      </w:r>
    </w:p>
    <w:p>
      <w:r>
        <w:t>Subject: Maternal-health platform (UK + Nigeria), 20 minutes?</w:t>
      </w:r>
    </w:p>
    <w:p>
      <w:pPr>
        <w:pStyle w:val="ListNumber"/>
      </w:pPr>
      <w:r>
        <w:t>Who you are, one line. 2. Why them specifically, one line with a named portfolio company or thesis. 3. What exists today, honestly, three bullets. 4. What you're raising and for what, one line. 5. The ask: 20 minutes, one-pager attached. Under 150 words.</w:t>
      </w:r>
    </w:p>
    <w:p>
      <w:pPr>
        <w:pStyle w:val="Heading2"/>
      </w:pPr>
      <w:r>
        <w:t>4. LinkedIn</w:t>
      </w:r>
    </w:p>
    <w:p>
      <w:r>
        <w:t>Connection note under 300 characters with the specific reason. After acceptance, one message with the one-line pitch and the 20-minute ask. Do not pitch in the connection note beyond one sentence. Comment on the partner's recent post once before messaging if possible.</w:t>
      </w:r>
    </w:p>
    <w:p>
      <w:pPr>
        <w:pStyle w:val="Heading2"/>
      </w:pPr>
      <w:r>
        <w:t>5. Follow-ups</w:t>
      </w:r>
    </w:p>
    <w:p>
      <w:pPr>
        <w:pStyle w:val="ListBullet"/>
      </w:pPr>
      <w:r>
        <w:t>#1 (day 4): one-pager link plus one genuine question about their process or thesis.</w:t>
      </w:r>
    </w:p>
    <w:p>
      <w:pPr>
        <w:pStyle w:val="ListBullet"/>
      </w:pPr>
      <w:r>
        <w:t>#2 (day 10): one new proof point (advisor confirmed, pilot LOI, first paying client, grant submitted). No proof point, no follow-up: create one first.</w:t>
      </w:r>
    </w:p>
    <w:p>
      <w:pPr>
        <w:pStyle w:val="ListBullet"/>
      </w:pPr>
      <w:r>
        <w:t>#3 (day 21): close the loop; ask for a referral to a better-fit fund; move to quarterly update.</w:t>
      </w:r>
    </w:p>
    <w:p>
      <w:pPr>
        <w:pStyle w:val="Heading2"/>
      </w:pPr>
      <w:r>
        <w:t>6. Investor meeting structure (30 minutes)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Segment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0–3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Frame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Thank, confirm time, agree agenda, ask what they want to leave with.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3–8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Their mandate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Stage, ticket, process, what they've passed on recently in health-tech and why.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8–12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Problem and why now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maternal inequality evidence; Nigeria burden; communication and coordination failures cited in national reviews. Cite sources.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12–17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What exists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Prototype, government conversation status, services revenue (actuals only), team and advisors (real only).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17–22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and evidence plan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v1 (non-diagnostic), pilot design, what claims each evidence stage permits, regulatory posture.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22–26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 model and round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Services fund the company; platform is the equity story; round size, use of funds, milestones.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26–29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Their objection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Ask directly: "What would stop you?" Answer it or commit to a written answer within 48 hours.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29–30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Next step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Agree a concrete next step with a date.</w:t>
            </w:r>
          </w:p>
        </w:tc>
      </w:tr>
    </w:tbl>
    <w:p/>
    <w:p>
      <w:pPr>
        <w:pStyle w:val="Heading2"/>
      </w:pPr>
      <w:r>
        <w:t>7. Close: from interest to investment discussion</w:t>
      </w:r>
    </w:p>
    <w:p>
      <w:pPr>
        <w:pStyle w:val="ListNumber"/>
      </w:pPr>
      <w:r>
        <w:t>Interest signal → send data room (one-pager, deck, financial model summary, IP agreement summary, advisory board, pilot plan, risk register).</w:t>
      </w:r>
    </w:p>
    <w:p>
      <w:pPr>
        <w:pStyle w:val="ListNumber"/>
      </w:pPr>
      <w:r>
        <w:t>Second meeting with a partner → present the 90-day milestone plan; ask for their diligence list.</w:t>
      </w:r>
    </w:p>
    <w:p>
      <w:pPr>
        <w:pStyle w:val="ListNumber"/>
      </w:pPr>
      <w:r>
        <w:t>Diligence → answer within 48 hours; keep a Q&amp;A log; introduce advisors.</w:t>
      </w:r>
    </w:p>
    <w:p>
      <w:pPr>
        <w:pStyle w:val="ListNumber"/>
      </w:pPr>
      <w:r>
        <w:t>Term discussion → SEIS/EIS-compatible instrument (advance subscription agreement or priced round; solicitor to advise); target lead first, then fill.</w:t>
      </w:r>
    </w:p>
    <w:p>
      <w:pPr>
        <w:pStyle w:val="ListNumber"/>
      </w:pPr>
      <w:r>
        <w:t>Close → signed docs, funds, Companies House filings, SEIS/EIS compliance statements.</w:t>
      </w:r>
    </w:p>
    <w:p>
      <w:pPr>
        <w:pStyle w:val="Heading2"/>
      </w:pPr>
      <w:r>
        <w:t>8. Objection handling (investors)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Objection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Response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"Too early."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Agree. Ask what milestones would make it right, book a 90-day update, ask for one intro.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"Solo founder."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Show the advisory board plan and fractional CTO/clinical leads; state the hiring plan tied to the round.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"Government sales in Nigeria are slow and risky."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Agree; Nigeria is a second market; UK services and pilots come first; government revenue is upside, not base case.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"Is this a medical device?"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v1 is designed to stay non-diagnostic with a documented intended-use statement; predictive features only via a validated SaMD pathway.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"mDoc is already there."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Correct; we differentiate on facility-side coordination and interoperability, and target different states or NGO channels; partnership is an option.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"What do you own?"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IP agreement (once signed). Until then, do not pitch.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"Why will hospitals pay?"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Pilot-first, evidence-generating, priced to the budget-holder's problem (communication failures, DNA rates, complaints). Show the pricing logic, not a promise.</w:t>
            </w:r>
          </w:p>
        </w:tc>
      </w:tr>
    </w:tbl>
    <w:p/>
    <w:p>
      <w:pPr>
        <w:pStyle w:val="Heading2"/>
      </w:pPr>
      <w:r>
        <w:t>9. Compliance for fundraising communications (UK)</w:t>
      </w:r>
    </w:p>
    <w:p>
      <w:r>
        <w:t>Investment promotions are regulated. Use only communications that fall within FCA exemptions (e.g., to certified high-net-worth or self-certified sophisticated investors, or via an authorised platform) and get a solicitor to sign off the deck's disclaimers. Never say "guaranteed", "assured" or "low risk". TO VALIDATE with a solicitor before the first send.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