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VYTALIX INVESTOR DASHBOARD</w:t>
      </w:r>
    </w:p>
    <w:p>
      <w:r>
        <w:t xml:space="preserve">Generated 2026-09-08 from </w:t>
      </w:r>
      <w:r>
        <w:rPr>
          <w:rFonts w:ascii="Consolas" w:hAnsi="Consolas"/>
          <w:sz w:val="18"/>
        </w:rPr>
        <w:t>VYTALIX_INVESTOR_CRM.csv</w:t>
      </w:r>
      <w:r>
        <w:t xml:space="preserve">. Activity counters are zero because outreach has not started; update </w:t>
      </w:r>
      <w:r>
        <w:rPr>
          <w:rFonts w:ascii="Consolas" w:hAnsi="Consolas"/>
          <w:sz w:val="18"/>
        </w:rPr>
        <w:t>CRM Status</w:t>
      </w:r>
      <w:r>
        <w:t xml:space="preserve"> in the CRM and re-run </w:t>
      </w:r>
      <w:r>
        <w:rPr>
          <w:rFonts w:ascii="Consolas" w:hAnsi="Consolas"/>
          <w:sz w:val="18"/>
        </w:rPr>
        <w:t>build_crm.py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TOTAL INVESTORS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316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A-TIER (fit 80–100)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B-TIER (65–79)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87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C-TIER (50–64)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147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BELOW 50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NUMBERS VERIFIED (public, sourced)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NOT PUBLICLY AVAILABLE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273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EMAILS VERIFIED (public, sourced)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51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MAKERS IDENTIFIED (public role)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 CONTACTED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CALLS MADE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RESPONSES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ACTIVE INVESTMENT DISCUSSIONS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CAPITAL RAISED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(pre-formation)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 RATE (contacted → meeting)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 (no outreach yet)</w:t>
            </w:r>
          </w:p>
        </w:tc>
      </w:tr>
    </w:tbl>
    <w:p/>
    <w:p>
      <w:pPr>
        <w:pStyle w:val="Heading2"/>
      </w:pPr>
      <w:r>
        <w:t>By investor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Strategic / Corporate VC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Angel Network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Impact / DFI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Family Office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/ Innovation Fund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/ Institutional Fund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</w:tr>
    </w:tbl>
    <w:p/>
    <w:p>
      <w:pPr>
        <w:pStyle w:val="Heading2"/>
      </w:pPr>
      <w:r>
        <w:t>By country (top 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139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States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64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Germany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Africa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Belgium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Egypt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Norway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United States / Germany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Canada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</w:tr>
    </w:tbl>
    <w:p/>
    <w:p>
      <w:pPr>
        <w:pStyle w:val="Heading2"/>
      </w:pPr>
      <w:r>
        <w:t>Pipeline stages (all records start at Researched)</w:t>
      </w:r>
    </w:p>
    <w:p>
      <w:r>
        <w:t>Identified → Researched → Qualified → Priority A → Outreach Ready → Contacted → Called → Email Sent → Responded → Meeting Requested → Meeting Booked → Meeting Completed → Due Diligence → Investment Discussion → Term Sheet → Closed → Passed → Future Opportunity</w:t>
      </w:r>
    </w:p>
    <w:p>
      <w:pPr>
        <w:pStyle w:val="Heading2"/>
      </w:pPr>
      <w:r>
        <w:t>De-duplication log</w:t>
      </w:r>
    </w:p>
    <w:p>
      <w:r>
        <w:t>6 duplicate records removed during merge: Speedinvest (Health &amp; TechBio team) (kept as Speedinvest (London office – Health &amp; TechBio team)); Crista Galli Ventures (kept as Crista Galli Ventures); Better Society Capital (formerly Big Society Capital) (kept as Better Society Capital (formerly Big Society Capital)); Blue Haven Initiative (kept as Blue Haven Initiative); Lightrock (kept as Lightrock); Novo Holdings (Novo Seeds) (kept as Novo Holdings (Seeds / Venture Investments))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