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Vytalix — Company profile</w:t>
      </w:r>
    </w:p>
    <w:p>
      <w:r>
        <w:rPr>
          <w:i/>
        </w:rPr>
        <w:t>For anyone who wants to know who we are before they talk to us. Send it with a first email, or attach it to a proposal.</w:t>
      </w:r>
    </w:p>
    <w:p>
      <w:r>
        <w:t>Everything here is true today. Where something is a plan or a best guess, we say so and mark it ESTIMATE (our best guess, not a fact) or PROPOSED (decided by us, not yet done).</w:t>
      </w:r>
    </w:p>
    <w:p>
      <w:pPr>
        <w:pStyle w:val="Heading2"/>
      </w:pPr>
      <w:r>
        <w:t>Who we are</w:t>
      </w:r>
    </w:p>
    <w:p>
      <w:r>
        <w:t>Vytalix is a British health-technology company. We advise, we deliver projects, we teach, and we are building our first product.</w:t>
      </w:r>
    </w:p>
    <w:p>
      <w:r>
        <w:t>We are founder-led and early. We have no outside money yet. We say exactly what we can do today and nothing more.</w:t>
      </w:r>
    </w:p>
    <w:p>
      <w:r>
        <w:t>Our subject is maternity care. In the UK, public inquiries keep finding the same failures: nobody listened, nobody escalated, the handover was lost. In Nigeria, more women die in childbirth than anywhere else in the world. Both problems are partly about coordination, not only about medicine.</w:t>
      </w:r>
    </w:p>
    <w:p>
      <w:r>
        <w:rPr>
          <w:b/>
        </w:rPr>
        <w:t>What we stand for:</w:t>
      </w:r>
      <w:r>
        <w:t xml:space="preserve"> technology for life. Care that knows a person, hears them and acts in time, wherever they live.</w:t>
      </w:r>
    </w:p>
    <w:p>
      <w:r>
        <w:rPr>
          <w:b/>
        </w:rPr>
        <w:t>Where we are right now:</w:t>
      </w:r>
      <w:r>
        <w:t xml:space="preserve"> the company is being set up. The name is being cleared. We have no revenue and no product in use. We tell every reader this before they ask.</w:t>
      </w:r>
    </w:p>
    <w:p>
      <w:pPr>
        <w:pStyle w:val="Heading2"/>
      </w:pPr>
      <w:r>
        <w:t>What we do — the four parts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Part</w:t>
            </w:r>
          </w:p>
        </w:tc>
        <w:tc>
          <w:tcPr>
            <w:tcW w:type="dxa" w:w="2412"/>
          </w:tcPr>
          <w:p>
            <w:r>
              <w:rPr>
                <w:b/>
                <w:sz w:val="17"/>
              </w:rPr>
            </w:r>
            <w:r>
              <w:rPr>
                <w:b/>
                <w:sz w:val="17"/>
              </w:rPr>
              <w:t>What it is</w:t>
            </w:r>
          </w:p>
        </w:tc>
        <w:tc>
          <w:tcPr>
            <w:tcW w:type="dxa" w:w="2412"/>
          </w:tcPr>
          <w:p>
            <w:r>
              <w:rPr>
                <w:b/>
                <w:sz w:val="17"/>
              </w:rPr>
            </w:r>
            <w:r>
              <w:rPr>
                <w:b/>
                <w:sz w:val="17"/>
              </w:rPr>
              <w:t>Who it is for</w:t>
            </w:r>
          </w:p>
        </w:tc>
        <w:tc>
          <w:tcPr>
            <w:tcW w:type="dxa" w:w="2412"/>
          </w:tcPr>
          <w:p>
            <w:r>
              <w:rPr>
                <w:b/>
                <w:sz w:val="17"/>
              </w:rPr>
            </w:r>
            <w:r>
              <w:rPr>
                <w:b/>
                <w:sz w:val="17"/>
              </w:rPr>
              <w:t>What is true today</w:t>
            </w:r>
          </w:p>
        </w:tc>
      </w:tr>
      <w:tr>
        <w:tc>
          <w:tcPr>
            <w:tcW w:type="dxa" w:w="2412"/>
          </w:tcPr>
          <w:p>
            <w:r>
              <w:rPr>
                <w:b w:val="0"/>
                <w:sz w:val="17"/>
              </w:rPr>
            </w:r>
            <w:r>
              <w:rPr>
                <w:b/>
                <w:sz w:val="17"/>
              </w:rPr>
              <w:t>Advisory</w:t>
            </w:r>
          </w:p>
        </w:tc>
        <w:tc>
          <w:tcPr>
            <w:tcW w:type="dxa" w:w="2412"/>
          </w:tcPr>
          <w:p>
            <w:r>
              <w:rPr>
                <w:b w:val="0"/>
                <w:sz w:val="17"/>
              </w:rPr>
            </w:r>
            <w:r>
              <w:rPr>
                <w:b w:val="0"/>
                <w:sz w:val="17"/>
              </w:rPr>
              <w:t>Senior advice by the day or by the month. Strategy, entering a new market, rules and regulation, getting ready for funding.</w:t>
            </w:r>
          </w:p>
        </w:tc>
        <w:tc>
          <w:tcPr>
            <w:tcW w:type="dxa" w:w="2412"/>
          </w:tcPr>
          <w:p>
            <w:r>
              <w:rPr>
                <w:b w:val="0"/>
                <w:sz w:val="17"/>
              </w:rPr>
            </w:r>
            <w:r>
              <w:rPr>
                <w:b w:val="0"/>
                <w:sz w:val="17"/>
              </w:rPr>
              <w:t>Health-tech founders, small care providers, charities, investors</w:t>
            </w:r>
          </w:p>
        </w:tc>
        <w:tc>
          <w:tcPr>
            <w:tcW w:type="dxa" w:w="2412"/>
          </w:tcPr>
          <w:p>
            <w:r>
              <w:rPr>
                <w:b w:val="0"/>
                <w:sz w:val="17"/>
              </w:rPr>
            </w:r>
            <w:r>
              <w:rPr>
                <w:b w:val="0"/>
                <w:sz w:val="17"/>
              </w:rPr>
              <w:t>Available now, delivered by the founder</w:t>
            </w:r>
          </w:p>
        </w:tc>
      </w:tr>
      <w:tr>
        <w:tc>
          <w:tcPr>
            <w:tcW w:type="dxa" w:w="2412"/>
          </w:tcPr>
          <w:p>
            <w:r>
              <w:rPr>
                <w:b w:val="0"/>
                <w:sz w:val="17"/>
              </w:rPr>
            </w:r>
            <w:r>
              <w:rPr>
                <w:b/>
                <w:sz w:val="17"/>
              </w:rPr>
              <w:t>Consulting</w:t>
            </w:r>
          </w:p>
        </w:tc>
        <w:tc>
          <w:tcPr>
            <w:tcW w:type="dxa" w:w="2412"/>
          </w:tcPr>
          <w:p>
            <w:r>
              <w:rPr>
                <w:b w:val="0"/>
                <w:sz w:val="17"/>
              </w:rPr>
            </w:r>
            <w:r>
              <w:rPr>
                <w:b w:val="0"/>
                <w:sz w:val="17"/>
              </w:rPr>
              <w:t>Fixed-price projects with a fixed end date. Reviews, business cases, readiness checks, market plans.</w:t>
            </w:r>
          </w:p>
        </w:tc>
        <w:tc>
          <w:tcPr>
            <w:tcW w:type="dxa" w:w="2412"/>
          </w:tcPr>
          <w:p>
            <w:r>
              <w:rPr>
                <w:b w:val="0"/>
                <w:sz w:val="17"/>
              </w:rPr>
            </w:r>
            <w:r>
              <w:rPr>
                <w:b w:val="0"/>
                <w:sz w:val="17"/>
              </w:rPr>
              <w:t>NHS trusts, private providers, health-tech companies, charities and foundations</w:t>
            </w:r>
          </w:p>
        </w:tc>
        <w:tc>
          <w:tcPr>
            <w:tcW w:type="dxa" w:w="2412"/>
          </w:tcPr>
          <w:p>
            <w:r>
              <w:rPr>
                <w:b w:val="0"/>
                <w:sz w:val="17"/>
              </w:rPr>
            </w:r>
            <w:r>
              <w:rPr>
                <w:b w:val="0"/>
                <w:sz w:val="17"/>
              </w:rPr>
              <w:t>Ten packaged projects with written prices</w:t>
            </w:r>
          </w:p>
        </w:tc>
      </w:tr>
      <w:tr>
        <w:tc>
          <w:tcPr>
            <w:tcW w:type="dxa" w:w="2412"/>
          </w:tcPr>
          <w:p>
            <w:r>
              <w:rPr>
                <w:b w:val="0"/>
                <w:sz w:val="17"/>
              </w:rPr>
            </w:r>
            <w:r>
              <w:rPr>
                <w:b/>
                <w:sz w:val="17"/>
              </w:rPr>
              <w:t>Health Solutions</w:t>
            </w:r>
          </w:p>
        </w:tc>
        <w:tc>
          <w:tcPr>
            <w:tcW w:type="dxa" w:w="2412"/>
          </w:tcPr>
          <w:p>
            <w:r>
              <w:rPr>
                <w:b w:val="0"/>
                <w:sz w:val="17"/>
              </w:rPr>
            </w:r>
            <w:r>
              <w:rPr>
                <w:b w:val="0"/>
                <w:sz w:val="17"/>
              </w:rPr>
              <w:t>Products for real care settings. The first is MaternaLink.</w:t>
            </w:r>
          </w:p>
        </w:tc>
        <w:tc>
          <w:tcPr>
            <w:tcW w:type="dxa" w:w="2412"/>
          </w:tcPr>
          <w:p>
            <w:r>
              <w:rPr>
                <w:b w:val="0"/>
                <w:sz w:val="17"/>
              </w:rPr>
            </w:r>
            <w:r>
              <w:rPr>
                <w:b w:val="0"/>
                <w:sz w:val="17"/>
              </w:rPr>
              <w:t>Maternity services in the UK; state and charity programmes in Africa</w:t>
            </w:r>
          </w:p>
        </w:tc>
        <w:tc>
          <w:tcPr>
            <w:tcW w:type="dxa" w:w="2412"/>
          </w:tcPr>
          <w:p>
            <w:r>
              <w:rPr>
                <w:b w:val="0"/>
                <w:sz w:val="17"/>
              </w:rPr>
            </w:r>
            <w:r>
              <w:rPr>
                <w:b w:val="0"/>
                <w:sz w:val="17"/>
              </w:rPr>
              <w:t>An early prototype only. Nothing in use with patients</w:t>
            </w:r>
          </w:p>
        </w:tc>
      </w:tr>
      <w:tr>
        <w:tc>
          <w:tcPr>
            <w:tcW w:type="dxa" w:w="2412"/>
          </w:tcPr>
          <w:p>
            <w:r>
              <w:rPr>
                <w:b w:val="0"/>
                <w:sz w:val="17"/>
              </w:rPr>
            </w:r>
            <w:r>
              <w:rPr>
                <w:b/>
                <w:sz w:val="17"/>
              </w:rPr>
              <w:t>E-Learning</w:t>
            </w:r>
          </w:p>
        </w:tc>
        <w:tc>
          <w:tcPr>
            <w:tcW w:type="dxa" w:w="2412"/>
          </w:tcPr>
          <w:p>
            <w:r>
              <w:rPr>
                <w:b w:val="0"/>
                <w:sz w:val="17"/>
              </w:rPr>
            </w:r>
            <w:r>
              <w:rPr>
                <w:b w:val="0"/>
                <w:sz w:val="17"/>
              </w:rPr>
              <w:t>Short practical courses for health teams and founders.</w:t>
            </w:r>
          </w:p>
        </w:tc>
        <w:tc>
          <w:tcPr>
            <w:tcW w:type="dxa" w:w="2412"/>
          </w:tcPr>
          <w:p>
            <w:r>
              <w:rPr>
                <w:b w:val="0"/>
                <w:sz w:val="17"/>
              </w:rPr>
            </w:r>
            <w:r>
              <w:rPr>
                <w:b w:val="0"/>
                <w:sz w:val="17"/>
              </w:rPr>
              <w:t>Midwives, nurses, health-tech staff, students, employers</w:t>
            </w:r>
          </w:p>
        </w:tc>
        <w:tc>
          <w:tcPr>
            <w:tcW w:type="dxa" w:w="2412"/>
          </w:tcPr>
          <w:p>
            <w:r>
              <w:rPr>
                <w:b w:val="0"/>
                <w:sz w:val="17"/>
              </w:rPr>
            </w:r>
            <w:r>
              <w:rPr>
                <w:b w:val="0"/>
                <w:sz w:val="17"/>
              </w:rPr>
              <w:t>Planned. First courses about nine months after we start</w:t>
            </w:r>
          </w:p>
        </w:tc>
      </w:tr>
    </w:tbl>
    <w:p/>
    <w:p>
      <w:r>
        <w:t>These are four parts of one company, not four businesses. A readiness review, a business case, a pilot and a training course are designed to fit together.</w:t>
      </w:r>
    </w:p>
    <w:p>
      <w:r>
        <w:t>Advisory and Consulting pay the bills. MaternaLink is the long game.</w:t>
      </w:r>
    </w:p>
    <w:p>
      <w:pPr>
        <w:pStyle w:val="Heading2"/>
      </w:pPr>
      <w:r>
        <w:t>How we work</w:t>
      </w:r>
    </w:p>
    <w:p>
      <w:pPr>
        <w:pStyle w:val="ListBullet"/>
      </w:pPr>
      <w:r>
        <w:rPr>
          <w:b/>
        </w:rPr>
        <w:t>Fixed scope, fixed price, and changes in writing.</w:t>
      </w:r>
      <w:r>
        <w:t xml:space="preserve"> Every project has a written result, a way of judging it and a finish date.</w:t>
      </w:r>
    </w:p>
    <w:p>
      <w:pPr>
        <w:pStyle w:val="ListBullet"/>
      </w:pPr>
      <w:r>
        <w:rPr>
          <w:b/>
        </w:rPr>
        <w:t>Sources or silence.</w:t>
      </w:r>
      <w:r>
        <w:t xml:space="preserve"> If we cannot cite a number, we do not use it. If we think your idea should not be built, we say so.</w:t>
      </w:r>
    </w:p>
    <w:p>
      <w:pPr>
        <w:pStyle w:val="ListBullet"/>
      </w:pPr>
      <w:r>
        <w:rPr>
          <w:b/>
        </w:rPr>
        <w:t>Safety before speed.</w:t>
      </w:r>
      <w:r>
        <w:t xml:space="preserve"> For anything that touches patients we start with what the product is for, who is accountable for safety, and how personal data is protected. Features come after.</w:t>
      </w:r>
    </w:p>
    <w:p>
      <w:pPr>
        <w:pStyle w:val="ListBullet"/>
      </w:pPr>
      <w:r>
        <w:rPr>
          <w:b/>
        </w:rPr>
        <w:t>Built with people, not at them.</w:t>
      </w:r>
      <w:r>
        <w:t xml:space="preserve"> We interview the people who will use a thing before we design it. We only say "built with midwives" once midwives have actually helped build it.</w:t>
      </w:r>
    </w:p>
    <w:p>
      <w:pPr>
        <w:pStyle w:val="ListBullet"/>
      </w:pPr>
      <w:r>
        <w:rPr>
          <w:b/>
        </w:rPr>
        <w:t>One standard in both markets.</w:t>
      </w:r>
      <w:r>
        <w:t xml:space="preserve"> The same safety, data and honesty rules apply in the UK and in Africa.</w:t>
      </w:r>
    </w:p>
    <w:p>
      <w:pPr>
        <w:pStyle w:val="ListBullet"/>
      </w:pPr>
      <w:r>
        <w:rPr>
          <w:b/>
        </w:rPr>
        <w:t>Honest about our size.</w:t>
      </w:r>
      <w:r>
        <w:t xml:space="preserve"> We are one founder plus associates who are hired only when work is signed. We name nobody without their permission.</w:t>
      </w:r>
    </w:p>
    <w:p>
      <w:pPr>
        <w:pStyle w:val="Heading2"/>
      </w:pPr>
      <w:r>
        <w:t>MaternaLink (in development)</w:t>
      </w:r>
    </w:p>
    <w:p>
      <w:r>
        <w:t>MaternaLink is a maternity coordination platform. It is designed to keep a pregnant woman, her midwife and her hospital connected from the first booking appointment to a year after birth.</w:t>
      </w:r>
    </w:p>
    <w:p>
      <w:r>
        <w:t>The first version is deliberately narrow. It helps with appointments, two-way messaging that escalates to a real person, education a clinician has approved, and simple monitoring that a midwife acts on. It does not diagnose. It does not decide anything for a clinician.</w:t>
      </w:r>
    </w:p>
    <w:p>
      <w:r>
        <w:t>An earlier idea, an artificial-intelligence score that predicts complications, is now a research project for later. It needs data partners, ethics approval and a formal regulator's route before anyone can sell it.</w:t>
      </w:r>
    </w:p>
    <w:p>
      <w:r>
        <w:t>What is honest today:</w:t>
      </w:r>
    </w:p>
    <w:p>
      <w:pPr>
        <w:pStyle w:val="ListBullet"/>
      </w:pPr>
      <w:r>
        <w:t>A prototype exists and is being reviewed.</w:t>
      </w:r>
    </w:p>
    <w:p>
      <w:pPr>
        <w:pStyle w:val="ListBullet"/>
      </w:pPr>
      <w:r>
        <w:t>No hospital, clinic or government uses it.</w:t>
      </w:r>
    </w:p>
    <w:p>
      <w:pPr>
        <w:pStyle w:val="ListBullet"/>
      </w:pPr>
      <w:r>
        <w:t>It is not approved by the NHS, not cleared by the MHRA (the UK medicines and medical devices regulator), and carries no CE or UKCA mark.</w:t>
      </w:r>
    </w:p>
    <w:p>
      <w:pPr>
        <w:pStyle w:val="ListBullet"/>
      </w:pPr>
      <w:r>
        <w:t>No clinical trial has been run and no outcome has been proven.</w:t>
      </w:r>
    </w:p>
    <w:p>
      <w:r>
        <w:t>We would rather say that in the first meeting than be found out in the fifth.</w:t>
      </w:r>
    </w:p>
    <w:p>
      <w:pPr>
        <w:pStyle w:val="Heading2"/>
      </w:pPr>
      <w:r>
        <w:t>What we believe</w:t>
      </w:r>
    </w:p>
    <w:p>
      <w:pPr>
        <w:pStyle w:val="ListNumber"/>
      </w:pPr>
      <w:r>
        <w:t>Truth before traction. A small honest business beats a big story that falls apart.</w:t>
      </w:r>
    </w:p>
    <w:p>
      <w:pPr>
        <w:pStyle w:val="ListNumber"/>
      </w:pPr>
      <w:r>
        <w:t>Safety before speed. In health, moving fast and breaking things breaks people.</w:t>
      </w:r>
    </w:p>
    <w:p>
      <w:pPr>
        <w:pStyle w:val="ListNumber"/>
      </w:pPr>
      <w:r>
        <w:t>Build with, not for. The midwife knows things the slide deck does not.</w:t>
      </w:r>
    </w:p>
    <w:p>
      <w:pPr>
        <w:pStyle w:val="ListNumber"/>
      </w:pPr>
      <w:r>
        <w:t>Evidence is the product. Without proof, a health product is just an opinion with a login screen.</w:t>
      </w:r>
    </w:p>
    <w:p>
      <w:pPr>
        <w:pStyle w:val="ListNumber"/>
      </w:pPr>
      <w:r>
        <w:t>Both markets, one standard. What we would not ship in Manchester we do not ship in Lagos.</w:t>
      </w:r>
    </w:p>
    <w:p>
      <w:pPr>
        <w:pStyle w:val="Heading2"/>
      </w:pPr>
      <w:r>
        <w:t>How to reach us</w:t>
      </w:r>
    </w:p>
    <w:p>
      <w:pPr>
        <w:pStyle w:val="ListBullet"/>
      </w:pPr>
      <w:r>
        <w:t>Founder: [Founder name] · [Role]</w:t>
      </w:r>
    </w:p>
    <w:p>
      <w:pPr>
        <w:pStyle w:val="ListBullet"/>
      </w:pPr>
      <w:r>
        <w:t>Email: [hello@yourdomain]</w:t>
      </w:r>
    </w:p>
    <w:p>
      <w:pPr>
        <w:pStyle w:val="ListBullet"/>
      </w:pPr>
      <w:r>
        <w:t>Phone: [Business number, once a line exists]</w:t>
      </w:r>
    </w:p>
    <w:p>
      <w:pPr>
        <w:pStyle w:val="ListBullet"/>
      </w:pPr>
      <w:r>
        <w:t>Website: [URL]</w:t>
      </w:r>
    </w:p>
    <w:p>
      <w:pPr>
        <w:pStyle w:val="ListBullet"/>
      </w:pPr>
      <w:r>
        <w:t>LinkedIn: [Founder profile] · [Company page]</w:t>
      </w:r>
    </w:p>
    <w:p>
      <w:pPr>
        <w:pStyle w:val="ListBullet"/>
      </w:pPr>
      <w:r>
        <w:t>Registered office: [Address, after the company is registered]</w:t>
      </w:r>
    </w:p>
    <w:p>
      <w:pPr>
        <w:pStyle w:val="ListBullet"/>
      </w:pPr>
      <w:r>
        <w:t>Legal name: Vytalix is a trading name of [Legal company name], registered in England and Wales, company number [●]. VAT: [status].</w:t>
      </w:r>
    </w:p>
    <w:p>
      <w:r>
        <w:t>Ask us for a 20-minute call. If we are not the right people, we will say so and point you somewhere better.</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