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REQUEST FOR PROPOSALS</w:t>
      </w:r>
    </w:p>
    <w:p>
      <w:pPr>
        <w:pStyle w:val="Heading2"/>
      </w:pPr>
      <w:r>
        <w:t>Solicitation No. ADF/VLM/RFP-2026/117</w:t>
      </w:r>
    </w:p>
    <w:p>
      <w:pPr>
        <w:pStyle w:val="Heading1"/>
      </w:pPr>
      <w:r>
        <w:t>Rehabilitation of Two Primary Schools — Detailed Design and Supervision Services</w:t>
      </w:r>
    </w:p>
    <w:p>
      <w:r>
        <w:rPr>
          <w:b/>
        </w:rPr>
        <w:t>Velmara Schools Rehabilitation Project (VSRP)</w:t>
      </w:r>
    </w:p>
    <w:p>
      <w:r>
        <w:t>Aldermere Development Foundation</w:t>
      </w:r>
    </w:p>
    <w:p>
      <w:r>
        <w:t>Velmara Country Office — Procurement Unit</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Detail</w:t>
            </w:r>
          </w:p>
        </w:tc>
      </w:tr>
      <w:tr>
        <w:tc>
          <w:tcPr>
            <w:tcW w:type="dxa" w:w="4320"/>
          </w:tcPr>
          <w:p>
            <w:r>
              <w:t>Issuing office</w:t>
            </w:r>
          </w:p>
        </w:tc>
        <w:tc>
          <w:tcPr>
            <w:tcW w:type="dxa" w:w="4320"/>
          </w:tcPr>
          <w:p>
            <w:r>
              <w:t>Aldermere Development Foundation, Velmara Country Office, Plot 214, Jakaya Avenue, P.O. Box 4471, Mtara, Republic of Velmara</w:t>
            </w:r>
          </w:p>
        </w:tc>
      </w:tr>
      <w:tr>
        <w:tc>
          <w:tcPr>
            <w:tcW w:type="dxa" w:w="4320"/>
          </w:tcPr>
          <w:p>
            <w:r>
              <w:t>Date of issue</w:t>
            </w:r>
          </w:p>
        </w:tc>
        <w:tc>
          <w:tcPr>
            <w:tcW w:type="dxa" w:w="4320"/>
          </w:tcPr>
          <w:p>
            <w:r>
              <w:t>5 October 2026</w:t>
            </w:r>
          </w:p>
        </w:tc>
      </w:tr>
      <w:tr>
        <w:tc>
          <w:tcPr>
            <w:tcW w:type="dxa" w:w="4320"/>
          </w:tcPr>
          <w:p>
            <w:r>
              <w:t>Deadline for written clarifications</w:t>
            </w:r>
          </w:p>
        </w:tc>
        <w:tc>
          <w:tcPr>
            <w:tcW w:type="dxa" w:w="4320"/>
          </w:tcPr>
          <w:p>
            <w:r>
              <w:t>13 November 2026, 17:00 hrs (Mtara time)</w:t>
            </w:r>
          </w:p>
        </w:tc>
      </w:tr>
      <w:tr>
        <w:tc>
          <w:tcPr>
            <w:tcW w:type="dxa" w:w="4320"/>
          </w:tcPr>
          <w:p>
            <w:r>
              <w:t>Proposal submission deadline</w:t>
            </w:r>
          </w:p>
        </w:tc>
        <w:tc>
          <w:tcPr>
            <w:tcW w:type="dxa" w:w="4320"/>
          </w:tcPr>
          <w:p>
            <w:r>
              <w:t>27 November 2026, 16:00 hrs (Mtara time)</w:t>
            </w:r>
          </w:p>
        </w:tc>
      </w:tr>
      <w:tr>
        <w:tc>
          <w:tcPr>
            <w:tcW w:type="dxa" w:w="4320"/>
          </w:tcPr>
          <w:p>
            <w:r>
              <w:t>Proposal validity period</w:t>
            </w:r>
          </w:p>
        </w:tc>
        <w:tc>
          <w:tcPr>
            <w:tcW w:type="dxa" w:w="4320"/>
          </w:tcPr>
          <w:p>
            <w:r>
              <w:t>90 days from the submission deadline</w:t>
            </w:r>
          </w:p>
        </w:tc>
      </w:tr>
      <w:tr>
        <w:tc>
          <w:tcPr>
            <w:tcW w:type="dxa" w:w="4320"/>
          </w:tcPr>
          <w:p>
            <w:r>
              <w:t>Type of contract</w:t>
            </w:r>
          </w:p>
        </w:tc>
        <w:tc>
          <w:tcPr>
            <w:tcW w:type="dxa" w:w="4320"/>
          </w:tcPr>
          <w:p>
            <w:r>
              <w:t>Consultancy services, lump sum</w:t>
            </w:r>
          </w:p>
        </w:tc>
      </w:tr>
      <w:tr>
        <w:tc>
          <w:tcPr>
            <w:tcW w:type="dxa" w:w="4320"/>
          </w:tcPr>
          <w:p>
            <w:r>
              <w:t>Optional pre-proposal site visit</w:t>
            </w:r>
          </w:p>
        </w:tc>
        <w:tc>
          <w:tcPr>
            <w:tcW w:type="dxa" w:w="4320"/>
          </w:tcPr>
          <w:p>
            <w:r>
              <w:t>30 October 2026, 09:00 hrs (Mtara time)</w:t>
            </w:r>
          </w:p>
        </w:tc>
      </w:tr>
      <w:tr>
        <w:tc>
          <w:tcPr>
            <w:tcW w:type="dxa" w:w="4320"/>
          </w:tcPr>
          <w:p>
            <w:r>
              <w:t>Language of proposal</w:t>
            </w:r>
          </w:p>
        </w:tc>
        <w:tc>
          <w:tcPr>
            <w:tcW w:type="dxa" w:w="4320"/>
          </w:tcPr>
          <w:p>
            <w:r>
              <w:t>English</w:t>
            </w:r>
          </w:p>
        </w:tc>
      </w:tr>
      <w:tr>
        <w:tc>
          <w:tcPr>
            <w:tcW w:type="dxa" w:w="4320"/>
          </w:tcPr>
          <w:p>
            <w:r>
              <w:t>Currency of proposal</w:t>
            </w:r>
          </w:p>
        </w:tc>
        <w:tc>
          <w:tcPr>
            <w:tcW w:type="dxa" w:w="4320"/>
          </w:tcPr>
          <w:p>
            <w:r>
              <w:t>United States Dollars (USD)</w:t>
            </w:r>
          </w:p>
        </w:tc>
      </w:tr>
    </w:tbl>
    <w:p>
      <w:pPr>
        <w:pStyle w:val="Heading2"/>
      </w:pPr>
      <w:r>
        <w:t>1. Introduction and Background</w:t>
      </w:r>
    </w:p>
    <w:p>
      <w:r>
        <w:t>The Aldermere Development Foundation ("the Foundation" or "ADF") is an international non-profit development organisation implementing education, livelihoods and civic infrastructure programmes in the Republic of Velmara under a country agreement with the Government of the Republic of Velmara. Under the Education Infrastructure Window of its 2024–2028 country strategy, financed from the Foundation's own programme resources and a grant from the Callemont Trust, the Foundation has approved the Velmara Schools Rehabilitation Project (VSRP).</w:t>
      </w:r>
    </w:p>
    <w:p>
      <w:r>
        <w:t>The VSRP will rehabilitate two public primary schools in Chelwa Province:</w:t>
      </w:r>
    </w:p>
    <w:p>
      <w:pPr>
        <w:pStyle w:val="ListBullet"/>
      </w:pPr>
      <w:r>
        <w:rPr>
          <w:b/>
        </w:rPr>
        <w:t>Bunyika Primary School</w:t>
      </w:r>
      <w:r>
        <w:t>, Rutema District — a day school enrolling approximately 412 learners (grades 1–7), constructed in 1978, comprising eleven classrooms in three single-storey blocks, an administration block and a teachers' facility. The February 2026 storms destroyed the roof sheeting over two classroom blocks, and the remaining fabric shows long-term deferred maintenance, corroded roof timber, and cracked render. Water and sanitation provision is limited to six pit latrines shared by all learners and staff.</w:t>
      </w:r>
    </w:p>
    <w:p>
      <w:pPr>
        <w:pStyle w:val="ListBullet"/>
      </w:pPr>
      <w:r>
        <w:rPr>
          <w:b/>
        </w:rPr>
        <w:t>Kalenga Primary School</w:t>
      </w:r>
      <w:r>
        <w:t>, Sanzawa District — a day school enrolling approximately 355 learners, constructed in 1984, comprising nine classrooms in two blocks and an administration block. Differential settlement has produced cracking in load-bearing walls of three classrooms, which the district education office has closed as a precaution. The school has no on-site water supply; learners carry water from a borehole approximately 600 metres away.</w:t>
      </w:r>
    </w:p>
    <w:p>
      <w:r>
        <w:t>Both schools will remain in operation throughout the works. Rehabilitation must therefore be phased so that teaching is not interrupted. The Ministry of Basic Education (MoBE) of the Republic of Velmara is the Foundation's implementing partner and will remain the owner of the facilities after handover.</w:t>
      </w:r>
    </w:p>
    <w:p>
      <w:r>
        <w:t>The Foundation will procure the rehabilitation works through a separate open competitive tender. This Request for Proposals ("RFP") invites qualified consulting firms ("bidders"; the successful bidder, the "Consultant") to provide detailed design services for the rehabilitation works and to supervise the subsequent works contract through to completion, defects clearance and handover.</w:t>
      </w:r>
    </w:p>
    <w:p>
      <w:r>
        <w:t>This procurement is conducted in accordance with the Foundation's Procurement and Grants Manual (2024 edition). The issuance of this RFP does not constitute an offer or a commitment by the Foundation to award a contract, and the Foundation reserves the right to amend or cancel the process at any stage.</w:t>
      </w:r>
    </w:p>
    <w:p>
      <w:pPr>
        <w:pStyle w:val="Heading2"/>
      </w:pPr>
      <w:r>
        <w:t>2. Objective of the Assignment</w:t>
      </w:r>
    </w:p>
    <w:p>
      <w:r>
        <w:t>The overall objective of the assignment is to deliver, through competitive works tendering, the timely, safe and cost-effective rehabilitation of Bunyika and Kalenga Primary Schools to a standard that is child-friendly, inclusive, gender-responsive and climate-resilient, and to supervise the works to completion and formal handover to MoBE.</w:t>
      </w:r>
    </w:p>
    <w:p>
      <w:r>
        <w:t>Specific objectives are to:</w:t>
      </w:r>
    </w:p>
    <w:p>
      <w:pPr>
        <w:pStyle w:val="ListBullet"/>
      </w:pPr>
      <w:r>
        <w:t>carry out condition assessments, surveys and investigations sufficient for detailed design at both sites;</w:t>
      </w:r>
    </w:p>
    <w:p>
      <w:pPr>
        <w:pStyle w:val="ListBullet"/>
      </w:pPr>
      <w:r>
        <w:t>prepare complete, tender-ready detailed designs, specifications, cost estimates and bills of quantities for the rehabilitation works;</w:t>
      </w:r>
    </w:p>
    <w:p>
      <w:pPr>
        <w:pStyle w:val="ListBullet"/>
      </w:pPr>
      <w:r>
        <w:t>prepare tender documents for the works and support the Foundation in running the works tender, including bid evaluation;</w:t>
      </w:r>
    </w:p>
    <w:p>
      <w:pPr>
        <w:pStyle w:val="ListBullet"/>
      </w:pPr>
      <w:r>
        <w:t>supervise the works contractor, certify quality and quantities, and administer interim and final payments;</w:t>
      </w:r>
    </w:p>
    <w:p>
      <w:pPr>
        <w:pStyle w:val="ListBullet"/>
      </w:pPr>
      <w:r>
        <w:t>implement the environmental and social management measures required for works on live school sites, including child safety and safeguarding; and</w:t>
      </w:r>
    </w:p>
    <w:p>
      <w:pPr>
        <w:pStyle w:val="ListBullet"/>
      </w:pPr>
      <w:r>
        <w:t>deliver as-built documentation, operation and maintenance manuals, and a handover report.</w:t>
      </w:r>
    </w:p>
    <w:p>
      <w:pPr>
        <w:pStyle w:val="Heading2"/>
      </w:pPr>
      <w:r>
        <w:t>3. Scope of Work and Terms of Reference</w:t>
      </w:r>
    </w:p>
    <w:p>
      <w:pPr>
        <w:pStyle w:val="Heading3"/>
      </w:pPr>
      <w:r>
        <w:t>3.1 Part A — Detailed Design Services</w:t>
      </w:r>
    </w:p>
    <w:p>
      <w:r>
        <w:t>The Consultant shall:</w:t>
      </w:r>
    </w:p>
    <w:p>
      <w:r>
        <w:t>1. Review all available documentation, including the 2025 VSRP feasibility study, MoBE facility records, and any surviving original drawings.</w:t>
      </w:r>
    </w:p>
    <w:p>
      <w:r>
        <w:t>2. Carry out a full condition survey of all buildings at both sites, including measured drawings of existing structures.</w:t>
      </w:r>
    </w:p>
    <w:p>
      <w:r>
        <w:t>3. Undertake topographic surveys of both school compounds, including levels, existing services and boundaries.</w:t>
      </w:r>
    </w:p>
    <w:p>
      <w:r>
        <w:t>4. Carry out geotechnical investigations, including trial pits and laboratory testing of soils at proposed footing locations.</w:t>
      </w:r>
    </w:p>
    <w:p>
      <w:r>
        <w:t>5. Perform structural assessments of all existing blocks, including an assessment of the settlement-affected classrooms at Kalenga, and a repair-versus-replacement analysis with cost implications.</w:t>
      </w:r>
    </w:p>
    <w:p>
      <w:r>
        <w:t>6. Develop design options for each school with indicative costs, and facilitate consultation on the options with the school management committees, the MoBE district offices, and community and parent representatives before the design is fixed.</w:t>
      </w:r>
    </w:p>
    <w:p>
      <w:r>
        <w:t>7. Prepare detailed designs for the approved scope, covering structural works, architectural finishes, water supply (including rainwater harvesting where feasible), sanitation (new latrine blocks with separate provision for girls and boys, including accessible stalls and menstrual hygiene management provisions), electrical works (including internal rewiring and solar where feasible), and external works including safety fencing and controlled site access.</w:t>
      </w:r>
    </w:p>
    <w:p>
      <w:r>
        <w:t>8. Apply inclusive and universal design principles: step-free access to at least one complete learning pathway per school, accessible door widths, and at least one accessible latrine stall and washroom facility per school.</w:t>
      </w:r>
    </w:p>
    <w:p>
      <w:r>
        <w:t>9. Screen the works under the Foundation's Environmental and Social Management Framework, prepare site-specific Environmental and Social Management Plans (ESMPs), and prepare a phasing plan that keeps each school in operation during construction.</w:t>
      </w:r>
    </w:p>
    <w:p>
      <w:r>
        <w:t>10. Prepare a cost estimate and bills of quantities, tested against prevailing market prices, and an implementation schedule.</w:t>
      </w:r>
    </w:p>
    <w:p>
      <w:r>
        <w:t>11. Prepare complete tender documents for the works based on the Foundation's standard bidding documents, and support the Foundation through the works tender, including technical evaluation of bids.</w:t>
      </w:r>
    </w:p>
    <w:p>
      <w:r>
        <w:t>12. Submit all drawings and documents in PDF plus editable native formats (CAD and word-processing files).</w:t>
      </w:r>
    </w:p>
    <w:p>
      <w:r>
        <w:t>All designs shall comply with the national building regulations of the Republic of Velmara and, where these are silent, with recognised international good practice.</w:t>
      </w:r>
    </w:p>
    <w:p>
      <w:pPr>
        <w:pStyle w:val="Heading3"/>
      </w:pPr>
      <w:r>
        <w:t>3.2 Part B — Construction Supervision Services</w:t>
      </w:r>
    </w:p>
    <w:p>
      <w:r>
        <w:t>Following award of the works contract, the Consultant shall:</w:t>
      </w:r>
    </w:p>
    <w:p>
      <w:r>
        <w:t>1. Review and approve, or return for correction, the works contractor's submittals and shop drawings within ten (10) working days of receipt.</w:t>
      </w:r>
    </w:p>
    <w:p>
      <w:r>
        <w:t>2. Convene the pre-construction meeting and satisfy itself that the contractor's site mobilisation, traffic management and safety plans are adequate before authorising commencement on site.</w:t>
      </w:r>
    </w:p>
    <w:p>
      <w:r>
        <w:t>3. Maintain full-time site presence through a clerk of works at each school for the duration of the works.</w:t>
      </w:r>
    </w:p>
    <w:p>
      <w:r>
        <w:t>4. Supervise and inspect the works, witness and require testing of materials and workmanship, verify setting out, attend all critical structural stages, and issue site instructions and non-conformance reports as required.</w:t>
      </w:r>
    </w:p>
    <w:p>
      <w:r>
        <w:t>5. Chair monthly site meetings and issue minutes within five (5) working days.</w:t>
      </w:r>
    </w:p>
    <w:p>
      <w:r>
        <w:t>6. Verify executed quantities and certify the contractor's interim and final payment applications; recommend variations only with the Foundation's prior written approval.</w:t>
      </w:r>
    </w:p>
    <w:p>
      <w:r>
        <w:t>7. Monitor the contractor's compliance with the ESMPs and with environmental, social, health and safety standards, including child safety on live school sites and the functioning of the community grievance mechanism.</w:t>
      </w:r>
    </w:p>
    <w:p>
      <w:r>
        <w:t>8. Maintain professional indemnity insurance with a limit of indemnity of not less than USD 1,500,000 per claim for the duration of the assignment, and submit evidence of such cover together with the advance payment guarantee prior to contract signature.</w:t>
      </w:r>
    </w:p>
    <w:p>
      <w:r>
        <w:t>9. Verify tests on completion, issue the snag list, and certify practical completion of the works.</w:t>
      </w:r>
    </w:p>
    <w:p>
      <w:r>
        <w:t>10. Supervise the six (6) month defects liability period, carry out the final inspection, and certify completion of outstanding works.</w:t>
      </w:r>
    </w:p>
    <w:p>
      <w:r>
        <w:t>11. Compile as-built drawings and records, prepare operation and maintenance manuals, deliver a short familiarisation session on routine maintenance to each school management committee, and submit a final handover report.</w:t>
      </w:r>
    </w:p>
    <w:p>
      <w:pPr>
        <w:pStyle w:val="Heading3"/>
      </w:pPr>
      <w:r>
        <w:t>3.3 Deliverables and Indicative Schedule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No.</w:t>
            </w:r>
          </w:p>
        </w:tc>
        <w:tc>
          <w:tcPr>
            <w:tcW w:type="dxa" w:w="2880"/>
          </w:tcPr>
          <w:p>
            <w:r>
              <w:rPr>
                <w:b/>
              </w:rPr>
              <w:t>Deliverable</w:t>
            </w:r>
          </w:p>
        </w:tc>
        <w:tc>
          <w:tcPr>
            <w:tcW w:type="dxa" w:w="2880"/>
          </w:tcPr>
          <w:p>
            <w:r>
              <w:rPr>
                <w:b/>
              </w:rPr>
              <w:t>Indicative due date</w:t>
            </w:r>
          </w:p>
        </w:tc>
      </w:tr>
      <w:tr>
        <w:tc>
          <w:tcPr>
            <w:tcW w:type="dxa" w:w="2880"/>
          </w:tcPr>
          <w:p>
            <w:r>
              <w:t>D1</w:t>
            </w:r>
          </w:p>
        </w:tc>
        <w:tc>
          <w:tcPr>
            <w:tcW w:type="dxa" w:w="2880"/>
          </w:tcPr>
          <w:p>
            <w:r>
              <w:t>Inception report (work plan, staffing, mobilisation)</w:t>
            </w:r>
          </w:p>
        </w:tc>
        <w:tc>
          <w:tcPr>
            <w:tcW w:type="dxa" w:w="2880"/>
          </w:tcPr>
          <w:p>
            <w:r>
              <w:t>Week 4</w:t>
            </w:r>
          </w:p>
        </w:tc>
      </w:tr>
      <w:tr>
        <w:tc>
          <w:tcPr>
            <w:tcW w:type="dxa" w:w="2880"/>
          </w:tcPr>
          <w:p>
            <w:r>
              <w:t>D2</w:t>
            </w:r>
          </w:p>
        </w:tc>
        <w:tc>
          <w:tcPr>
            <w:tcW w:type="dxa" w:w="2880"/>
          </w:tcPr>
          <w:p>
            <w:r>
              <w:t>Condition assessment and survey report (both sites)</w:t>
            </w:r>
          </w:p>
        </w:tc>
        <w:tc>
          <w:tcPr>
            <w:tcW w:type="dxa" w:w="2880"/>
          </w:tcPr>
          <w:p>
            <w:r>
              <w:t>Week 10</w:t>
            </w:r>
          </w:p>
        </w:tc>
      </w:tr>
      <w:tr>
        <w:tc>
          <w:tcPr>
            <w:tcW w:type="dxa" w:w="2880"/>
          </w:tcPr>
          <w:p>
            <w:r>
              <w:t>D3</w:t>
            </w:r>
          </w:p>
        </w:tc>
        <w:tc>
          <w:tcPr>
            <w:tcW w:type="dxa" w:w="2880"/>
          </w:tcPr>
          <w:p>
            <w:r>
              <w:t>Draft detailed design package and design report</w:t>
            </w:r>
          </w:p>
        </w:tc>
        <w:tc>
          <w:tcPr>
            <w:tcW w:type="dxa" w:w="2880"/>
          </w:tcPr>
          <w:p>
            <w:r>
              <w:t>Week 16</w:t>
            </w:r>
          </w:p>
        </w:tc>
      </w:tr>
      <w:tr>
        <w:tc>
          <w:tcPr>
            <w:tcW w:type="dxa" w:w="2880"/>
          </w:tcPr>
          <w:p>
            <w:r>
              <w:t>D4</w:t>
            </w:r>
          </w:p>
        </w:tc>
        <w:tc>
          <w:tcPr>
            <w:tcW w:type="dxa" w:w="2880"/>
          </w:tcPr>
          <w:p>
            <w:r>
              <w:t>Final design package, bills of quantities, cost estimate and tender documents for the works</w:t>
            </w:r>
          </w:p>
        </w:tc>
        <w:tc>
          <w:tcPr>
            <w:tcW w:type="dxa" w:w="2880"/>
          </w:tcPr>
          <w:p>
            <w:r>
              <w:t>Week 22</w:t>
            </w:r>
          </w:p>
        </w:tc>
      </w:tr>
      <w:tr>
        <w:tc>
          <w:tcPr>
            <w:tcW w:type="dxa" w:w="2880"/>
          </w:tcPr>
          <w:p>
            <w:r>
              <w:t>D5</w:t>
            </w:r>
          </w:p>
        </w:tc>
        <w:tc>
          <w:tcPr>
            <w:tcW w:type="dxa" w:w="2880"/>
          </w:tcPr>
          <w:p>
            <w:r>
              <w:t>Monthly supervision progress reports</w:t>
            </w:r>
          </w:p>
        </w:tc>
        <w:tc>
          <w:tcPr>
            <w:tcW w:type="dxa" w:w="2880"/>
          </w:tcPr>
          <w:p>
            <w:r>
              <w:t>Monthly during works</w:t>
            </w:r>
          </w:p>
        </w:tc>
      </w:tr>
      <w:tr>
        <w:tc>
          <w:tcPr>
            <w:tcW w:type="dxa" w:w="2880"/>
          </w:tcPr>
          <w:p>
            <w:r>
              <w:t>D6</w:t>
            </w:r>
          </w:p>
        </w:tc>
        <w:tc>
          <w:tcPr>
            <w:tcW w:type="dxa" w:w="2880"/>
          </w:tcPr>
          <w:p>
            <w:r>
              <w:t>Site instructions, non-conformance reports, interim payment certificates</w:t>
            </w:r>
          </w:p>
        </w:tc>
        <w:tc>
          <w:tcPr>
            <w:tcW w:type="dxa" w:w="2880"/>
          </w:tcPr>
          <w:p>
            <w:r>
              <w:t>As required</w:t>
            </w:r>
          </w:p>
        </w:tc>
      </w:tr>
      <w:tr>
        <w:tc>
          <w:tcPr>
            <w:tcW w:type="dxa" w:w="2880"/>
          </w:tcPr>
          <w:p>
            <w:r>
              <w:t>D7</w:t>
            </w:r>
          </w:p>
        </w:tc>
        <w:tc>
          <w:tcPr>
            <w:tcW w:type="dxa" w:w="2880"/>
          </w:tcPr>
          <w:p>
            <w:r>
              <w:t>Practical completion report and snag list</w:t>
            </w:r>
          </w:p>
        </w:tc>
        <w:tc>
          <w:tcPr>
            <w:tcW w:type="dxa" w:w="2880"/>
          </w:tcPr>
          <w:p>
            <w:r>
              <w:t>Week 52</w:t>
            </w:r>
          </w:p>
        </w:tc>
      </w:tr>
      <w:tr>
        <w:tc>
          <w:tcPr>
            <w:tcW w:type="dxa" w:w="2880"/>
          </w:tcPr>
          <w:p>
            <w:r>
              <w:t>D8</w:t>
            </w:r>
          </w:p>
        </w:tc>
        <w:tc>
          <w:tcPr>
            <w:tcW w:type="dxa" w:w="2880"/>
          </w:tcPr>
          <w:p>
            <w:r>
              <w:t>Final completion report, as-built documentation, O&amp;M manuals, handover report</w:t>
            </w:r>
          </w:p>
        </w:tc>
        <w:tc>
          <w:tcPr>
            <w:tcW w:type="dxa" w:w="2880"/>
          </w:tcPr>
          <w:p>
            <w:r>
              <w:t>Week 62</w:t>
            </w:r>
          </w:p>
        </w:tc>
      </w:tr>
    </w:tbl>
    <w:p>
      <w:r>
        <w:t>Reporting. The Consultant shall submit monthly progress reports in English, in three bound hard copies and one electronic copy, in a format agreed at inception. Community consultations at both sites are expected to be conducted in Swahili, and the Team Leader shall be conversant in Swahili.</w:t>
      </w:r>
    </w:p>
    <w:p>
      <w:pPr>
        <w:pStyle w:val="Heading3"/>
      </w:pPr>
      <w:r>
        <w:t>3.4 Duration and Commencement</w:t>
      </w:r>
    </w:p>
    <w:p>
      <w:r>
        <w:t>The assignment is expected to commence in February 2027 and to run for approximately sixteen (16) months, comprising a design phase of about five months, a works tender of about six weeks, a construction period of about eight months, and the defects liability period through to close-out around April 2028. The Consultant shall mobilise within fourteen (14) days of contract signature.</w:t>
      </w:r>
    </w:p>
    <w:p>
      <w:pPr>
        <w:pStyle w:val="Heading2"/>
      </w:pPr>
      <w:r>
        <w:t>4. Eligibility and Qualification Criteria</w:t>
      </w:r>
    </w:p>
    <w:p>
      <w:pPr>
        <w:pStyle w:val="Heading3"/>
      </w:pPr>
      <w:r>
        <w:t>4.1 Eligible Bidders</w:t>
      </w:r>
    </w:p>
    <w:p>
      <w:r>
        <w:t>Bids are invited from legally constituted consulting firms, acting individually or as a two-member joint venture. Natural persons are not eligible. Bids from local branches of international firms must be accompanied by evidence of the branch's authority to contract and of the parent firm's undertaking to stand behind the bid.</w:t>
      </w:r>
    </w:p>
    <w:p>
      <w:pPr>
        <w:pStyle w:val="Heading3"/>
      </w:pPr>
      <w:r>
        <w:t>4.2 Experience Requirements</w:t>
      </w:r>
    </w:p>
    <w:p>
      <w:r>
        <w:t>To be eligible, a bidder must demonstrate that, within the last eight (8) years, it has:</w:t>
      </w:r>
    </w:p>
    <w:p>
      <w:pPr>
        <w:pStyle w:val="ListBullet"/>
      </w:pPr>
      <w:r>
        <w:t>completed at least two (2) contracts for the detailed design and construction supervision of rehabilitation or new construction of schools, health facilities or comparable public buildings, each with a total construction cost of not less than USD 400,000; and</w:t>
      </w:r>
    </w:p>
    <w:p>
      <w:pPr>
        <w:pStyle w:val="ListBullet"/>
      </w:pPr>
      <w:r>
        <w:t>completed at least one (1) such contract in Southern or Eastern Africa or in a comparable operating environment.</w:t>
      </w:r>
    </w:p>
    <w:p>
      <w:pPr>
        <w:pStyle w:val="Heading3"/>
      </w:pPr>
      <w:r>
        <w:t>4.3 Financial Capacity</w:t>
      </w:r>
    </w:p>
    <w:p>
      <w:r>
        <w:t>A bidder must demonstrate a minimum average annual turnover of USD 750,000 (or the equivalent in another currency) over the last three (3) audited financial years. Financial capacity will be verified against the audited financial statements submitted under Section 5.</w:t>
      </w:r>
    </w:p>
    <w:p>
      <w:pPr>
        <w:pStyle w:val="Heading3"/>
      </w:pPr>
      <w:r>
        <w:t>4.4 Key Personnel</w:t>
      </w:r>
    </w:p>
    <w:p>
      <w:r>
        <w:t>The bidder shall propose, as a minimum, the following key personnel. Personnel proposed must be available for the periods indicated in the work plan; substitution of any key person during the assignment requires the Foundation's prior written approval.</w:t>
      </w:r>
    </w:p>
    <w:tbl>
      <w:tblPr>
        <w:tblStyle w:val="TableGrid"/>
        <w:tblW w:type="auto" w:w="0"/>
        <w:tblLook w:firstColumn="1" w:firstRow="1" w:lastColumn="0" w:lastRow="0" w:noHBand="0" w:noVBand="1" w:val="04A0"/>
      </w:tblPr>
      <w:tblGrid>
        <w:gridCol w:w="4320"/>
        <w:gridCol w:w="4320"/>
      </w:tblGrid>
      <w:tr>
        <w:tc>
          <w:tcPr>
            <w:tcW w:type="dxa" w:w="4320"/>
          </w:tcPr>
          <w:p>
            <w:r>
              <w:rPr>
                <w:b/>
              </w:rPr>
              <w:t>Position</w:t>
            </w:r>
          </w:p>
        </w:tc>
        <w:tc>
          <w:tcPr>
            <w:tcW w:type="dxa" w:w="4320"/>
          </w:tcPr>
          <w:p>
            <w:r>
              <w:rPr>
                <w:b/>
              </w:rPr>
              <w:t>Minimum qualification and experience</w:t>
            </w:r>
          </w:p>
        </w:tc>
      </w:tr>
      <w:tr>
        <w:tc>
          <w:tcPr>
            <w:tcW w:type="dxa" w:w="4320"/>
          </w:tcPr>
          <w:p>
            <w:r>
              <w:t>Team Leader / Senior Architect or Civil Engineer</w:t>
            </w:r>
          </w:p>
        </w:tc>
        <w:tc>
          <w:tcPr>
            <w:tcW w:type="dxa" w:w="4320"/>
          </w:tcPr>
          <w:p>
            <w:r>
              <w:t>Registered/licensed professional with at least 15 years' experience, of which at least 8 in design and supervision of public buildings</w:t>
            </w:r>
          </w:p>
        </w:tc>
      </w:tr>
      <w:tr>
        <w:tc>
          <w:tcPr>
            <w:tcW w:type="dxa" w:w="4320"/>
          </w:tcPr>
          <w:p>
            <w:r>
              <w:t>Structural Engineer</w:t>
            </w:r>
          </w:p>
        </w:tc>
        <w:tc>
          <w:tcPr>
            <w:tcW w:type="dxa" w:w="4320"/>
          </w:tcPr>
          <w:p>
            <w:r>
              <w:t>Registered/licensed professional with at least 12 years' experience, including assessment and rehabilitation of masonry and reinforced concrete structures</w:t>
            </w:r>
          </w:p>
        </w:tc>
      </w:tr>
      <w:tr>
        <w:tc>
          <w:tcPr>
            <w:tcW w:type="dxa" w:w="4320"/>
          </w:tcPr>
          <w:p>
            <w:r>
              <w:t>WASH Engineer</w:t>
            </w:r>
          </w:p>
        </w:tc>
        <w:tc>
          <w:tcPr>
            <w:tcW w:type="dxa" w:w="4320"/>
          </w:tcPr>
          <w:p>
            <w:r>
              <w:t>At least 8 years' experience in water supply and sanitation for institutional facilities</w:t>
            </w:r>
          </w:p>
        </w:tc>
      </w:tr>
      <w:tr>
        <w:tc>
          <w:tcPr>
            <w:tcW w:type="dxa" w:w="4320"/>
          </w:tcPr>
          <w:p>
            <w:r>
              <w:t>Electrical Engineer</w:t>
            </w:r>
          </w:p>
        </w:tc>
        <w:tc>
          <w:tcPr>
            <w:tcW w:type="dxa" w:w="4320"/>
          </w:tcPr>
          <w:p>
            <w:r>
              <w:t>At least 8 years' experience, including solar installations</w:t>
            </w:r>
          </w:p>
        </w:tc>
      </w:tr>
      <w:tr>
        <w:tc>
          <w:tcPr>
            <w:tcW w:type="dxa" w:w="4320"/>
          </w:tcPr>
          <w:p>
            <w:r>
              <w:t>Quantity Surveyor</w:t>
            </w:r>
          </w:p>
        </w:tc>
        <w:tc>
          <w:tcPr>
            <w:tcW w:type="dxa" w:w="4320"/>
          </w:tcPr>
          <w:p>
            <w:r>
              <w:t>At least 10 years' experience in preparation of bills of quantities and contract administration</w:t>
            </w:r>
          </w:p>
        </w:tc>
      </w:tr>
      <w:tr>
        <w:tc>
          <w:tcPr>
            <w:tcW w:type="dxa" w:w="4320"/>
          </w:tcPr>
          <w:p>
            <w:r>
              <w:t>Environmental and Social Safeguards Specialist</w:t>
            </w:r>
          </w:p>
        </w:tc>
        <w:tc>
          <w:tcPr>
            <w:tcW w:type="dxa" w:w="4320"/>
          </w:tcPr>
          <w:p>
            <w:r>
              <w:t>At least 8 years' experience, including works on occupied sites</w:t>
            </w:r>
          </w:p>
        </w:tc>
      </w:tr>
      <w:tr>
        <w:tc>
          <w:tcPr>
            <w:tcW w:type="dxa" w:w="4320"/>
          </w:tcPr>
          <w:p>
            <w:r>
              <w:t>Clerk of Works (per school, full-time during works)</w:t>
            </w:r>
          </w:p>
        </w:tc>
        <w:tc>
          <w:tcPr>
            <w:tcW w:type="dxa" w:w="4320"/>
          </w:tcPr>
          <w:p>
            <w:r>
              <w:t>At least 5 years' experience on comparable building works</w:t>
            </w:r>
          </w:p>
        </w:tc>
      </w:tr>
    </w:tbl>
    <w:p>
      <w:r>
        <w:t>Curricula vitae of key personnel must be signed by the individuals concerned. Where a proposed team member is engaged on more than one active assignment, the bidder must disclose this and confirm the arrangement for this assignment.</w:t>
      </w:r>
    </w:p>
    <w:p>
      <w:pPr>
        <w:pStyle w:val="Heading3"/>
      </w:pPr>
      <w:r>
        <w:t>4.5 Joint Ventures</w:t>
      </w:r>
    </w:p>
    <w:p>
      <w:r>
        <w:t>Joint ventures of two (2) firms are permitted and must be declared as such in the bid. The lead member must satisfy the requirements of Sections 4.2 and 4.3 in full; members are jointly and severally liable for performance. A signed joint venture agreement, identifying the lead member and the authorised representative, must be submitted with the proposal.</w:t>
      </w:r>
    </w:p>
    <w:p>
      <w:pPr>
        <w:pStyle w:val="Heading3"/>
      </w:pPr>
      <w:r>
        <w:t>4.6 Exclusions</w:t>
      </w:r>
    </w:p>
    <w:p>
      <w:r>
        <w:t>Bids will be rejected from bidders that: are insolvent, in receivership or in bankruptcy; are debarred by the Foundation or by any multilateral development institution; or are subject to comprehensive international sanctions. Firms that authored the 2025 VSRP feasibility study or the Foundation's Environmental and Social Management Framework for the education portfolio are not eligible to bid, in order to avoid conflicts of interest. Staff of the Foundation, of MoBE and of the two school management committees may not have any interest in a bid.</w:t>
      </w:r>
    </w:p>
    <w:p>
      <w:pPr>
        <w:pStyle w:val="Heading2"/>
      </w:pPr>
      <w:r>
        <w:t>5. Mandatory Submission Requirements</w:t>
      </w:r>
    </w:p>
    <w:p>
      <w:r>
        <w:t>Each proposal shall comprise the following. Any proposal that does not include items (a) to (f) will be rejected at opening as non-responsive. Deficiencies in items (g) to (l) may, at the Foundation's sole discretion, be the subject of a request for clarification; otherwise they may result in rejection.</w:t>
      </w:r>
    </w:p>
    <w:p>
      <w:pPr>
        <w:pStyle w:val="ListBullet"/>
      </w:pPr>
      <w:r>
        <w:t>(a) Technical proposal, not exceeding 40 pages excluding CVs, certificates and completed forms;</w:t>
      </w:r>
    </w:p>
    <w:p>
      <w:pPr>
        <w:pStyle w:val="ListBullet"/>
      </w:pPr>
      <w:r>
        <w:t>(b) Financial proposal in the format of Annex C;</w:t>
      </w:r>
    </w:p>
    <w:p>
      <w:pPr>
        <w:pStyle w:val="ListBullet"/>
      </w:pPr>
      <w:r>
        <w:t>(c) Bid security of USD 5,000, in accordance with Section 8;</w:t>
      </w:r>
    </w:p>
    <w:p>
      <w:pPr>
        <w:pStyle w:val="ListBullet"/>
      </w:pPr>
      <w:r>
        <w:t>(d) Bidder's Declaration, completed and signed (Annex A);</w:t>
      </w:r>
    </w:p>
    <w:p>
      <w:pPr>
        <w:pStyle w:val="ListBullet"/>
      </w:pPr>
      <w:r>
        <w:t>(e) Conflict of Interest Disclosure Form, completed and signed (Annex B);</w:t>
      </w:r>
    </w:p>
    <w:p>
      <w:pPr>
        <w:pStyle w:val="ListBullet"/>
      </w:pPr>
      <w:r>
        <w:t>(f) Certificate of incorporation or business registration;</w:t>
      </w:r>
    </w:p>
    <w:p>
      <w:pPr>
        <w:pStyle w:val="ListBullet"/>
      </w:pPr>
      <w:r>
        <w:t>(g) Valid tax clearance certificate issued by the Velmara Revenue Authority, or equivalent for foreign bidders;</w:t>
      </w:r>
    </w:p>
    <w:p>
      <w:pPr>
        <w:pStyle w:val="ListBullet"/>
      </w:pPr>
      <w:r>
        <w:t>(h) Audited financial statements for the last three (3) financial years, demonstrating average annual turnover of not less than USD 900,000;</w:t>
      </w:r>
    </w:p>
    <w:p>
      <w:pPr>
        <w:pStyle w:val="ListBullet"/>
      </w:pPr>
      <w:r>
        <w:t>(i) Signed CVs of all key personnel;</w:t>
      </w:r>
    </w:p>
    <w:p>
      <w:pPr>
        <w:pStyle w:val="ListBullet"/>
      </w:pPr>
      <w:r>
        <w:t>(j) Reference letters or contactable references for the two qualifying contracts cited under Section 4.2, including contract values and client contact details;</w:t>
      </w:r>
    </w:p>
    <w:p>
      <w:pPr>
        <w:pStyle w:val="ListBullet"/>
      </w:pPr>
      <w:r>
        <w:t>(k) Joint venture agreement, if applicable;</w:t>
      </w:r>
    </w:p>
    <w:p>
      <w:pPr>
        <w:pStyle w:val="ListBullet"/>
      </w:pPr>
      <w:r>
        <w:t>(l) Power of attorney or other evidence of the signatory's authority to bind the bidder.</w:t>
      </w:r>
    </w:p>
    <w:p>
      <w:pPr>
        <w:pStyle w:val="Heading2"/>
      </w:pPr>
      <w:r>
        <w:t>6. Evaluation Criteria and Methodology</w:t>
      </w:r>
    </w:p>
    <w:p>
      <w:pPr>
        <w:pStyle w:val="Heading3"/>
      </w:pPr>
      <w:r>
        <w:t>6.1 Method</w:t>
      </w:r>
    </w:p>
    <w:p>
      <w:r>
        <w:t>Proposals will be evaluated under a two-envelope procedure. Technical proposals will be opened and evaluated first. Financial proposals will be opened only for bidders whose technical proposals achieve or exceed the minimum qualifying technical score. The Foundation reserves the right to request clarifications that do not materially alter the substance of a proposal.</w:t>
      </w:r>
    </w:p>
    <w:p>
      <w:pPr>
        <w:pStyle w:val="Heading3"/>
      </w:pPr>
      <w:r>
        <w:t>6.2 Technical Criteria</w:t>
      </w:r>
    </w:p>
    <w:tbl>
      <w:tblPr>
        <w:tblStyle w:val="TableGrid"/>
        <w:tblW w:type="auto" w:w="0"/>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Points</w:t>
            </w:r>
          </w:p>
        </w:tc>
      </w:tr>
      <w:tr>
        <w:tc>
          <w:tcPr>
            <w:tcW w:type="dxa" w:w="4320"/>
          </w:tcPr>
          <w:p>
            <w:r>
              <w:t>Relevant experience of the firm (Section 4.2)</w:t>
            </w:r>
          </w:p>
        </w:tc>
        <w:tc>
          <w:tcPr>
            <w:tcW w:type="dxa" w:w="4320"/>
          </w:tcPr>
          <w:p>
            <w:r>
              <w:t>15</w:t>
            </w:r>
          </w:p>
        </w:tc>
      </w:tr>
      <w:tr>
        <w:tc>
          <w:tcPr>
            <w:tcW w:type="dxa" w:w="4320"/>
          </w:tcPr>
          <w:p>
            <w:r>
              <w:t>Qualifications, experience and availability of key personnel</w:t>
            </w:r>
          </w:p>
        </w:tc>
        <w:tc>
          <w:tcPr>
            <w:tcW w:type="dxa" w:w="4320"/>
          </w:tcPr>
          <w:p>
            <w:r>
              <w:t>25</w:t>
            </w:r>
          </w:p>
        </w:tc>
      </w:tr>
      <w:tr>
        <w:tc>
          <w:tcPr>
            <w:tcW w:type="dxa" w:w="4320"/>
          </w:tcPr>
          <w:p>
            <w:r>
              <w:t>Soundness of methodology, work plan and site supervision arrangements</w:t>
            </w:r>
          </w:p>
        </w:tc>
        <w:tc>
          <w:tcPr>
            <w:tcW w:type="dxa" w:w="4320"/>
          </w:tcPr>
          <w:p>
            <w:r>
              <w:t>20</w:t>
            </w:r>
          </w:p>
        </w:tc>
      </w:tr>
      <w:tr>
        <w:tc>
          <w:tcPr>
            <w:tcW w:type="dxa" w:w="4320"/>
          </w:tcPr>
          <w:p>
            <w:r>
              <w:t>Understanding of the assignment, including safeguarding on live school sites and inclusive design</w:t>
            </w:r>
          </w:p>
        </w:tc>
        <w:tc>
          <w:tcPr>
            <w:tcW w:type="dxa" w:w="4320"/>
          </w:tcPr>
          <w:p>
            <w:r>
              <w:t>10</w:t>
            </w:r>
          </w:p>
        </w:tc>
      </w:tr>
      <w:tr>
        <w:tc>
          <w:tcPr>
            <w:tcW w:type="dxa" w:w="4320"/>
          </w:tcPr>
          <w:p>
            <w:r>
              <w:t>Organisation, logistics and local presence</w:t>
            </w:r>
          </w:p>
        </w:tc>
        <w:tc>
          <w:tcPr>
            <w:tcW w:type="dxa" w:w="4320"/>
          </w:tcPr>
          <w:p>
            <w:r>
              <w:t>5</w:t>
            </w:r>
          </w:p>
        </w:tc>
      </w:tr>
      <w:tr>
        <w:tc>
          <w:tcPr>
            <w:tcW w:type="dxa" w:w="4320"/>
          </w:tcPr>
          <w:p>
            <w:r>
              <w:rPr>
                <w:b/>
              </w:rPr>
              <w:t>Total technical points</w:t>
            </w:r>
          </w:p>
        </w:tc>
        <w:tc>
          <w:tcPr>
            <w:tcW w:type="dxa" w:w="4320"/>
          </w:tcPr>
          <w:p>
            <w:r>
              <w:rPr>
                <w:b/>
              </w:rPr>
              <w:t>75</w:t>
            </w:r>
          </w:p>
        </w:tc>
      </w:tr>
    </w:tbl>
    <w:p>
      <w:pPr>
        <w:pStyle w:val="Heading3"/>
      </w:pPr>
      <w:r>
        <w:t>6.3 Minimum Technical Score</w:t>
      </w:r>
    </w:p>
    <w:p>
      <w:r>
        <w:t>To qualify for the financial stage, a technical proposal must score at least seventy percent (70%) of the available technical points (i.e. 52.5 of 75 points).</w:t>
      </w:r>
    </w:p>
    <w:p>
      <w:pPr>
        <w:pStyle w:val="Heading3"/>
      </w:pPr>
      <w:r>
        <w:t>6.4 Financial Evaluation</w:t>
      </w:r>
    </w:p>
    <w:p>
      <w:r>
        <w:t>Financial proposals will be evaluated as submitted in United States Dollars, inclusive of all applicable taxes, duties and levies. Proposals quoted in another currency, or exclusive of taxes, will be treated as non-responsive. Arithmetic errors will be corrected on the basis of unit rates where possible, and the bidder must accept any such correction; failure to accept will result in rejection. The financial score will be calculated as:</w:t>
      </w:r>
    </w:p>
    <w:p>
      <w:r>
        <w:t>25 × (lowest evaluated financial proposal price / evaluated financial proposal price)</w:t>
      </w:r>
    </w:p>
    <w:p>
      <w:r>
        <w:t>The maximum score for the financial proposal is 25 points.</w:t>
      </w:r>
    </w:p>
    <w:p>
      <w:pPr>
        <w:pStyle w:val="Heading3"/>
      </w:pPr>
      <w:r>
        <w:t>6.5 Award and Reservations</w:t>
      </w:r>
    </w:p>
    <w:p>
      <w:r>
        <w:t>The contract will be awarded to the bidder achieving the highest combined technical and financial score. The Foundation's budget for this assignment is in the range of USD 170,000 to USD 190,000; the Foundation may reject any proposal whose financial proposal substantially exceeds the available budget, notwithstanding its combined score. The Foundation is not bound to accept the lowest-priced or any proposal, may cancel the process at any time prior to award, and may negotiate with the highest-ranked bidder where necessary. Unsuccessful bidders may request a written debrief within thirty (30) days of notification of the award decision.</w:t>
      </w:r>
    </w:p>
    <w:p>
      <w:pPr>
        <w:pStyle w:val="Heading2"/>
      </w:pPr>
      <w:r>
        <w:t>7. Contract Terms and Conditions</w:t>
      </w:r>
    </w:p>
    <w:p>
      <w:pPr>
        <w:pStyle w:val="Heading3"/>
      </w:pPr>
      <w:r>
        <w:t>7.1 Form of Contract and Price</w:t>
      </w:r>
    </w:p>
    <w:p>
      <w:r>
        <w:t>The contract will take the form of the Foundation's General Conditions for Consulting Services (2024 edition), as a lump-sum engagement. The contract price is firm for the duration of the assignment and will not be adjusted for escalation or exchange-rate movements. Payment will be made in United States Dollars against certified milestones. The Consultant is responsible for all taxes and duties arising from the assignment and shall be deemed to have included these in the price.</w:t>
      </w:r>
    </w:p>
    <w:p>
      <w:pPr>
        <w:pStyle w:val="Heading3"/>
      </w:pPr>
      <w:r>
        <w:t>7.2 Payment Schedule</w:t>
      </w:r>
    </w:p>
    <w:p>
      <w:r>
        <w:t>Payment will be made within forty-five (45) days of receipt of a correctly rendered invoice for a milestone accepted in writing by the Foundation,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Milestone</w:t>
            </w:r>
          </w:p>
        </w:tc>
        <w:tc>
          <w:tcPr>
            <w:tcW w:type="dxa" w:w="2880"/>
          </w:tcPr>
          <w:p>
            <w:r>
              <w:rPr>
                <w:b/>
              </w:rPr>
              <w:t>% of Contract Price</w:t>
            </w:r>
          </w:p>
        </w:tc>
      </w:tr>
      <w:tr>
        <w:tc>
          <w:tcPr>
            <w:tcW w:type="dxa" w:w="2880"/>
          </w:tcPr>
          <w:p>
            <w:r>
              <w:t>1</w:t>
            </w:r>
          </w:p>
        </w:tc>
        <w:tc>
          <w:tcPr>
            <w:tcW w:type="dxa" w:w="2880"/>
          </w:tcPr>
          <w:p>
            <w:r>
              <w:t>Advance payment on contract signature, against an unconditional advance payment guarantee</w:t>
            </w:r>
          </w:p>
        </w:tc>
        <w:tc>
          <w:tcPr>
            <w:tcW w:type="dxa" w:w="2880"/>
          </w:tcPr>
          <w:p>
            <w:r>
              <w:t>15</w:t>
            </w:r>
          </w:p>
        </w:tc>
      </w:tr>
      <w:tr>
        <w:tc>
          <w:tcPr>
            <w:tcW w:type="dxa" w:w="2880"/>
          </w:tcPr>
          <w:p>
            <w:r>
              <w:t>2</w:t>
            </w:r>
          </w:p>
        </w:tc>
        <w:tc>
          <w:tcPr>
            <w:tcW w:type="dxa" w:w="2880"/>
          </w:tcPr>
          <w:p>
            <w:r>
              <w:t>Written acceptance of the Inception Report (D1)</w:t>
            </w:r>
          </w:p>
        </w:tc>
        <w:tc>
          <w:tcPr>
            <w:tcW w:type="dxa" w:w="2880"/>
          </w:tcPr>
          <w:p>
            <w:r>
              <w:t>20</w:t>
            </w:r>
          </w:p>
        </w:tc>
      </w:tr>
      <w:tr>
        <w:tc>
          <w:tcPr>
            <w:tcW w:type="dxa" w:w="2880"/>
          </w:tcPr>
          <w:p>
            <w:r>
              <w:t>3</w:t>
            </w:r>
          </w:p>
        </w:tc>
        <w:tc>
          <w:tcPr>
            <w:tcW w:type="dxa" w:w="2880"/>
          </w:tcPr>
          <w:p>
            <w:r>
              <w:t>Written acceptance of the final design package, bills of quantities and works tender documents (D4)</w:t>
            </w:r>
          </w:p>
        </w:tc>
        <w:tc>
          <w:tcPr>
            <w:tcW w:type="dxa" w:w="2880"/>
          </w:tcPr>
          <w:p>
            <w:r>
              <w:t>25</w:t>
            </w:r>
          </w:p>
        </w:tc>
      </w:tr>
      <w:tr>
        <w:tc>
          <w:tcPr>
            <w:tcW w:type="dxa" w:w="2880"/>
          </w:tcPr>
          <w:p>
            <w:r>
              <w:t>4</w:t>
            </w:r>
          </w:p>
        </w:tc>
        <w:tc>
          <w:tcPr>
            <w:tcW w:type="dxa" w:w="2880"/>
          </w:tcPr>
          <w:p>
            <w:r>
              <w:t>Award of the works contract by the Foundation</w:t>
            </w:r>
          </w:p>
        </w:tc>
        <w:tc>
          <w:tcPr>
            <w:tcW w:type="dxa" w:w="2880"/>
          </w:tcPr>
          <w:p>
            <w:r>
              <w:t>15</w:t>
            </w:r>
          </w:p>
        </w:tc>
      </w:tr>
      <w:tr>
        <w:tc>
          <w:tcPr>
            <w:tcW w:type="dxa" w:w="2880"/>
          </w:tcPr>
          <w:p>
            <w:r>
              <w:t>5</w:t>
            </w:r>
          </w:p>
        </w:tc>
        <w:tc>
          <w:tcPr>
            <w:tcW w:type="dxa" w:w="2880"/>
          </w:tcPr>
          <w:p>
            <w:r>
              <w:t>Certification of practical completion of the works (D7)</w:t>
            </w:r>
          </w:p>
        </w:tc>
        <w:tc>
          <w:tcPr>
            <w:tcW w:type="dxa" w:w="2880"/>
          </w:tcPr>
          <w:p>
            <w:r>
              <w:t>15</w:t>
            </w:r>
          </w:p>
        </w:tc>
      </w:tr>
      <w:tr>
        <w:tc>
          <w:tcPr>
            <w:tcW w:type="dxa" w:w="2880"/>
          </w:tcPr>
          <w:p>
            <w:r>
              <w:t>6</w:t>
            </w:r>
          </w:p>
        </w:tc>
        <w:tc>
          <w:tcPr>
            <w:tcW w:type="dxa" w:w="2880"/>
          </w:tcPr>
          <w:p>
            <w:r>
              <w:t>Acceptance of the Final Completion Report and handover documentation (D8)</w:t>
            </w:r>
          </w:p>
        </w:tc>
        <w:tc>
          <w:tcPr>
            <w:tcW w:type="dxa" w:w="2880"/>
          </w:tcPr>
          <w:p>
            <w:r>
              <w:t>5</w:t>
            </w:r>
          </w:p>
        </w:tc>
      </w:tr>
    </w:tbl>
    <w:p>
      <w:r>
        <w:t>The advance payment guarantee will be released progressively as milestone payments are certified, and in full no later than the payment of milestone 3. Invoices shall quote the solicitation number and the milestone reference.</w:t>
      </w:r>
    </w:p>
    <w:p>
      <w:pPr>
        <w:pStyle w:val="Heading3"/>
      </w:pPr>
      <w:r>
        <w:t>7.3 Liquidated Damages</w:t>
      </w:r>
    </w:p>
    <w:p>
      <w:r>
        <w:t>Where a deliverable milestone is delayed for reasons attributable to the Consultant, the Consultant shall pay liquidated damages of 0.5% of the contract price per week of delay (or part week), up to a maximum of 10% of the contract price. Payment of liquidated damages is not the Foundation's exclusive remedy and does not relieve the Consultant of its obligation to complete the assignment.</w:t>
      </w:r>
    </w:p>
    <w:p>
      <w:pPr>
        <w:pStyle w:val="Heading3"/>
      </w:pPr>
      <w:r>
        <w:t>7.4 Suspension and Termination</w:t>
      </w:r>
    </w:p>
    <w:p>
      <w:r>
        <w:t>The Foundation may suspend the assignment, in whole or in part, by written notice. The Foundation may terminate the contract for convenience on thirty (30) days' written notice, in which case the Consultant will be paid for work properly performed to the date of termination, plus reasonable and documented demobilisation costs, but no profit on unperformed work. The Foundation may terminate for cause if the Consultant fails to remedy a material breach within fourteen (14) days of written notice, becomes insolvent, or engages in a Prohibited Practice (Section 10). The Consultant may terminate if a certified payment remains unpaid for more than ninety (90) days after its due date, or in the event of prolonged force majeure.</w:t>
      </w:r>
    </w:p>
    <w:p>
      <w:pPr>
        <w:pStyle w:val="Heading3"/>
      </w:pPr>
      <w:r>
        <w:t>7.5 Governing Law and Dispute Resolution</w:t>
      </w:r>
    </w:p>
    <w:p>
      <w:r>
        <w:t>The contract is governed by the laws of the Republic of Velmara. Disputes will first be referred to senior representatives of the parties for amicable settlement over thirty (30) days. Failing settlement, the dispute will be finally resolved by arbitration under the UNCITRAL Arbitration Rules, by a single arbitrator, seated in Mtara, in the English language. The parties will continue to perform their obligations during the resolution of any dispute, unless the contract has been terminated.</w:t>
      </w:r>
    </w:p>
    <w:p>
      <w:pPr>
        <w:pStyle w:val="Heading3"/>
      </w:pPr>
      <w:r>
        <w:t>7.6 Confidentiality, Intellectual Property and Other Provisions</w:t>
      </w:r>
    </w:p>
    <w:p>
      <w:r>
        <w:t>All reports, drawings and other deliverables are the property of the Foundation on payment for them, and may not be published or reused without the Foundation's prior written consent. The Consultant may not assign the contract or subcontract any part of the services exceeding twenty percent (20%) of the contract value without the Foundation's prior written consent. Key personnel may not be substituted without approval (Section 4.4). The contract incorporates the Foundation's anti-corruption and safeguarding clauses, and compliance with Section 10 of this RFP is a condition of contract.</w:t>
      </w:r>
    </w:p>
    <w:p>
      <w:pPr>
        <w:pStyle w:val="Heading2"/>
      </w:pPr>
      <w:r>
        <w:t>8. Bid Validity and Bid Security</w:t>
      </w:r>
    </w:p>
    <w:p>
      <w:r>
        <w:t>Bids shall remain valid for 120 days from the submission deadline. The Foundation may request an extension of validity, in which case bidders may agree or refuse without forfeiting their bid security; bidders agreeing to an extension shall extend the validity of their bid security accordingly.</w:t>
      </w:r>
    </w:p>
    <w:p>
      <w:r>
        <w:t>Bids must be accompanied by a bid security of USD 5,000 (five thousand United States Dollars) in the form of an unconditional, on-demand bank guarantee issued by a bank licensed in the Republic of Velmara or by an internationally recognised bank. The bid security must be valid through 24 April 2027 (that is, 28 days beyond the bid validity period). In the case of a joint venture, the bid security must be in the name of the joint venture as described in the proposal.</w:t>
      </w:r>
    </w:p>
    <w:p>
      <w:r>
        <w:t>The bid security will be forfeited if the bidder withdraws its bid during the validity period, materially modifies its proposal after submission, refuses to accept a correction of an arithmetic error, or, having been notified of award, fails to sign the contract. Bid securities of unsuccessful bidders will be returned within thirty (30) days of the conclusion of the award process. The bid security of the successful bidder will be released upon contract signature and provision of the advance payment guarantee.</w:t>
      </w:r>
    </w:p>
    <w:p>
      <w:pPr>
        <w:pStyle w:val="Heading2"/>
      </w:pPr>
      <w:r>
        <w:t>9. Instructions to Bidders</w:t>
      </w:r>
    </w:p>
    <w:p>
      <w:pPr>
        <w:pStyle w:val="Heading3"/>
      </w:pPr>
      <w:r>
        <w:t>9.1 Format</w:t>
      </w:r>
    </w:p>
    <w:p>
      <w:r>
        <w:t>Proposals shall be in English, on A4 paper if submitted in hard copy, in a font of not less than 11 points, with pages numbered. The technical proposal shall not exceed 40 pages, excluding CVs, certificates and completed forms. Promotional brochures and other unrequested material will be disregarded. The technical proposal and the financial proposal must be prepared as two separate files, clearly labelled "TECHNICAL" and "FINANCIAL" respectively; the technical proposal must not contain any price information.</w:t>
      </w:r>
    </w:p>
    <w:p>
      <w:pPr>
        <w:pStyle w:val="Heading3"/>
      </w:pPr>
      <w:r>
        <w:t>9.2 Submission</w:t>
      </w:r>
    </w:p>
    <w:p>
      <w:r>
        <w:t>Proposals shall be submitted by email to procurement.velmara@aldermere.example, with the subject line "RFP-2026/117 — [Name of bidder] — TECHNICAL" or "RFP-2026/117 — [Name of bidder] — FINANCIAL". Total attachment size shall not exceed 15 MB; larger submissions may be sent as a file-transfer link in the body of the email. Alternatively, proposals may be delivered in hard copy (one clearly marked original and two copies, with the technical and financial proposals in separate sealed envelopes marked with the solicitation number and the words "DO NOT OPEN BEFORE 27 NOVEMBER 2026") to the issuing office at Plot 214, Jakaya Avenue, Mtara, before the deadline. Each proposal shall be accompanied by a short transmittal letter, signed by the bidder's authorised representative, confirming the total number of files or volumes submitted.</w:t>
      </w:r>
    </w:p>
    <w:p>
      <w:pPr>
        <w:pStyle w:val="Heading3"/>
      </w:pPr>
      <w:r>
        <w:t>9.3 Late, Modified and Withdrawn Proposals</w:t>
      </w:r>
    </w:p>
    <w:p>
      <w:r>
        <w:t>The Foundation will not consider any proposal received after the deadline under Section 9.2, regardless of cause. Bidders may modify or withdraw their proposal by written notice received before the deadline. A bidder may not withdraw during the bid validity period (Section 8).</w:t>
      </w:r>
    </w:p>
    <w:p>
      <w:pPr>
        <w:pStyle w:val="Heading3"/>
      </w:pPr>
      <w:r>
        <w:t>9.4 Clarifications and Addenda</w:t>
      </w:r>
    </w:p>
    <w:p>
      <w:r>
        <w:t>Written questions may be sent to the contact address in Section 11 until 13 November 2026, 17:00 hrs (Mtara time). Answers to all questions will be circulated to all parties that received this RFP by 20 November 2026, without identifying the source of any question. Where necessary, the Foundation will issue formal addenda, which form part of this RFP; statements made outside formal addenda are not binding. The RFP and any addenda are also posted on the Foundation's website, www.aldermere.example/procurement.</w:t>
      </w:r>
    </w:p>
    <w:p>
      <w:pPr>
        <w:pStyle w:val="Heading3"/>
      </w:pPr>
      <w:r>
        <w:t>9.5 Pre-Proposal Site Visit</w:t>
      </w:r>
    </w:p>
    <w:p>
      <w:r>
        <w:t>An optional site visit will be held on 30 October 2026 at 09:00 hrs, commencing at the main gate of Bunyika Primary School (Rutema District), followed by a visit to Kalenga Primary School in the afternoon. Bidders attending shall provide their own transport and attend at their own cost; attendance is optional but strongly recommended. Bidders intending to attend shall confirm by email to the contact in Section 11 by 27 October 2026.</w:t>
      </w:r>
    </w:p>
    <w:p>
      <w:pPr>
        <w:pStyle w:val="Heading3"/>
      </w:pPr>
      <w:r>
        <w:t>9.6 General</w:t>
      </w:r>
    </w:p>
    <w:p>
      <w:r>
        <w:t>All costs of preparing and submitting a proposal are the bidder's own. This RFP does not constitute an offer. The draft contract, comprising the General Conditions for Consulting Services (2024 edition), is available on request from the contact in Section 11.</w:t>
      </w:r>
    </w:p>
    <w:p>
      <w:pPr>
        <w:pStyle w:val="Heading2"/>
      </w:pPr>
      <w:r>
        <w:t>10. Code of Conduct and Ethical Requirements</w:t>
      </w:r>
    </w:p>
    <w:p>
      <w:pPr>
        <w:pStyle w:val="Heading3"/>
      </w:pPr>
      <w:r>
        <w:t>10.1 Standards</w:t>
      </w:r>
    </w:p>
    <w:p>
      <w:r>
        <w:t>The Foundation applies a zero-tolerance policy towards bribery, corruption, fraud, coercion, collusion, obstruction and money laundering (together, "Prohibited Practices"). Bidders and their personnel, subcontractors and agents shall not, at any stage of the process or the contract, offer, promise, give, request or accept any undue advantage to or from any person or entity in connection with this procurement.</w:t>
      </w:r>
    </w:p>
    <w:p>
      <w:pPr>
        <w:pStyle w:val="Heading3"/>
      </w:pPr>
      <w:r>
        <w:t>10.2 Child Safeguarding and PSEA</w:t>
      </w:r>
    </w:p>
    <w:p>
      <w:r>
        <w:t>Because the assignment involves works on operating school premises, bidders and their site-based personnel shall comply with the Foundation's Child Safeguarding Policy and its provisions on protection from sexual exploitation, abuse and harassment (PSEA). All site-based personnel shall undergo background vetting prior to deployment. Site staff may not be alone and out of sight of school staff with learners, and must follow the school's access rules at all times. Bidders shall confirm in their technical proposal that they have read and will comply with these policies, or describe their own equivalent policies for the Foundation's review.</w:t>
      </w:r>
    </w:p>
    <w:p>
      <w:pPr>
        <w:pStyle w:val="Heading3"/>
      </w:pPr>
      <w:r>
        <w:t>10.3 Gifts and Hospitality</w:t>
      </w:r>
    </w:p>
    <w:p>
      <w:r>
        <w:t>Bidders and their personnel shall not offer Foundation or MoBE staff any gift, hospitality or other benefit in connection with this procurement, other than items of nominal value not exceeding USD 25; cash or cash equivalents may never be offered.</w:t>
      </w:r>
    </w:p>
    <w:p>
      <w:pPr>
        <w:pStyle w:val="Heading3"/>
      </w:pPr>
      <w:r>
        <w:t>10.4 Conflicts of Interest</w:t>
      </w:r>
    </w:p>
    <w:p>
      <w:r>
        <w:t>Bidders shall disclose all actual and potential conflicts of interest in Annex B. The duty of disclosure is continuing: any conflict that arises or becomes apparent after submission shall be notified to the Foundation in writing within five (5) working days. Bidders shall not engage in any practice that gives them or any other bidder an unfair advantage, including communicating with evaluation panel members or with Foundation programme staff about this RFP outside the channel in Section 11. Any such contact may result in disqualification.</w:t>
      </w:r>
    </w:p>
    <w:p>
      <w:pPr>
        <w:pStyle w:val="Heading3"/>
      </w:pPr>
      <w:r>
        <w:t>10.5 Sanctions</w:t>
      </w:r>
    </w:p>
    <w:p>
      <w:r>
        <w:t>Bidders shall not be owned or controlled by, nor affiliated with, any individual or entity subject to comprehensive international sanctions, and shall not be debarred by the Foundation or by any multilateral development institution.</w:t>
      </w:r>
    </w:p>
    <w:p>
      <w:pPr>
        <w:pStyle w:val="Heading3"/>
      </w:pPr>
      <w:r>
        <w:t>10.6 Consequences of Violations</w:t>
      </w:r>
    </w:p>
    <w:p>
      <w:r>
        <w:t>Failure to comply with this Section 10 is a material breach. Consequences may include rejection of the proposal, disqualification from this and future Foundation procurements for up to five (5) years, termination of contract, recovery of payments made, and referral to the competent authorities. Suspected Prohibited Practices may be reported confidentially to integrity@aldermere.example or +259 20 447 1999.</w:t>
      </w:r>
    </w:p>
    <w:p>
      <w:pPr>
        <w:pStyle w:val="Heading2"/>
      </w:pPr>
      <w:r>
        <w:t>11. Contact for Clarifications</w:t>
      </w:r>
    </w:p>
    <w:p>
      <w:r>
        <w:t>All communications concerning this RFP shall be in writing and addressed to:</w:t>
      </w:r>
    </w:p>
    <w:p>
      <w:r>
        <w:t>Ms. Farida Nyembo, Procurement Officer</w:t>
      </w:r>
    </w:p>
    <w:p>
      <w:r>
        <w:t>Aldermere Development Foundation, Velmara Country Office</w:t>
      </w:r>
    </w:p>
    <w:p>
      <w:r>
        <w:t>Plot 214, Jakaya Avenue, P.O. Box 4471, Mtara, Republic of Velmara</w:t>
      </w:r>
    </w:p>
    <w:p>
      <w:r>
        <w:t>Email: procurement.velmara@aldermere.example</w:t>
      </w:r>
    </w:p>
    <w:p>
      <w:r>
        <w:t>Telephone: +259 20 447 1900 (Monday to Friday, 08:00–16:30 hrs)</w:t>
      </w:r>
    </w:p>
    <w:p>
      <w:r>
        <w:t>Please quote the solicitation number ADF/VLM/RFP-2026/117 in all correspondence. Only written queries will receive responses of record. Telephone enquiries may be made for logistical purposes but will not be treated as formal clarifications.</w:t>
      </w:r>
    </w:p>
    <w:p>
      <w:pPr>
        <w:pStyle w:val="Heading2"/>
      </w:pPr>
      <w:r>
        <w:t>Annex A — Bidder's Declaration Form</w:t>
      </w:r>
    </w:p>
    <w:p>
      <w:r>
        <w:rPr>
          <w:b/>
        </w:rPr>
        <w:t>Solicitation No. ADF/VLM/RFP-2026/117 — Rehabilitation of Two Primary Schools — Detailed Design and Supervision Services</w:t>
      </w:r>
    </w:p>
    <w:p>
      <w:r>
        <w:t>To be completed on the bidder's letterhead, signed by the authorised representative, and submitted with the proposal.</w:t>
      </w:r>
    </w:p>
    <w:p>
      <w:r>
        <w:rPr>
          <w:b/>
        </w:rPr>
        <w:t>Name of bidder (and joint venture name, if applicable):</w:t>
      </w:r>
      <w:r>
        <w:t xml:space="preserve"> ______________________________________</w:t>
      </w:r>
    </w:p>
    <w:p>
      <w:r>
        <w:rPr>
          <w:b/>
        </w:rPr>
        <w:t>Registration / incorporation number:</w:t>
      </w:r>
      <w:r>
        <w:t xml:space="preserve"> ______________________________________</w:t>
      </w:r>
    </w:p>
    <w:p>
      <w:r>
        <w:rPr>
          <w:b/>
        </w:rPr>
        <w:t>Registered address:</w:t>
      </w:r>
      <w:r>
        <w:t xml:space="preserve"> ______________________________________</w:t>
      </w:r>
    </w:p>
    <w:p>
      <w:r>
        <w:rPr>
          <w:b/>
        </w:rPr>
        <w:t>Name and title of authorised representative:</w:t>
      </w:r>
      <w:r>
        <w:t xml:space="preserve"> ______________________________________</w:t>
      </w:r>
    </w:p>
    <w:p>
      <w:r>
        <w:t>The undersigned, being duly authorised to represent the bidder, declares that:</w:t>
      </w:r>
    </w:p>
    <w:p>
      <w:r>
        <w:t>1. The bidder has examined and accepts in full the instructions, terms and requirements of the above solicitation, including any addenda issued.</w:t>
      </w:r>
    </w:p>
    <w:p>
      <w:r>
        <w:t>2. All information provided in this proposal is true, complete and accurate, and the bidder understands that any false or misleading information may result in disqualification or termination of any resulting contract.</w:t>
      </w:r>
    </w:p>
    <w:p>
      <w:r>
        <w:t>3. The proposal will remain valid for the validity period stated in the solicitation.</w:t>
      </w:r>
    </w:p>
    <w:p>
      <w:r>
        <w:t>4. The bidder has not engaged, and will not engage, in any Prohibited Practice as defined in Section 10 of the solicitation, and has not colluded or otherwise arranged its bid with any other bidder.</w:t>
      </w:r>
    </w:p>
    <w:p>
      <w:r>
        <w:t>5. The bidder's conflicts of interest, if any, are fully disclosed in Annex B, and it accepts the continuing duty of disclosure.</w:t>
      </w:r>
    </w:p>
    <w:p>
      <w:r>
        <w:t>6. The bidder is not insolvent, in receivership or in bankruptcy; is not debarred by the Aldermere Development Foundation or by any multilateral development institution; and is not owned or controlled by any person or entity subject to comprehensive international sanctions.</w:t>
      </w:r>
    </w:p>
    <w:p>
      <w:r>
        <w:t>7. The bidder did not author the 2025 Velmara Schools Rehabilitation Project feasibility study or the Foundation's Environmental and Social Management Framework for the education portfolio.</w:t>
      </w:r>
    </w:p>
    <w:p>
      <w:r>
        <w:t>8. The bidder will comply with the Foundation's Child Safeguarding Policy and PSEA provisions for all site-based personnel, and accepts that all such personnel will undergo background vetting prior to deployment.</w:t>
      </w:r>
    </w:p>
    <w:p>
      <w:r>
        <w:t>9. If notified of award, the bidder will sign the contract and provide the advance payment guarantee and any required evidence of cover within the timeframes set out in the solicitation.</w:t>
      </w:r>
    </w:p>
    <w:p>
      <w:r>
        <w:t>10. The bidder accepts that the Foundation is not bound to accept the lowest-priced or any proposal, and may cancel this process at any time prior to award.</w:t>
      </w:r>
    </w:p>
    <w:p>
      <w:r>
        <w:t>11. The bid security accompanying this proposal is genuine, unconditional and valid for the period required by the solicitation.</w:t>
      </w:r>
    </w:p>
    <w:p>
      <w:r>
        <w:rPr>
          <w:b/>
        </w:rPr>
        <w:t>Signature:</w:t>
      </w:r>
      <w:r>
        <w:t xml:space="preserve"> ______________________ </w:t>
      </w:r>
      <w:r>
        <w:rPr>
          <w:b/>
        </w:rPr>
        <w:t>Date:</w:t>
      </w:r>
      <w:r>
        <w:t xml:space="preserve"> ______________________</w:t>
      </w:r>
    </w:p>
    <w:p>
      <w:r>
        <w:rPr>
          <w:b/>
        </w:rPr>
        <w:t>Name in full:</w:t>
      </w:r>
      <w:r>
        <w:t xml:space="preserve"> ______________________ </w:t>
      </w:r>
      <w:r>
        <w:rPr>
          <w:b/>
        </w:rPr>
        <w:t>Position:</w:t>
      </w:r>
      <w:r>
        <w:t xml:space="preserve"> ______________________</w:t>
      </w:r>
    </w:p>
    <w:p>
      <w:r>
        <w:rPr>
          <w:b/>
        </w:rPr>
        <w:t>Place:</w:t>
      </w:r>
      <w:r>
        <w:t xml:space="preserve"> ______________________ </w:t>
      </w:r>
      <w:r>
        <w:rPr>
          <w:b/>
        </w:rPr>
        <w:t>Company seal (if applicable):</w:t>
      </w:r>
      <w:r>
        <w:t xml:space="preserve"> ______________________</w:t>
      </w:r>
    </w:p>
    <w:p>
      <w:pPr>
        <w:pStyle w:val="Heading2"/>
      </w:pPr>
      <w:r>
        <w:t>Annex B — Conflict of Interest Disclosure Form</w:t>
      </w:r>
    </w:p>
    <w:p>
      <w:r>
        <w:rPr>
          <w:b/>
        </w:rPr>
        <w:t>Solicitation No. ADF/VLM/RFP-2026/117 — Rehabilitation of Two Primary Schools — Detailed Design and Supervision Services</w:t>
      </w:r>
    </w:p>
    <w:p>
      <w:r>
        <w:t>This form must be completed and signed by the authorised representative of the bidder and submitted with the proposal. The duty of disclosure is continuing: any interest arising or becoming apparent after submission must be notified to the Foundation in writing within five (5) working days.</w:t>
      </w:r>
    </w:p>
    <w:p>
      <w:r>
        <w:t>For the purposes of this form, a conflict of interest includes, without limitation: any ownership, partnership, directorship or employment relationship between the bidder (or any of its owners, directors or key personnel) and the Aldermere Development Foundation, the Ministry of Basic Education, the Bunyika or Kalenga school management committees, or any other bidder for this solicitation; any contract or consultancy held with the Foundation within the last three (3) years; any close family relationship between the bidder's owners, directors or key personnel and staff of the Foundation, MoBE or either school; and any financial or other interest that could be seen to compromise, or to give an appearance of compromising, impartial performance under this solicitation.</w:t>
      </w:r>
    </w:p>
    <w:p>
      <w:r>
        <w:t>List all actual and potential conflicts of interest. Use additional pages if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Name of person / entity concerned</w:t>
            </w:r>
          </w:p>
        </w:tc>
        <w:tc>
          <w:tcPr>
            <w:tcW w:type="dxa" w:w="1728"/>
          </w:tcPr>
          <w:p>
            <w:r>
              <w:rPr>
                <w:b/>
              </w:rPr>
              <w:t>Nature of relationship to the bidder</w:t>
            </w:r>
          </w:p>
        </w:tc>
        <w:tc>
          <w:tcPr>
            <w:tcW w:type="dxa" w:w="1728"/>
          </w:tcPr>
          <w:p>
            <w:r>
              <w:rPr>
                <w:b/>
              </w:rPr>
              <w:t>Nature of the interest (and value, if quantifiable)</w:t>
            </w:r>
          </w:p>
        </w:tc>
        <w:tc>
          <w:tcPr>
            <w:tcW w:type="dxa" w:w="1728"/>
          </w:tcPr>
          <w:p>
            <w:r>
              <w:rPr>
                <w:b/>
              </w:rPr>
              <w:t>Mitigation proposed, if any</w:t>
            </w:r>
          </w:p>
        </w:tc>
      </w:tr>
      <w:tr>
        <w:tc>
          <w:tcPr>
            <w:tcW w:type="dxa" w:w="1728"/>
          </w:tcPr>
          <w:p>
            <w:r>
              <w:t>1</w:t>
            </w:r>
          </w:p>
        </w:tc>
        <w:tc>
          <w:tcPr>
            <w:tcW w:type="dxa" w:w="1728"/>
          </w:tcPr>
          <w:p/>
        </w:tc>
        <w:tc>
          <w:tcPr>
            <w:tcW w:type="dxa" w:w="1728"/>
          </w:tcPr>
          <w:p/>
        </w:tc>
        <w:tc>
          <w:tcPr>
            <w:tcW w:type="dxa" w:w="1728"/>
          </w:tcPr>
          <w:p/>
        </w:tc>
        <w:tc>
          <w:tcPr>
            <w:tcW w:type="dxa" w:w="1728"/>
          </w:tcPr>
          <w:p/>
        </w:tc>
      </w:tr>
      <w:tr>
        <w:tc>
          <w:tcPr>
            <w:tcW w:type="dxa" w:w="1728"/>
          </w:tcPr>
          <w:p>
            <w:r>
              <w:t>2</w:t>
            </w:r>
          </w:p>
        </w:tc>
        <w:tc>
          <w:tcPr>
            <w:tcW w:type="dxa" w:w="1728"/>
          </w:tcPr>
          <w:p/>
        </w:tc>
        <w:tc>
          <w:tcPr>
            <w:tcW w:type="dxa" w:w="1728"/>
          </w:tcPr>
          <w:p/>
        </w:tc>
        <w:tc>
          <w:tcPr>
            <w:tcW w:type="dxa" w:w="1728"/>
          </w:tcPr>
          <w:p/>
        </w:tc>
        <w:tc>
          <w:tcPr>
            <w:tcW w:type="dxa" w:w="1728"/>
          </w:tcPr>
          <w:p/>
        </w:tc>
      </w:tr>
      <w:tr>
        <w:tc>
          <w:tcPr>
            <w:tcW w:type="dxa" w:w="1728"/>
          </w:tcPr>
          <w:p>
            <w:r>
              <w:t>3</w:t>
            </w:r>
          </w:p>
        </w:tc>
        <w:tc>
          <w:tcPr>
            <w:tcW w:type="dxa" w:w="1728"/>
          </w:tcPr>
          <w:p/>
        </w:tc>
        <w:tc>
          <w:tcPr>
            <w:tcW w:type="dxa" w:w="1728"/>
          </w:tcPr>
          <w:p/>
        </w:tc>
        <w:tc>
          <w:tcPr>
            <w:tcW w:type="dxa" w:w="1728"/>
          </w:tcPr>
          <w:p/>
        </w:tc>
        <w:tc>
          <w:tcPr>
            <w:tcW w:type="dxa" w:w="1728"/>
          </w:tcPr>
          <w:p/>
        </w:tc>
      </w:tr>
    </w:tbl>
    <w:p>
      <w:r>
        <w:t>I declare that the information above is complete and accurate as at the date of signature, that I will supplement this disclosure within five (5) working days of any change, and that I understand that an undisclosed conflict of interest may result in disqualification or termination of contract.</w:t>
      </w:r>
    </w:p>
    <w:p>
      <w:r>
        <w:rPr>
          <w:b/>
        </w:rPr>
        <w:t>Name of bidder:</w:t>
      </w:r>
      <w:r>
        <w:t xml:space="preserve"> ______________________________________</w:t>
      </w:r>
    </w:p>
    <w:p>
      <w:r>
        <w:rPr>
          <w:b/>
        </w:rPr>
        <w:t>Signature of authorised representative:</w:t>
      </w:r>
      <w:r>
        <w:t xml:space="preserve"> ______________________ </w:t>
      </w:r>
      <w:r>
        <w:rPr>
          <w:b/>
        </w:rPr>
        <w:t>Date:</w:t>
      </w:r>
      <w:r>
        <w:t xml:space="preserve"> ______________________</w:t>
      </w:r>
    </w:p>
    <w:p>
      <w:r>
        <w:rPr>
          <w:b/>
        </w:rPr>
        <w:t>Name in full and position:</w:t>
      </w:r>
      <w:r>
        <w:t xml:space="preserve"> ______________________________________</w:t>
      </w:r>
    </w:p>
    <w:p>
      <w:pPr>
        <w:pStyle w:val="Heading2"/>
      </w:pPr>
      <w:r>
        <w:t>Annex C — Financial Proposal Form</w:t>
      </w:r>
    </w:p>
    <w:p>
      <w:r>
        <w:rPr>
          <w:b/>
        </w:rPr>
        <w:t>Solicitation No. ADF/VLM/RFP-2026/117 — Rehabilitation of Two Primary Schools — Detailed Design and Supervision Services</w:t>
      </w:r>
    </w:p>
    <w:p>
      <w:r>
        <w:t>Bidders shall use this form for the financial proposal. Prices shall be quoted in United States Dollars (USD) and shall be firm for the duration of the contract. See Section 6.4 regarding taxes. Reimbursable costs (travel, accommodation and site allowances) shall either be included in the lump sums below or itemised separately in the space provided.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Description</w:t>
            </w:r>
          </w:p>
        </w:tc>
        <w:tc>
          <w:tcPr>
            <w:tcW w:type="dxa" w:w="2880"/>
          </w:tcPr>
          <w:p>
            <w:r>
              <w:rPr>
                <w:b/>
              </w:rPr>
              <w:t>Amount (USD)</w:t>
            </w:r>
          </w:p>
        </w:tc>
      </w:tr>
      <w:tr>
        <w:tc>
          <w:tcPr>
            <w:tcW w:type="dxa" w:w="2880"/>
          </w:tcPr>
          <w:p>
            <w:r>
              <w:t>A</w:t>
            </w:r>
          </w:p>
        </w:tc>
        <w:tc>
          <w:tcPr>
            <w:tcW w:type="dxa" w:w="2880"/>
          </w:tcPr>
          <w:p>
            <w:r>
              <w:t>Detailed design services, deliverables D1–D4 (lump sum)</w:t>
            </w:r>
          </w:p>
        </w:tc>
        <w:tc>
          <w:tcPr>
            <w:tcW w:type="dxa" w:w="2880"/>
          </w:tcPr>
          <w:p/>
        </w:tc>
      </w:tr>
      <w:tr>
        <w:tc>
          <w:tcPr>
            <w:tcW w:type="dxa" w:w="2880"/>
          </w:tcPr>
          <w:p>
            <w:r>
              <w:t>B</w:t>
            </w:r>
          </w:p>
        </w:tc>
        <w:tc>
          <w:tcPr>
            <w:tcW w:type="dxa" w:w="2880"/>
          </w:tcPr>
          <w:p>
            <w:r>
              <w:t>Support to the works tender (lump sum)</w:t>
            </w:r>
          </w:p>
        </w:tc>
        <w:tc>
          <w:tcPr>
            <w:tcW w:type="dxa" w:w="2880"/>
          </w:tcPr>
          <w:p/>
        </w:tc>
      </w:tr>
      <w:tr>
        <w:tc>
          <w:tcPr>
            <w:tcW w:type="dxa" w:w="2880"/>
          </w:tcPr>
          <w:p>
            <w:r>
              <w:t>C</w:t>
            </w:r>
          </w:p>
        </w:tc>
        <w:tc>
          <w:tcPr>
            <w:tcW w:type="dxa" w:w="2880"/>
          </w:tcPr>
          <w:p>
            <w:r>
              <w:t>Construction supervision services, deliverables D5–D8 (lump sum)</w:t>
            </w:r>
          </w:p>
        </w:tc>
        <w:tc>
          <w:tcPr>
            <w:tcW w:type="dxa" w:w="2880"/>
          </w:tcPr>
          <w:p/>
        </w:tc>
      </w:tr>
      <w:tr>
        <w:tc>
          <w:tcPr>
            <w:tcW w:type="dxa" w:w="2880"/>
          </w:tcPr>
          <w:p>
            <w:r>
              <w:t>D</w:t>
            </w:r>
          </w:p>
        </w:tc>
        <w:tc>
          <w:tcPr>
            <w:tcW w:type="dxa" w:w="2880"/>
          </w:tcPr>
          <w:p>
            <w:r>
              <w:t>Reimbursables, if itemised</w:t>
            </w:r>
          </w:p>
        </w:tc>
        <w:tc>
          <w:tcPr>
            <w:tcW w:type="dxa" w:w="2880"/>
          </w:tcPr>
          <w:p/>
        </w:tc>
      </w:tr>
      <w:tr>
        <w:tc>
          <w:tcPr>
            <w:tcW w:type="dxa" w:w="2880"/>
          </w:tcPr>
          <w:p/>
        </w:tc>
        <w:tc>
          <w:tcPr>
            <w:tcW w:type="dxa" w:w="2880"/>
          </w:tcPr>
          <w:p>
            <w:r>
              <w:rPr>
                <w:b/>
              </w:rPr>
              <w:t>Total financial proposal (A + B + C + D)</w:t>
            </w:r>
          </w:p>
        </w:tc>
        <w:tc>
          <w:tcPr>
            <w:tcW w:type="dxa" w:w="2880"/>
          </w:tcPr>
          <w:p/>
        </w:tc>
      </w:tr>
    </w:tbl>
    <w:p>
      <w:r>
        <w:rPr>
          <w:b/>
        </w:rPr>
        <w:t>Total amount in words:</w:t>
      </w:r>
      <w:r>
        <w:t xml:space="preserve"> ______________________________________</w:t>
      </w:r>
    </w:p>
    <w:p>
      <w:r>
        <w:rPr>
          <w:b/>
        </w:rPr>
        <w:t>Name of bidder:</w:t>
      </w:r>
      <w:r>
        <w:t xml:space="preserve"> ______________________________________</w:t>
      </w:r>
    </w:p>
    <w:p>
      <w:r>
        <w:rPr>
          <w:b/>
        </w:rPr>
        <w:t>Signature of authorised representative:</w:t>
      </w:r>
      <w:r>
        <w:t xml:space="preserve"> ______________________ </w:t>
      </w:r>
      <w:r>
        <w:rPr>
          <w:b/>
        </w:rPr>
        <w:t>Date:</w:t>
      </w:r>
      <w:r>
        <w:t xml:space="preserve"> ______________________</w:t>
      </w:r>
    </w:p>
    <w:p>
      <w:r>
        <w:rPr>
          <w:b/>
        </w:rPr>
        <w:t>Bank details for payment:</w:t>
      </w:r>
      <w:r>
        <w:t xml:space="preserve"> 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cgate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Proposals — invented, for testing</dc:title>
  <dc:subject/>
  <dc:creator>cgate</dc:creator>
  <cp:keywords/>
  <dc:description>Synthetic document generated by examples/make_sample.py</dc:description>
  <cp:lastModifiedBy>cgate</cp:lastModifiedBy>
  <cp:revision>1</cp:revision>
  <dcterms:created xsi:type="dcterms:W3CDTF">2026-01-01T00:00:00Z</dcterms:created>
  <dcterms:modified xsi:type="dcterms:W3CDTF">2026-01-01T00:00:00Z</dcterms:modified>
  <cp:category/>
  <cp:lastPrinted>2026-01-01T00:00:00Z</cp:lastPrinted>
</cp:coreProperties>
</file>