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Proposal</w:t>
      </w:r>
    </w:p>
    <w:p>
      <w:r>
        <w:t>Example Engineering Ltd — Response to Solicitation No. ADF/VLM/RFP-2026/117, Rehabilitation of Two Primary Schools — Detailed Design and Supervision Services</w:t>
      </w:r>
    </w:p>
    <w:p>
      <w:r>
        <w:t>Submitted by Example Engineering Ltd, 1 Sample Street, Exampleton. Contact: bids@example-engineering.example, +000 000 0000.</w:t>
      </w:r>
    </w:p>
    <w:p>
      <w:pPr>
        <w:pStyle w:val="Heading2"/>
      </w:pPr>
      <w:r>
        <w:t>1. Understanding of the assignment</w:t>
      </w:r>
    </w:p>
    <w:p>
      <w:r>
        <w:t>Example Engineering Ltd understands that the Aldermere Development Foundation requires detailed design and construction supervision for the rehabilitation of Bunyika Primary School and Kalenga Primary School, both of which must remain in operation while the works proceed. Our approach keeps every classroom block in use through a phased programme agreed with each school management committee before work starts.</w:t>
      </w:r>
    </w:p>
    <w:p>
      <w:r>
        <w:t>We are the leading design and supervision firm for school buildings in the region, with over 60 completed school projects and an ISO quality management system.</w:t>
      </w:r>
    </w:p>
    <w:p>
      <w:pPr>
        <w:pStyle w:val="Heading2"/>
      </w:pPr>
      <w:r>
        <w:t>2. Methodology</w:t>
      </w:r>
    </w:p>
    <w:p>
      <w:r>
        <w:t>Design services. We will carry out the condition survey, topographic survey and geotechnical investigation at both sites, prepare the structural assessment of the settlement-affected classrooms at Kalenga, develop design options for consultation, and deliver the detailed designs, bills of quantities, cost estimate and works tender documents in PDF and editable native formats.</w:t>
      </w:r>
    </w:p>
    <w:p>
      <w:r>
        <w:t>Supervision services. A clerk of works will be present full time at each school during the works. We will review contractor submittals within ten working days, chair monthly site meetings, issue minutes within five working days, certify interim and final payments, and supervise the six-month defects liability period through to final inspection and handover.</w:t>
      </w:r>
    </w:p>
    <w:p>
      <w:r>
        <w:t>Child safeguarding. All site-based personnel will be vetted before deployment and will follow the school access rules at all times. We confirm that we have read and will comply with the Foundation's Child Safeguarding Policy and its PSEA provisions.</w:t>
      </w:r>
    </w:p>
    <w:p>
      <w:pPr>
        <w:pStyle w:val="Heading2"/>
      </w:pPr>
      <w:r>
        <w:t>3. Work plan and deliverables</w:t>
      </w:r>
    </w:p>
    <w:p>
      <w:r>
        <w:t>We will submit the inception report in week 4, the condition assessment and survey report in week 10, the draft design package in week 16, and the final design package with tender documents in week 22, followed by monthly supervision progress reports, the practical completion report and the final completion report with as-built documentation and operation and maintenance manuals.</w:t>
      </w:r>
    </w:p>
    <w:p>
      <w:r>
        <w:t>To demonstrate our commitment, we guarantee zero delays against this programme and will provide unlimited design revisions at no additional cost throughout the assignment.</w:t>
      </w:r>
    </w:p>
    <w:p>
      <w:pPr>
        <w:pStyle w:val="Heading2"/>
      </w:pPr>
      <w:r>
        <w:t>4. Subcontracting</w:t>
      </w:r>
    </w:p>
    <w:p>
      <w:r>
        <w:t>Topographic and geotechnical fieldwork will be carried out in association with Harbourline Surveys Ltd, who will work under our direction and for whom we remain fully responsible.</w:t>
      </w:r>
    </w:p>
    <w:p>
      <w:pPr>
        <w:pStyle w:val="Heading2"/>
      </w:pPr>
      <w:r>
        <w:t>5. Key personnel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Position</w:t>
            </w:r>
          </w:p>
        </w:tc>
        <w:tc>
          <w:tcPr>
            <w:tcW w:type="dxa" w:w="2880"/>
          </w:tcPr>
          <w:p>
            <w:r>
              <w:rPr>
                <w:b/>
              </w:rPr>
              <w:t>Name</w:t>
            </w:r>
          </w:p>
        </w:tc>
        <w:tc>
          <w:tcPr>
            <w:tcW w:type="dxa" w:w="2880"/>
          </w:tcPr>
          <w:p>
            <w:r>
              <w:rPr>
                <w:b/>
              </w:rPr>
              <w:t>Experience</w:t>
            </w:r>
          </w:p>
        </w:tc>
      </w:tr>
      <w:tr>
        <w:tc>
          <w:tcPr>
            <w:tcW w:type="dxa" w:w="2880"/>
          </w:tcPr>
          <w:p>
            <w:r>
              <w:t>Team Leader / Senior Architect</w:t>
            </w:r>
          </w:p>
        </w:tc>
        <w:tc>
          <w:tcPr>
            <w:tcW w:type="dxa" w:w="2880"/>
          </w:tcPr>
          <w:p>
            <w:r>
              <w:t>Ana Ferreira</w:t>
            </w:r>
          </w:p>
        </w:tc>
        <w:tc>
          <w:tcPr>
            <w:tcW w:type="dxa" w:w="2880"/>
          </w:tcPr>
          <w:p>
            <w:r>
              <w:t>17 years, 9 in public buildings</w:t>
            </w:r>
          </w:p>
        </w:tc>
      </w:tr>
      <w:tr>
        <w:tc>
          <w:tcPr>
            <w:tcW w:type="dxa" w:w="2880"/>
          </w:tcPr>
          <w:p>
            <w:r>
              <w:t>Structural Engineer</w:t>
            </w:r>
          </w:p>
        </w:tc>
        <w:tc>
          <w:tcPr>
            <w:tcW w:type="dxa" w:w="2880"/>
          </w:tcPr>
          <w:p>
            <w:r>
              <w:t>Tomas Brandt</w:t>
            </w:r>
          </w:p>
        </w:tc>
        <w:tc>
          <w:tcPr>
            <w:tcW w:type="dxa" w:w="2880"/>
          </w:tcPr>
          <w:p>
            <w:r>
              <w:t>13 years, masonry and concrete assessment</w:t>
            </w:r>
          </w:p>
        </w:tc>
      </w:tr>
      <w:tr>
        <w:tc>
          <w:tcPr>
            <w:tcW w:type="dxa" w:w="2880"/>
          </w:tcPr>
          <w:p>
            <w:r>
              <w:t>WASH Engineer</w:t>
            </w:r>
          </w:p>
        </w:tc>
        <w:tc>
          <w:tcPr>
            <w:tcW w:type="dxa" w:w="2880"/>
          </w:tcPr>
          <w:p>
            <w:r>
              <w:t>Priya Nandakumar</w:t>
            </w:r>
          </w:p>
        </w:tc>
        <w:tc>
          <w:tcPr>
            <w:tcW w:type="dxa" w:w="2880"/>
          </w:tcPr>
          <w:p>
            <w:r>
              <w:t>9 years, institutional water and sanitation</w:t>
            </w:r>
          </w:p>
        </w:tc>
      </w:tr>
      <w:tr>
        <w:tc>
          <w:tcPr>
            <w:tcW w:type="dxa" w:w="2880"/>
          </w:tcPr>
          <w:p>
            <w:r>
              <w:t>Quantity Surveyor</w:t>
            </w:r>
          </w:p>
        </w:tc>
        <w:tc>
          <w:tcPr>
            <w:tcW w:type="dxa" w:w="2880"/>
          </w:tcPr>
          <w:p>
            <w:r>
              <w:t>Oskar Lindqvist</w:t>
            </w:r>
          </w:p>
        </w:tc>
        <w:tc>
          <w:tcPr>
            <w:tcW w:type="dxa" w:w="2880"/>
          </w:tcPr>
          <w:p>
            <w:r>
              <w:t>11 years, bills of quantities</w:t>
            </w:r>
          </w:p>
        </w:tc>
      </w:tr>
    </w:tbl>
    <w:p>
      <w:r>
        <w:t>Curricula vitae signed by each individual are attached. Our Team Leader is fluent in English and conversant in Swahili.</w:t>
      </w:r>
    </w:p>
    <w:p>
      <w:pPr>
        <w:pStyle w:val="Heading2"/>
      </w:pPr>
      <w:r>
        <w:t>6. Financial capacity and validity</w:t>
      </w:r>
    </w:p>
    <w:p>
      <w:r>
        <w:t>Our average annual turnover over the last three audited financial years was USD 1,200,000, as shown in the audited statements enclosed. This proposal remains valid for 120 days from the submission deadline, and our bid security of USD 2,500 is valid for the corresponding period.</w:t>
      </w:r>
    </w:p>
    <w:p>
      <w:pPr>
        <w:pStyle w:val="Heading2"/>
      </w:pPr>
      <w:r>
        <w:t>7. Enclosures</w:t>
      </w:r>
    </w:p>
    <w:p>
      <w:r>
        <w:t>Annex A, the signed Bidder's Declaration, and Annex C, the financial proposal in the prescribed format, accompany this technical proposal together with the certificate of incorporation, tax clearance certificate and power of attorney.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cgate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Example Engineering Ltd</dc:title>
  <dc:subject/>
  <dc:creator>cgate</dc:creator>
  <cp:keywords/>
  <dc:description>Synthetic document generated by examples/make_sample.py</dc:description>
  <cp:lastModifiedBy>cgate</cp:lastModifiedBy>
  <cp:revision>1</cp:revision>
  <dcterms:created xsi:type="dcterms:W3CDTF">2026-01-01T00:00:00Z</dcterms:created>
  <dcterms:modified xsi:type="dcterms:W3CDTF">2026-01-01T00:00:00Z</dcterms:modified>
  <cp:category/>
  <cp:lastPrinted>2026-01-01T00:00:00Z</cp:lastPrinted>
</cp:coreProperties>
</file>