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0" w:before="0" w:line="480"/>
        <w:jc w:val="center"/>
      </w:pPr>
      <w:r>
        <w:rPr>
          <w:rFonts w:ascii="Times New Roman" w:cs="Times New Roman" w:eastAsia="Times New Roman" w:hAnsi="Times New Roman"/>
          <w:b/>
          <w:bCs/>
          <w:i w:val="false"/>
          <w:iCs w:val="false"/>
          <w:color w:val="000000"/>
          <w:sz w:val="36"/>
          <w:szCs w:val="36"/>
        </w:rPr>
        <w:t xml:space="preserve">Guion de sustentación</w:t>
      </w:r>
    </w:p>
    <w:p>
      <w:pPr>
        <w:spacing w:after="720" w:before="0" w:line="480"/>
        <w:jc w:val="center"/>
      </w:pPr>
      <w:r>
        <w:rPr>
          <w:rFonts w:ascii="Times New Roman" w:cs="Times New Roman" w:eastAsia="Times New Roman" w:hAnsi="Times New Roman"/>
          <w:b w:val="false"/>
          <w:bCs w:val="false"/>
          <w:i/>
          <w:iCs/>
          <w:color w:val="000000"/>
          <w:sz w:val="24"/>
          <w:szCs w:val="24"/>
        </w:rPr>
        <w:t xml:space="preserve">Sistema POS para la gestión y venta de dispositivos móviles</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Elkin Santiago Marín Duarte y Juan David Zabala Plata</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Corporación Unificada Nacional de Educación Superior — CUN</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4 de octubre de 2026</w:t>
      </w:r>
    </w:p>
    <w:p>
      <w:r>
        <w:br w:type="page"/>
      </w:r>
    </w:p>
    <w:p>
      <w:pPr>
        <w:pStyle w:val="Heading1"/>
        <w:spacing w:after="120" w:before="0" w:line="480"/>
        <w:jc w:val="center"/>
      </w:pPr>
      <w:r>
        <w:rPr>
          <w:rFonts w:ascii="Times New Roman" w:cs="Times New Roman" w:eastAsia="Times New Roman" w:hAnsi="Times New Roman"/>
          <w:b/>
          <w:bCs/>
          <w:color w:val="0F172A"/>
          <w:sz w:val="24"/>
          <w:szCs w:val="24"/>
        </w:rPr>
        <w:t xml:space="preserve">Antes de entrar</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 demostración solo sale bien si el sistema está listo antes de empezar a hablar. Diez minutos antes:</w:t>
      </w:r>
    </w:p>
    <w:p>
      <w:pPr>
        <w:pStyle w:val="ListParagraph"/>
        <w:numPr>
          <w:ilvl w:val="0"/>
          <w:numId w:val="2"/>
        </w:numPr>
        <w:spacing w:after="0" w:before="0" w:line="480"/>
      </w:pPr>
      <w:r>
        <w:rPr>
          <w:rFonts w:ascii="Times New Roman" w:cs="Times New Roman" w:eastAsia="Times New Roman" w:hAnsi="Times New Roman"/>
          <w:sz w:val="24"/>
          <w:szCs w:val="24"/>
        </w:rPr>
        <w:t xml:space="preserve">Correr 6-BASE-DE-DATOS.bat para dejar los datos de prueba frescos. Si se demostró algo ayer, el inventario quedó movido.</w:t>
      </w:r>
    </w:p>
    <w:p>
      <w:pPr>
        <w:pStyle w:val="ListParagraph"/>
        <w:numPr>
          <w:ilvl w:val="0"/>
          <w:numId w:val="2"/>
        </w:numPr>
        <w:spacing w:after="0" w:before="0" w:line="480"/>
      </w:pPr>
      <w:r>
        <w:rPr>
          <w:rFonts w:ascii="Times New Roman" w:cs="Times New Roman" w:eastAsia="Times New Roman" w:hAnsi="Times New Roman"/>
          <w:sz w:val="24"/>
          <w:szCs w:val="24"/>
        </w:rPr>
        <w:t xml:space="preserve">Correr 2-INICIAR.bat y comprobar que el navegador abre en 127.0.0.1:8000.</w:t>
      </w:r>
    </w:p>
    <w:p>
      <w:pPr>
        <w:pStyle w:val="ListParagraph"/>
        <w:numPr>
          <w:ilvl w:val="0"/>
          <w:numId w:val="2"/>
        </w:numPr>
        <w:spacing w:after="0" w:before="0" w:line="480"/>
      </w:pPr>
      <w:r>
        <w:rPr>
          <w:rFonts w:ascii="Times New Roman" w:cs="Times New Roman" w:eastAsia="Times New Roman" w:hAnsi="Times New Roman"/>
          <w:sz w:val="24"/>
          <w:szCs w:val="24"/>
        </w:rPr>
        <w:t xml:space="preserve">Entrar como admin y abrir un turno de caja. Sin turno no se puede facturar y es el error más probable en vivo.</w:t>
      </w:r>
    </w:p>
    <w:p>
      <w:pPr>
        <w:pStyle w:val="ListParagraph"/>
        <w:numPr>
          <w:ilvl w:val="0"/>
          <w:numId w:val="2"/>
        </w:numPr>
        <w:spacing w:after="0" w:before="0" w:line="480"/>
      </w:pPr>
      <w:r>
        <w:rPr>
          <w:rFonts w:ascii="Times New Roman" w:cs="Times New Roman" w:eastAsia="Times New Roman" w:hAnsi="Times New Roman"/>
          <w:sz w:val="24"/>
          <w:szCs w:val="24"/>
        </w:rPr>
        <w:t xml:space="preserve">Dejar abiertas tres pestañas: el sistema, la documentación de la API en /docs y pgAdmin con la base pos_movil.</w:t>
      </w:r>
    </w:p>
    <w:p>
      <w:pPr>
        <w:pStyle w:val="ListParagraph"/>
        <w:numPr>
          <w:ilvl w:val="0"/>
          <w:numId w:val="2"/>
        </w:numPr>
        <w:spacing w:after="0" w:before="0" w:line="480"/>
      </w:pPr>
      <w:r>
        <w:rPr>
          <w:rFonts w:ascii="Times New Roman" w:cs="Times New Roman" w:eastAsia="Times New Roman" w:hAnsi="Times New Roman"/>
          <w:sz w:val="24"/>
          <w:szCs w:val="24"/>
        </w:rPr>
        <w:t xml:space="preserve">Tener a mano un IMEI válido para escribir: 356789012345045.</w:t>
      </w:r>
    </w:p>
    <w:p>
      <w:pPr>
        <w:pStyle w:val="ListParagraph"/>
        <w:numPr>
          <w:ilvl w:val="0"/>
          <w:numId w:val="2"/>
        </w:numPr>
        <w:spacing w:after="0" w:before="0" w:line="480"/>
      </w:pPr>
      <w:r>
        <w:rPr>
          <w:rFonts w:ascii="Times New Roman" w:cs="Times New Roman" w:eastAsia="Times New Roman" w:hAnsi="Times New Roman"/>
          <w:sz w:val="24"/>
          <w:szCs w:val="24"/>
        </w:rPr>
        <w:t xml:space="preserve">Si se va a mostrar la app de escritorio, abrirla antes con 7-APP-ESCRITORIO.bat y dejarla minimizada.</w:t>
      </w:r>
    </w:p>
    <w:p>
      <w:pPr>
        <w:spacing w:after="0" w:before="180" w:line="480"/>
        <w:jc w:val="both"/>
      </w:pPr>
      <w:r>
        <w:rPr>
          <w:rFonts w:ascii="Times New Roman" w:cs="Times New Roman" w:eastAsia="Times New Roman" w:hAnsi="Times New Roman"/>
          <w:b/>
          <w:bCs/>
          <w:sz w:val="24"/>
          <w:szCs w:val="24"/>
        </w:rPr>
        <w:t xml:space="preserve">Plan B: </w:t>
      </w:r>
      <w:r>
        <w:rPr>
          <w:rFonts w:ascii="Times New Roman" w:cs="Times New Roman" w:eastAsia="Times New Roman" w:hAnsi="Times New Roman"/>
          <w:sz w:val="24"/>
          <w:szCs w:val="24"/>
        </w:rPr>
        <w:t xml:space="preserve">si el servidor no levanta, están las capturas del manual de usuario. Mejor mostrar una captura y explicarla bien que perder cinco minutos depurando en frente del jurado.</w:t>
      </w:r>
    </w:p>
    <w:p>
      <w:pPr>
        <w:pStyle w:val="Heading2"/>
        <w:spacing w:after="60" w:before="240" w:line="480"/>
      </w:pPr>
      <w:r>
        <w:rPr>
          <w:rFonts w:ascii="Times New Roman" w:cs="Times New Roman" w:eastAsia="Times New Roman" w:hAnsi="Times New Roman"/>
          <w:b/>
          <w:bCs/>
          <w:color w:val="0F172A"/>
          <w:sz w:val="24"/>
          <w:szCs w:val="24"/>
        </w:rPr>
        <w:t xml:space="preserve">Reparto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Si sustentan los dos, conviene repartir por capas y no por minutos: quien explica la base de datos sigue con las reglas y los triggers; quien explica la aplicación sigue con la demostración en vivo. Así cada uno defiende un bloque completo y las preguntas tienen dueño.</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Estructura de la sustentación</w:t>
      </w:r>
    </w:p>
    <w:p>
      <w:pPr>
        <w:keepNext/>
        <w:spacing w:before="240" w:line="480"/>
        <w:jc w:val="left"/>
      </w:pPr>
      <w:r>
        <w:rPr>
          <w:rFonts w:ascii="Times New Roman" w:cs="Times New Roman" w:eastAsia="Times New Roman" w:hAnsi="Times New Roman"/>
          <w:b/>
          <w:bCs/>
          <w:sz w:val="24"/>
          <w:szCs w:val="24"/>
        </w:rPr>
        <w:t xml:space="preserve">Tabla 1</w:t>
      </w:r>
    </w:p>
    <w:p>
      <w:pPr>
        <w:keepNext/>
        <w:spacing w:after="60" w:line="480"/>
        <w:jc w:val="left"/>
      </w:pPr>
      <w:r>
        <w:rPr>
          <w:rFonts w:ascii="Times New Roman" w:cs="Times New Roman" w:eastAsia="Times New Roman" w:hAnsi="Times New Roman"/>
          <w:i/>
          <w:iCs/>
          <w:sz w:val="24"/>
          <w:szCs w:val="24"/>
        </w:rPr>
        <w:t xml:space="preserve">Distribución del tiempo para una sustentación de 15 minutos</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221"/>
        <w:gridCol w:w="3663"/>
        <w:gridCol w:w="4476"/>
      </w:tblGrid>
      <w:tr>
        <w:trPr>
          <w:tblHeader/>
        </w:trPr>
        <w:tc>
          <w:tcPr>
            <w:tcW w:type="dxa" w:w="1221"/>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Min.</w:t>
            </w:r>
          </w:p>
        </w:tc>
        <w:tc>
          <w:tcPr>
            <w:tcW w:type="dxa" w:w="3663"/>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Bloque</w:t>
            </w:r>
          </w:p>
        </w:tc>
        <w:tc>
          <w:tcPr>
            <w:tcW w:type="dxa" w:w="4476"/>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se muestra</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0–1</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problema</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Nada todavía; se habla</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1–3</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Cómo se resolvió: la decisión de diseño</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Diagrama de arquitectura</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3–5</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base de datos</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pgAdmin: tablas, triggers, el índice parcial</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5–10</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Demostración en vivo</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sistema: venta completa y anulación</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10–12</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Las otras dos aplicaciones</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Escritorio en Flet y en Kotlin</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12–14</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Cómo se verificó</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Las pruebas corriendo</w:t>
            </w:r>
          </w:p>
        </w:tc>
      </w:tr>
      <w:tr>
        <w:tc>
          <w:tcPr>
            <w:tcW w:type="dxa" w:w="122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14–15</w:t>
            </w:r>
          </w:p>
        </w:tc>
        <w:tc>
          <w:tcPr>
            <w:tcW w:type="dxa" w:w="366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Cierre</w:t>
            </w:r>
          </w:p>
        </w:tc>
        <w:tc>
          <w:tcPr>
            <w:tcW w:type="dxa" w:w="447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Conclusiones</w:t>
            </w:r>
          </w:p>
        </w:tc>
      </w:tr>
    </w:tbl>
    <w:p>
      <w:pPr>
        <w:spacing w:after="24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Si el tiempo es de 10 minutos, se recorta el bloque de las otras dos aplicaciones a una frase y se acorta la demostración a la venta, sin la anulación.</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El guion</w:t>
      </w:r>
    </w:p>
    <w:p>
      <w:pPr>
        <w:pStyle w:val="Heading2"/>
        <w:spacing w:after="60" w:before="240" w:line="480"/>
      </w:pPr>
      <w:r>
        <w:rPr>
          <w:rFonts w:ascii="Times New Roman" w:cs="Times New Roman" w:eastAsia="Times New Roman" w:hAnsi="Times New Roman"/>
          <w:b/>
          <w:bCs/>
          <w:color w:val="0F172A"/>
          <w:sz w:val="24"/>
          <w:szCs w:val="24"/>
        </w:rPr>
        <w:t xml:space="preserve">Minuto 0 a 1 — El problema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«Un local que vende celulares maneja dos negocios al mismo tiempo. Vende accesorios, que se cuentan: hay treinta cargadores y se venden tres, quedan veintisiete. Y vende equipos, que no se cuentan: se identifican. Cada teléfono tiene un IMEI único, y de ese número dependen la garantía, la trazabilidad y la posibilidad de responderle al cliente seis meses después.»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«Los sistemas genéricos tratan todo como una cantidad en una bodega. Funcionan hasta que un cliente vuelve con un equipo dañado y hay que demostrar cuándo se vendió y a quién. Nuestro sistema parte de esa diferencia.»</w:t>
      </w:r>
    </w:p>
    <w:p>
      <w:pPr>
        <w:spacing w:after="0" w:before="120" w:line="480"/>
        <w:jc w:val="both"/>
      </w:pPr>
      <w:r>
        <w:rPr>
          <w:rFonts w:ascii="Times New Roman" w:cs="Times New Roman" w:eastAsia="Times New Roman" w:hAnsi="Times New Roman"/>
          <w:i/>
          <w:iCs/>
          <w:sz w:val="24"/>
          <w:szCs w:val="24"/>
        </w:rPr>
        <w:t xml:space="preserve">Nota para quien expone: </w:t>
      </w:r>
      <w:r>
        <w:rPr>
          <w:rFonts w:ascii="Times New Roman" w:cs="Times New Roman" w:eastAsia="Times New Roman" w:hAnsi="Times New Roman"/>
          <w:sz w:val="24"/>
          <w:szCs w:val="24"/>
        </w:rPr>
        <w:t xml:space="preserve">este minuto no lleva pantalla. Mirar al jurado. Es el único momento en que se está vendiendo el problema y no el producto.</w:t>
      </w:r>
    </w:p>
    <w:p>
      <w:pPr>
        <w:pStyle w:val="Heading2"/>
        <w:spacing w:after="60" w:before="240" w:line="480"/>
      </w:pPr>
      <w:r>
        <w:rPr>
          <w:rFonts w:ascii="Times New Roman" w:cs="Times New Roman" w:eastAsia="Times New Roman" w:hAnsi="Times New Roman"/>
          <w:b/>
          <w:bCs/>
          <w:color w:val="0F172A"/>
          <w:sz w:val="24"/>
          <w:szCs w:val="24"/>
        </w:rPr>
        <w:t xml:space="preserve">Minuto 1 a 3 — La decisión de diseño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 decisión más importante del proyecto no fue qué framework usar, sino dónde poner las reglas. Cuando se vende un equipo hay que marcar el IMEI como vendido, descontar el stock, escribir el kardex y crear la garantía. Eso lo puede hacer el backend en Python, o lo puede hacer PostgreSQL con triggers.»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«Lo pusimos en PostgreSQL. La razón es simple: si alguien entra por pgAdmin, por un script o por otra aplicación, las reglas se siguen cumpliendo. Una regla que vive en la aplicación solo protege contra la aplicación.»</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«Por eso hay tres clientes distintos —web, escritorio en Python y escritorio en Kotlin— y los tres obedecen exactamente las mismas reglas sin tener que repetirlas.»</w:t>
      </w:r>
    </w:p>
    <w:p>
      <w:pPr>
        <w:pStyle w:val="Heading2"/>
        <w:spacing w:after="60" w:before="240" w:line="480"/>
      </w:pPr>
      <w:r>
        <w:rPr>
          <w:rFonts w:ascii="Times New Roman" w:cs="Times New Roman" w:eastAsia="Times New Roman" w:hAnsi="Times New Roman"/>
          <w:b/>
          <w:bCs/>
          <w:color w:val="0F172A"/>
          <w:sz w:val="24"/>
          <w:szCs w:val="24"/>
        </w:rPr>
        <w:t xml:space="preserve">Minuto 3 a 5 — La base de datos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Mostrar en pgAdmin: la lista de tablas, y abrir una consulta.</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«Son 37 tablas en once módulos, con 59 claves foráneas, 41 restricciones CHECK y 22 tipos enumerados. Pero lo que quiero mostrar son dos cosas concretas.»</w:t>
      </w:r>
    </w:p>
    <w:p>
      <w:pPr>
        <w:spacing w:after="0" w:before="120" w:line="480"/>
        <w:jc w:val="both"/>
      </w:pPr>
      <w:r>
        <w:rPr>
          <w:rFonts w:ascii="Times New Roman" w:cs="Times New Roman" w:eastAsia="Times New Roman" w:hAnsi="Times New Roman"/>
          <w:b w:val="false"/>
          <w:bCs w:val="false"/>
          <w:i w:val="false"/>
          <w:iCs w:val="false"/>
          <w:color w:val="000000"/>
          <w:sz w:val="24"/>
          <w:szCs w:val="24"/>
        </w:rPr>
        <w:t xml:space="preserve">Primera: la validación de IMEI.</w:t>
      </w:r>
    </w:p>
    <w:p>
      <w:pPr>
        <w:shd w:fill="F8FAFC" w:val="clear"/>
        <w:spacing w:after="0" w:before="0" w:line="240"/>
        <w:ind w:left="360"/>
      </w:pPr>
      <w:r>
        <w:rPr>
          <w:rFonts w:ascii="Consolas" w:cs="Consolas" w:eastAsia="Consolas" w:hAnsi="Consolas"/>
          <w:color w:val="0F172A"/>
          <w:sz w:val="19"/>
          <w:szCs w:val="19"/>
        </w:rPr>
        <w:t xml:space="preserve">SELECT fn_imei_valido('356789012345045');   -- true</w:t>
      </w:r>
    </w:p>
    <w:p>
      <w:pPr>
        <w:shd w:fill="F8FAFC" w:val="clear"/>
        <w:spacing w:after="0" w:before="0" w:line="240"/>
        <w:ind w:left="360"/>
      </w:pPr>
      <w:r>
        <w:rPr>
          <w:rFonts w:ascii="Consolas" w:cs="Consolas" w:eastAsia="Consolas" w:hAnsi="Consolas"/>
          <w:color w:val="0F172A"/>
          <w:sz w:val="19"/>
          <w:szCs w:val="19"/>
        </w:rPr>
        <w:t xml:space="preserve">SELECT fn_imei_valido('356789012345046');   -- false</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«Es el algoritmo de Luhn escrito en PL/pgSQL, y respalda una restricción CHECK de la tabla. Un IMEI con el dígito verificador malo no entra ni escribiendo el INSERT a mano.»</w:t>
      </w:r>
    </w:p>
    <w:p>
      <w:pPr>
        <w:spacing w:after="0" w:before="120" w:line="480"/>
        <w:jc w:val="both"/>
      </w:pPr>
      <w:r>
        <w:rPr>
          <w:rFonts w:ascii="Times New Roman" w:cs="Times New Roman" w:eastAsia="Times New Roman" w:hAnsi="Times New Roman"/>
          <w:b w:val="false"/>
          <w:bCs w:val="false"/>
          <w:i w:val="false"/>
          <w:iCs w:val="false"/>
          <w:color w:val="000000"/>
          <w:sz w:val="24"/>
          <w:szCs w:val="24"/>
        </w:rPr>
        <w:t xml:space="preserve">Segunda: el índice único parcial.</w:t>
      </w:r>
    </w:p>
    <w:p>
      <w:pPr>
        <w:shd w:fill="F8FAFC" w:val="clear"/>
        <w:spacing w:after="0" w:before="0" w:line="240"/>
        <w:ind w:left="360"/>
      </w:pPr>
      <w:r>
        <w:rPr>
          <w:rFonts w:ascii="Consolas" w:cs="Consolas" w:eastAsia="Consolas" w:hAnsi="Consolas"/>
          <w:color w:val="0F172A"/>
          <w:sz w:val="19"/>
          <w:szCs w:val="19"/>
        </w:rPr>
        <w:t xml:space="preserve">CREATE UNIQUE INDEX ux_turno_abierto_por_caja</w:t>
      </w:r>
    </w:p>
    <w:p>
      <w:pPr>
        <w:shd w:fill="F8FAFC" w:val="clear"/>
        <w:spacing w:after="0" w:before="0" w:line="240"/>
        <w:ind w:left="360"/>
      </w:pPr>
      <w:r>
        <w:rPr>
          <w:rFonts w:ascii="Consolas" w:cs="Consolas" w:eastAsia="Consolas" w:hAnsi="Consolas"/>
          <w:color w:val="0F172A"/>
          <w:sz w:val="19"/>
          <w:szCs w:val="19"/>
        </w:rPr>
        <w:t xml:space="preserve">  ON turnos_caja (caja_id) WHERE estado = 'ABIERTO';</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«Dos turnos abiertos en la misma caja romperían el arqueo. En vez de verificarlo en la aplicación —lo que deja una ventana entre la consulta y la inserción— lo prohíbe el motor. Aunque dos cajeros presionen el botón en el mismo milisegundo, el segundo falla.»</w:t>
      </w:r>
    </w:p>
    <w:p>
      <w:pPr>
        <w:pStyle w:val="Heading2"/>
        <w:spacing w:after="60" w:before="240" w:line="480"/>
      </w:pPr>
      <w:r>
        <w:rPr>
          <w:rFonts w:ascii="Times New Roman" w:cs="Times New Roman" w:eastAsia="Times New Roman" w:hAnsi="Times New Roman"/>
          <w:b/>
          <w:bCs/>
          <w:color w:val="0F172A"/>
          <w:sz w:val="24"/>
          <w:szCs w:val="24"/>
        </w:rPr>
        <w:t xml:space="preserve">Minuto 5 a 10 — Demostración en vivo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Este es el bloque que hay que ensayar. La secuencia exacta:</w:t>
      </w:r>
    </w:p>
    <w:p>
      <w:pPr>
        <w:pStyle w:val="ListParagraph"/>
        <w:numPr>
          <w:ilvl w:val="0"/>
          <w:numId w:val="3"/>
        </w:numPr>
        <w:spacing w:after="0" w:before="0" w:line="480"/>
      </w:pPr>
      <w:r>
        <w:rPr>
          <w:rFonts w:ascii="Times New Roman" w:cs="Times New Roman" w:eastAsia="Times New Roman" w:hAnsi="Times New Roman"/>
          <w:sz w:val="24"/>
          <w:szCs w:val="24"/>
        </w:rPr>
        <w:t xml:space="preserve">Entrar como admin. Señalar el panel: ventas del día, equipos disponibles, alertas de stock.</w:t>
      </w:r>
    </w:p>
    <w:p>
      <w:pPr>
        <w:pStyle w:val="ListParagraph"/>
        <w:numPr>
          <w:ilvl w:val="0"/>
          <w:numId w:val="3"/>
        </w:numPr>
        <w:spacing w:after="0" w:before="0" w:line="480"/>
      </w:pPr>
      <w:r>
        <w:rPr>
          <w:rFonts w:ascii="Times New Roman" w:cs="Times New Roman" w:eastAsia="Times New Roman" w:hAnsi="Times New Roman"/>
          <w:sz w:val="24"/>
          <w:szCs w:val="24"/>
        </w:rPr>
        <w:t xml:space="preserve">Ir a Punto de venta. Agregar un accesorio —un cargador, por ejemplo— y subir la cantidad a dos.</w:t>
      </w:r>
    </w:p>
    <w:p>
      <w:pPr>
        <w:pStyle w:val="ListParagraph"/>
        <w:numPr>
          <w:ilvl w:val="0"/>
          <w:numId w:val="3"/>
        </w:numPr>
        <w:spacing w:after="0" w:before="0" w:line="480"/>
      </w:pPr>
      <w:r>
        <w:rPr>
          <w:rFonts w:ascii="Times New Roman" w:cs="Times New Roman" w:eastAsia="Times New Roman" w:hAnsi="Times New Roman"/>
          <w:sz w:val="24"/>
          <w:szCs w:val="24"/>
        </w:rPr>
        <w:t xml:space="preserve">Agregar un equipo. Decir en voz alta: «aquí el sistema me obliga a elegir el IMEI, y solo me muestra los que están disponibles».</w:t>
      </w:r>
    </w:p>
    <w:p>
      <w:pPr>
        <w:pStyle w:val="ListParagraph"/>
        <w:numPr>
          <w:ilvl w:val="0"/>
          <w:numId w:val="3"/>
        </w:numPr>
        <w:spacing w:after="0" w:before="0" w:line="480"/>
      </w:pPr>
      <w:r>
        <w:rPr>
          <w:rFonts w:ascii="Times New Roman" w:cs="Times New Roman" w:eastAsia="Times New Roman" w:hAnsi="Times New Roman"/>
          <w:sz w:val="24"/>
          <w:szCs w:val="24"/>
        </w:rPr>
        <w:t xml:space="preserve">Elegir un cliente, revisar el total y facturar.</w:t>
      </w:r>
    </w:p>
    <w:p>
      <w:pPr>
        <w:pStyle w:val="ListParagraph"/>
        <w:numPr>
          <w:ilvl w:val="0"/>
          <w:numId w:val="3"/>
        </w:numPr>
        <w:spacing w:after="0" w:before="0" w:line="480"/>
      </w:pPr>
      <w:r>
        <w:rPr>
          <w:rFonts w:ascii="Times New Roman" w:cs="Times New Roman" w:eastAsia="Times New Roman" w:hAnsi="Times New Roman"/>
          <w:sz w:val="24"/>
          <w:szCs w:val="24"/>
        </w:rPr>
        <w:t xml:space="preserve">Ir a Inventario, pestaña de equipos. Mostrar que ese IMEI quedó en VENDIDO.</w:t>
      </w:r>
    </w:p>
    <w:p>
      <w:pPr>
        <w:pStyle w:val="ListParagraph"/>
        <w:numPr>
          <w:ilvl w:val="0"/>
          <w:numId w:val="3"/>
        </w:numPr>
        <w:spacing w:after="0" w:before="0" w:line="480"/>
      </w:pPr>
      <w:r>
        <w:rPr>
          <w:rFonts w:ascii="Times New Roman" w:cs="Times New Roman" w:eastAsia="Times New Roman" w:hAnsi="Times New Roman"/>
          <w:sz w:val="24"/>
          <w:szCs w:val="24"/>
        </w:rPr>
        <w:t xml:space="preserve">Ir a Posventa. Mostrar que la garantía se creó sola, con su fecha de vencimiento.</w:t>
      </w:r>
    </w:p>
    <w:p>
      <w:pPr>
        <w:pStyle w:val="ListParagraph"/>
        <w:numPr>
          <w:ilvl w:val="0"/>
          <w:numId w:val="3"/>
        </w:numPr>
        <w:spacing w:after="0" w:before="0" w:line="480"/>
      </w:pPr>
      <w:r>
        <w:rPr>
          <w:rFonts w:ascii="Times New Roman" w:cs="Times New Roman" w:eastAsia="Times New Roman" w:hAnsi="Times New Roman"/>
          <w:sz w:val="24"/>
          <w:szCs w:val="24"/>
        </w:rPr>
        <w:t xml:space="preserve">Volver a Ventas y anular la factura con un motivo.</w:t>
      </w:r>
    </w:p>
    <w:p>
      <w:pPr>
        <w:pStyle w:val="ListParagraph"/>
        <w:numPr>
          <w:ilvl w:val="0"/>
          <w:numId w:val="3"/>
        </w:numPr>
        <w:spacing w:after="0" w:before="0" w:line="480"/>
      </w:pPr>
      <w:r>
        <w:rPr>
          <w:rFonts w:ascii="Times New Roman" w:cs="Times New Roman" w:eastAsia="Times New Roman" w:hAnsi="Times New Roman"/>
          <w:sz w:val="24"/>
          <w:szCs w:val="24"/>
        </w:rPr>
        <w:t xml:space="preserve">Volver a Inventario: el IMEI está otra vez DISPONIBLE. Volver a Posventa: la garantía quedó anulada.</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«Eso que acaban de ver —que al anular todo volviera atrás— no lo hace el programa en Python. Lo hace una función de PostgreSQL en una sola transacción. O se deshace todo, o no se deshace nada.»</w:t>
      </w:r>
    </w:p>
    <w:p>
      <w:pPr>
        <w:spacing w:after="0" w:before="120" w:line="480"/>
        <w:jc w:val="both"/>
      </w:pPr>
      <w:r>
        <w:rPr>
          <w:rFonts w:ascii="Times New Roman" w:cs="Times New Roman" w:eastAsia="Times New Roman" w:hAnsi="Times New Roman"/>
          <w:b/>
          <w:bCs/>
          <w:sz w:val="24"/>
          <w:szCs w:val="24"/>
        </w:rPr>
        <w:t xml:space="preserve">Si algo falla en vivo: </w:t>
      </w:r>
      <w:r>
        <w:rPr>
          <w:rFonts w:ascii="Times New Roman" w:cs="Times New Roman" w:eastAsia="Times New Roman" w:hAnsi="Times New Roman"/>
          <w:sz w:val="24"/>
          <w:szCs w:val="24"/>
        </w:rPr>
        <w:t xml:space="preserve">decirlo y seguir. «Me está pidiendo abrir caja, que es justamente la regla que les mencioné» convierte un tropiezo en una demostración. Callarse y teclear en silencio, no.</w:t>
      </w:r>
    </w:p>
    <w:p>
      <w:pPr>
        <w:pStyle w:val="Heading2"/>
        <w:spacing w:after="60" w:before="240" w:line="480"/>
      </w:pPr>
      <w:r>
        <w:rPr>
          <w:rFonts w:ascii="Times New Roman" w:cs="Times New Roman" w:eastAsia="Times New Roman" w:hAnsi="Times New Roman"/>
          <w:b/>
          <w:bCs/>
          <w:color w:val="0F172A"/>
          <w:sz w:val="24"/>
          <w:szCs w:val="24"/>
        </w:rPr>
        <w:t xml:space="preserve">Minuto 10 a 12 — Las otras dos aplicaciones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Abrir la aplicación de escritorio en Flet al lado del navegador.</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«Es la misma aplicación. Mismos colores, mismo menú, mismas reglas. Lo único que cambia es que esta está escrita en Python con Flet y se empaqueta en un .exe que corre sin tener Python instalado. Y hay una tercera en Kotlin con Compose Desktop.»</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«El punto no es que haya tres. El punto es que las tres consumen la misma API, y por eso ninguna puede saltarse una regla. Si mañana hay que cambiar cómo se calcula el IVA, se cambia en un solo lugar.»</w:t>
      </w:r>
    </w:p>
    <w:p>
      <w:pPr>
        <w:pStyle w:val="Heading2"/>
        <w:spacing w:after="60" w:before="240" w:line="480"/>
      </w:pPr>
      <w:r>
        <w:rPr>
          <w:rFonts w:ascii="Times New Roman" w:cs="Times New Roman" w:eastAsia="Times New Roman" w:hAnsi="Times New Roman"/>
          <w:b/>
          <w:bCs/>
          <w:color w:val="0F172A"/>
          <w:sz w:val="24"/>
          <w:szCs w:val="24"/>
        </w:rPr>
        <w:t xml:space="preserve">Minuto 12 a 14 — Cómo se verificó</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Correr 3-PRUEBAS.bat en una ventana, o mostrar la salida ya capturada.</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«Hay seis conjuntos de pruebas automáticas, más de 250 comprobaciones, y ninguna usa simulaciones: todas corren contra PostgreSQL y contra la API reales.»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«Lo que más me interesa de las pruebas no es lo que verifica que funcione, sino las seis que verifican que algo falle: insertar un IMEI inválido, vender dos veces el mismo equipo, dejar el stock en negativo, abrir dos turnos en una caja, descontar más de lo que vale la línea y pagar una factura con un valor que no cuadra. Si alguna de esas pasara, el sistema estaría roto.»</w:t>
      </w:r>
    </w:p>
    <w:p>
      <w:pPr>
        <w:pStyle w:val="Heading2"/>
        <w:spacing w:after="60" w:before="240" w:line="480"/>
      </w:pPr>
      <w:r>
        <w:rPr>
          <w:rFonts w:ascii="Times New Roman" w:cs="Times New Roman" w:eastAsia="Times New Roman" w:hAnsi="Times New Roman"/>
          <w:b/>
          <w:bCs/>
          <w:color w:val="0F172A"/>
          <w:sz w:val="24"/>
          <w:szCs w:val="24"/>
        </w:rPr>
        <w:t xml:space="preserve">Minuto 14 a 15 — Cierre</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«Tres conclusiones.»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«Primera: poner las reglas en el motor y no en la aplicación hizo el sistema correcto por construcción. Durante el desarrollo varias pruebas fallaron porque PostgreSQL rechazó operaciones que el código Python habría dejado pasar. Cada una de esas fallas era un error real atrapado temprano.»</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«Segunda: generar el esquema SQL, el modelo de objetos y el diagrama UML desde una sola definición eliminó una categoría entera de errores. No hay tres copias que mantener sincronizadas: hay una fuente y tres salidas.»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«Tercera: guardar los permisos en tablas en vez de escribirlos en el código permitió que los tres clientes armen su menú sin duplicar reglas. El cajero no ve el módulo de usuarios en ninguno de los tres, y la razón está en una sola fila de una tabla.»</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Preguntas que probablemente hagan</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Las respuestas están en el sistema; lo que sigue es cómo encontrarlas rápido.</w:t>
      </w:r>
    </w:p>
    <w:p>
      <w:pPr>
        <w:pStyle w:val="Heading2"/>
        <w:spacing w:after="60" w:before="240" w:line="480"/>
      </w:pPr>
      <w:r>
        <w:rPr>
          <w:rFonts w:ascii="Times New Roman" w:cs="Times New Roman" w:eastAsia="Times New Roman" w:hAnsi="Times New Roman"/>
          <w:b/>
          <w:bCs/>
          <w:color w:val="0F172A"/>
          <w:sz w:val="24"/>
          <w:szCs w:val="24"/>
        </w:rPr>
        <w:t xml:space="preserve">«¿Por qué PostgreSQL y no MySQL?»</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Por tres cosas concretas que el proyecto usa: tipos ENUM nativos, restricciones CHECK que pueden llamar funciones propias —ahí vive la validación de IMEI— e índices únicos parciales, que son los que impiden dos turnos abiertos en una caja. En MySQL habría que simular las tres.</w:t>
      </w:r>
    </w:p>
    <w:p>
      <w:pPr>
        <w:pStyle w:val="Heading2"/>
        <w:spacing w:after="60" w:before="240" w:line="480"/>
      </w:pPr>
      <w:r>
        <w:rPr>
          <w:rFonts w:ascii="Times New Roman" w:cs="Times New Roman" w:eastAsia="Times New Roman" w:hAnsi="Times New Roman"/>
          <w:b/>
          <w:bCs/>
          <w:color w:val="0F172A"/>
          <w:sz w:val="24"/>
          <w:szCs w:val="24"/>
        </w:rPr>
        <w:t xml:space="preserve">«¿Qué pasa si dos cajeros venden el mismo equipo al tiempo?»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Gana el primero en confirmar. El segundo recibe un error que dice que el equipo ya no está disponible, porque el trigger verifica el estado dentro de la misma transacción. No es una comprobación previa que se pueda quedar vieja: es parte de la escritura.</w:t>
      </w:r>
    </w:p>
    <w:p>
      <w:pPr>
        <w:pStyle w:val="Heading2"/>
        <w:spacing w:after="60" w:before="240" w:line="480"/>
      </w:pPr>
      <w:r>
        <w:rPr>
          <w:rFonts w:ascii="Times New Roman" w:cs="Times New Roman" w:eastAsia="Times New Roman" w:hAnsi="Times New Roman"/>
          <w:b/>
          <w:bCs/>
          <w:color w:val="0F172A"/>
          <w:sz w:val="24"/>
          <w:szCs w:val="24"/>
        </w:rPr>
        <w:t xml:space="preserve">«¿Por qué repiten el cálculo del dinero en los tres clientes?»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Porque el servidor exige que los pagos sumen el total exacto al centavo, así que el cliente tiene que llegar a la misma cifra para poder cobrar. Pero la cifra que manda es la del servidor: si no coinciden, la venta se rechaza y el mensaje dice cuánto sumaron los pagos y cuánto era el total. Los tres usan aritmética decimal con redondeo medio hacia arriba, nunca coma flotante.</w:t>
      </w:r>
    </w:p>
    <w:p>
      <w:pPr>
        <w:pStyle w:val="Heading2"/>
        <w:spacing w:after="60" w:before="240" w:line="480"/>
      </w:pPr>
      <w:r>
        <w:rPr>
          <w:rFonts w:ascii="Times New Roman" w:cs="Times New Roman" w:eastAsia="Times New Roman" w:hAnsi="Times New Roman"/>
          <w:b/>
          <w:bCs/>
          <w:color w:val="0F172A"/>
          <w:sz w:val="24"/>
          <w:szCs w:val="24"/>
        </w:rPr>
        <w:t xml:space="preserve">«¿Cómo saben que funciona?»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Más de 250 comprobaciones automáticas en seis conjuntos, todas contra la base y la API reales. La tabla 10 del documento técnico las lista una por una. Y la interfaz web se recorrió con un navegador controlado por Playwright: las doce rutas, con dos roles distintos, más una venta completa hecha a clics.</w:t>
      </w:r>
    </w:p>
    <w:p>
      <w:pPr>
        <w:pStyle w:val="Heading2"/>
        <w:spacing w:after="60" w:before="240" w:line="480"/>
      </w:pPr>
      <w:r>
        <w:rPr>
          <w:rFonts w:ascii="Times New Roman" w:cs="Times New Roman" w:eastAsia="Times New Roman" w:hAnsi="Times New Roman"/>
          <w:b/>
          <w:bCs/>
          <w:color w:val="0F172A"/>
          <w:sz w:val="24"/>
          <w:szCs w:val="24"/>
        </w:rPr>
        <w:t xml:space="preserve">«¿Esto sirve para un negocio real?»</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Para un local pequeño o mediano, sí, con una advertencia honesta: falta la integración con un proveedor tecnológico autorizado por la DIAN. El sistema genera el consecutivo, el CUFE y el XML, pero no los transmite. Esa integración es un trámite con un tercero, no un problema de diseño.</w:t>
      </w:r>
    </w:p>
    <w:p>
      <w:pPr>
        <w:pStyle w:val="Heading2"/>
        <w:spacing w:after="60" w:before="240" w:line="480"/>
      </w:pPr>
      <w:r>
        <w:rPr>
          <w:rFonts w:ascii="Times New Roman" w:cs="Times New Roman" w:eastAsia="Times New Roman" w:hAnsi="Times New Roman"/>
          <w:b/>
          <w:bCs/>
          <w:color w:val="0F172A"/>
          <w:sz w:val="24"/>
          <w:szCs w:val="24"/>
        </w:rPr>
        <w:t xml:space="preserve">«¿Qué fue lo más difícil?»</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Decidir dónde ponían las reglas. La primera versión tenía la lógica de inventario en Python, y funcionaba. Moverla a triggers obligó a reescribir el servicio de ventas completo, pero dejó el sistema a prueba de lo que pase por fuera de la aplicación. Fue la decisión que más tiempo costó y la que más valor dio.</w:t>
      </w:r>
    </w:p>
    <w:p>
      <w:pPr>
        <w:pStyle w:val="Heading2"/>
        <w:spacing w:after="60" w:before="240" w:line="480"/>
      </w:pPr>
      <w:r>
        <w:rPr>
          <w:rFonts w:ascii="Times New Roman" w:cs="Times New Roman" w:eastAsia="Times New Roman" w:hAnsi="Times New Roman"/>
          <w:b/>
          <w:bCs/>
          <w:color w:val="0F172A"/>
          <w:sz w:val="24"/>
          <w:szCs w:val="24"/>
        </w:rPr>
        <w:t xml:space="preserve">«¿Qué no alcanzaron a hacer?»</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Compilar la aplicación de Kotlin en el entorno de desarrollo: el acceso a Maven Central estaba bloqueado. Se mitigó con una revisión estática del código y verificando la lógica del analizador de JSON contra las respuestas reales de la API, pero la compilación se hace en el equipo del usuario. Está declarado en el documento técnico.</w:t>
      </w:r>
    </w:p>
    <w:p>
      <w:pPr>
        <w:spacing w:after="0" w:before="120" w:line="480"/>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decir esto sin rodeos. Un jurado valora más una limitación reconocida que una omitida que luego descubre.</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Cifras para tener a mano</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6240"/>
        <w:gridCol w:w="3120"/>
      </w:tblGrid>
      <w:tr>
        <w:trPr>
          <w:tblHeader/>
        </w:trPr>
        <w:tc>
          <w:tcPr>
            <w:tcW w:type="dxa" w:w="624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w:t>
            </w:r>
          </w:p>
        </w:tc>
        <w:tc>
          <w:tcPr>
            <w:tcW w:type="dxa" w:w="312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Cuánto</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Tablas</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37 en 11 módulos</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Claves foráneas / CHECK / ENUM</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59 / 41 / 22</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Vistas / funciones y procedimientos / triggers</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 / 6 / 9</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Operaciones de la API</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70 en 13 grupos</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Permisos / roles</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28 / 4</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código (total)</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cerca de 14.700</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Comprobaciones automáticas</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más de 250</w:t>
            </w:r>
          </w:p>
        </w:tc>
      </w:tr>
      <w:tr>
        <w:tc>
          <w:tcPr>
            <w:tcW w:type="dxa" w:w="62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Clientes construidos</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 (web, Flet, Kotlin)</w:t>
            </w:r>
          </w:p>
        </w:tc>
      </w:tr>
    </w:tbl>
    <w:p>
      <w:pPr>
        <w:spacing w:after="24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Si no se recuerda una cifra exacta, es mejor decir «alrededor de» que inventar un número. Una cifra inventada que el jurado verifica cuesta más que una aproximación.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sustentación — POS Móvil</dc:title>
  <dc:creator>Elkin Santiago Marín Duarte y Juan David Zabala Plata</dc:creator>
  <cp:lastModifiedBy>Un-named</cp:lastModifiedBy>
  <cp:revision>1</cp:revision>
  <dcterms:created xsi:type="dcterms:W3CDTF">2026-10-05T02:21:23.352Z</dcterms:created>
  <dcterms:modified xsi:type="dcterms:W3CDTF">2026-10-05T02:21:23.352Z</dcterms:modified>
</cp:coreProperties>
</file>

<file path=docProps/custom.xml><?xml version="1.0" encoding="utf-8"?>
<Properties xmlns="http://schemas.openxmlformats.org/officeDocument/2006/custom-properties" xmlns:vt="http://schemas.openxmlformats.org/officeDocument/2006/docPropsVTypes"/>
</file>