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17" w:rsidRDefault="00A73317" w:rsidP="00A73317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Permintaan</w:t>
      </w:r>
      <w:proofErr w:type="spellEnd"/>
    </w:p>
    <w:p w:rsidR="00A73317" w:rsidRDefault="00A73317" w:rsidP="00A73317">
      <w:pPr>
        <w:pStyle w:val="NormalWeb"/>
        <w:numPr>
          <w:ilvl w:val="0"/>
          <w:numId w:val="2"/>
        </w:numPr>
        <w:shd w:val="clear" w:color="auto" w:fill="FFFFFF"/>
        <w:ind w:left="-540"/>
        <w:rPr>
          <w:rFonts w:ascii="Verdana" w:hAnsi="Verdana"/>
          <w:color w:val="333333"/>
          <w:sz w:val="18"/>
          <w:szCs w:val="18"/>
        </w:rPr>
      </w:pPr>
      <w:proofErr w:type="spellStart"/>
      <w:r w:rsidRPr="00A73317">
        <w:rPr>
          <w:rFonts w:ascii="Verdana" w:hAnsi="Verdana"/>
          <w:color w:val="333333"/>
          <w:sz w:val="18"/>
          <w:szCs w:val="18"/>
          <w:shd w:val="clear" w:color="auto" w:fill="FFFFFF"/>
        </w:rPr>
        <w:t>Pengertian</w:t>
      </w:r>
      <w:proofErr w:type="spellEnd"/>
      <w:r w:rsidRPr="00A7331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  <w:shd w:val="clear" w:color="auto" w:fill="FFFFFF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adalah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/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diinginkan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mampu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dibeli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oleh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konsumen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berbagai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tingkat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dalma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jangka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waktu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tertentu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dengan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menganggap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factor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mempengaruhinya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ko</w:t>
      </w:r>
      <w:r>
        <w:rPr>
          <w:rFonts w:ascii="Verdana" w:hAnsi="Verdana"/>
          <w:color w:val="333333"/>
          <w:sz w:val="18"/>
          <w:szCs w:val="18"/>
        </w:rPr>
        <w:t>nstan</w:t>
      </w:r>
      <w:proofErr w:type="spellEnd"/>
      <w:r>
        <w:rPr>
          <w:rFonts w:ascii="Verdana" w:hAnsi="Verdana"/>
          <w:color w:val="333333"/>
          <w:sz w:val="18"/>
          <w:szCs w:val="18"/>
        </w:rPr>
        <w:t>/</w:t>
      </w:r>
      <w:proofErr w:type="spellStart"/>
      <w:r>
        <w:rPr>
          <w:rFonts w:ascii="Verdana" w:hAnsi="Verdana"/>
          <w:color w:val="333333"/>
          <w:sz w:val="18"/>
          <w:szCs w:val="18"/>
        </w:rPr>
        <w:t>tetap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(ceteris paribus)</w:t>
      </w:r>
    </w:p>
    <w:p w:rsidR="00A73317" w:rsidRDefault="00A73317" w:rsidP="00A73317">
      <w:pPr>
        <w:pStyle w:val="NormalWeb"/>
        <w:numPr>
          <w:ilvl w:val="0"/>
          <w:numId w:val="2"/>
        </w:numPr>
        <w:shd w:val="clear" w:color="auto" w:fill="FFFFFF"/>
        <w:ind w:left="-540"/>
        <w:rPr>
          <w:rFonts w:ascii="Verdana" w:hAnsi="Verdana"/>
          <w:color w:val="333333"/>
          <w:sz w:val="18"/>
          <w:szCs w:val="18"/>
        </w:rPr>
      </w:pPr>
      <w:proofErr w:type="spellStart"/>
      <w:r w:rsidRPr="00A73317">
        <w:rPr>
          <w:rFonts w:ascii="Verdana" w:hAnsi="Verdana"/>
          <w:color w:val="333333"/>
          <w:sz w:val="18"/>
          <w:szCs w:val="18"/>
        </w:rPr>
        <w:t>Jenis-jenis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a.Berdasarkan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beli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  <w:t>1)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efektif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yaitu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terhadap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disertai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beli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melakukan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transaksi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.</w:t>
      </w:r>
      <w:r w:rsidRPr="00A73317">
        <w:rPr>
          <w:rFonts w:ascii="Verdana" w:hAnsi="Verdana"/>
          <w:color w:val="333333"/>
          <w:sz w:val="18"/>
          <w:szCs w:val="18"/>
        </w:rPr>
        <w:br/>
        <w:t>2)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potensial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yaitu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terhadap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atua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disertai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beli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tetapi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konsumen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masih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mempertimbangkan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transaksinya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(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belum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dilakukan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transaksi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)</w:t>
      </w:r>
      <w:r w:rsidRPr="00A73317">
        <w:rPr>
          <w:rFonts w:ascii="Verdana" w:hAnsi="Verdana"/>
          <w:color w:val="333333"/>
          <w:sz w:val="18"/>
          <w:szCs w:val="18"/>
        </w:rPr>
        <w:br/>
        <w:t>3)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absolute,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yaitu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terhadap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/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tidak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disertai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beli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.</w:t>
      </w:r>
      <w:r w:rsidRPr="00A73317">
        <w:rPr>
          <w:rFonts w:ascii="Verdana" w:hAnsi="Verdana"/>
          <w:color w:val="333333"/>
          <w:sz w:val="18"/>
          <w:szCs w:val="18"/>
        </w:rPr>
        <w:br/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b.Berdasarkan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melakukan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  <w:t>1)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individu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adalah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seseorang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terhadap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/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untuk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memenuhi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kebutuhan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hidupnya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.</w:t>
      </w:r>
      <w:r w:rsidRPr="00A73317">
        <w:rPr>
          <w:rFonts w:ascii="Verdana" w:hAnsi="Verdana"/>
          <w:color w:val="333333"/>
          <w:sz w:val="18"/>
          <w:szCs w:val="18"/>
        </w:rPr>
        <w:br/>
        <w:t>2)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kelompok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adalah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dari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sekelompok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orang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masyarakat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saat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bersamaan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(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penjumlahan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individu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)</w:t>
      </w:r>
    </w:p>
    <w:p w:rsidR="00A73317" w:rsidRDefault="00A73317" w:rsidP="00A73317">
      <w:pPr>
        <w:pStyle w:val="NormalWeb"/>
        <w:numPr>
          <w:ilvl w:val="0"/>
          <w:numId w:val="2"/>
        </w:numPr>
        <w:shd w:val="clear" w:color="auto" w:fill="FFFFFF"/>
        <w:ind w:left="-540"/>
        <w:rPr>
          <w:rFonts w:ascii="Verdana" w:hAnsi="Verdana"/>
          <w:color w:val="333333"/>
          <w:sz w:val="18"/>
          <w:szCs w:val="18"/>
        </w:rPr>
      </w:pPr>
      <w:proofErr w:type="spellStart"/>
      <w:r w:rsidRPr="00A73317">
        <w:rPr>
          <w:rFonts w:ascii="Verdana" w:hAnsi="Verdana"/>
          <w:color w:val="333333"/>
          <w:sz w:val="18"/>
          <w:szCs w:val="18"/>
        </w:rPr>
        <w:t>Hukum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Hukum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menyatakan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bahwa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sebuah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meningkat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kuantitas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(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)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uang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diminta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turun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sebaliknya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(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kuantitas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)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diminta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naik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.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Jika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sebuah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mengalami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penurunan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.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Dalam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hal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ini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kuantitas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diminta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berhubungan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negative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dengan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. Hokum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berlaku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dalam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ilmu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ekonomi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tidaklah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berlaku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mutlak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tetapi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bersifat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ceteris paribus.</w:t>
      </w:r>
      <w:r w:rsidRPr="00A73317">
        <w:rPr>
          <w:rFonts w:ascii="Verdana" w:hAnsi="Verdana"/>
          <w:color w:val="333333"/>
          <w:sz w:val="18"/>
          <w:szCs w:val="18"/>
        </w:rPr>
        <w:br/>
        <w:t xml:space="preserve">Factor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penyebab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tidak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berlakunya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hokum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  <w:t xml:space="preserve">a.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barang-barang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bernilai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prestise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  <w:t xml:space="preserve">b.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Harapan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suatu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berubah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  <w:t xml:space="preserve">c.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Hubungan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kuanti</w:t>
      </w:r>
      <w:r>
        <w:rPr>
          <w:rFonts w:ascii="Verdana" w:hAnsi="Verdana"/>
          <w:color w:val="333333"/>
          <w:sz w:val="18"/>
          <w:szCs w:val="18"/>
        </w:rPr>
        <w:t>tas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</w:rPr>
        <w:t>harga</w:t>
      </w:r>
      <w:proofErr w:type="spellEnd"/>
      <w:r>
        <w:rPr>
          <w:rFonts w:ascii="Verdana" w:hAnsi="Verdana"/>
          <w:color w:val="333333"/>
          <w:sz w:val="18"/>
          <w:szCs w:val="18"/>
        </w:rPr>
        <w:br/>
        <w:t xml:space="preserve">d. </w:t>
      </w:r>
      <w:proofErr w:type="spellStart"/>
      <w:r>
        <w:rPr>
          <w:rFonts w:ascii="Verdana" w:hAnsi="Verdana"/>
          <w:color w:val="333333"/>
          <w:sz w:val="18"/>
          <w:szCs w:val="18"/>
        </w:rPr>
        <w:t>Barang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inferior</w:t>
      </w:r>
    </w:p>
    <w:p w:rsidR="00A73317" w:rsidRPr="00A73317" w:rsidRDefault="00A73317" w:rsidP="00A73317">
      <w:pPr>
        <w:pStyle w:val="NormalWeb"/>
        <w:numPr>
          <w:ilvl w:val="0"/>
          <w:numId w:val="2"/>
        </w:numPr>
        <w:shd w:val="clear" w:color="auto" w:fill="FFFFFF"/>
        <w:ind w:left="-540"/>
        <w:rPr>
          <w:rFonts w:ascii="Verdana" w:hAnsi="Verdana"/>
          <w:color w:val="333333"/>
          <w:sz w:val="18"/>
          <w:szCs w:val="18"/>
        </w:rPr>
      </w:pPr>
      <w:proofErr w:type="spellStart"/>
      <w:r w:rsidRPr="00A73317">
        <w:rPr>
          <w:rFonts w:ascii="Verdana" w:hAnsi="Verdana"/>
          <w:color w:val="333333"/>
          <w:sz w:val="18"/>
          <w:szCs w:val="18"/>
        </w:rPr>
        <w:t>Skedul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br/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Skedul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adlaha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sebuah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table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memperlihatkan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hubungan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antara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kuantitas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diminta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sedangkan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adlaha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grafik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memuat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hubungan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antara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sebuah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kuantaitas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diminta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>.</w:t>
      </w:r>
      <w:r w:rsidRPr="00A73317">
        <w:rPr>
          <w:rFonts w:ascii="Verdana" w:hAnsi="Verdana"/>
          <w:color w:val="333333"/>
          <w:sz w:val="18"/>
          <w:szCs w:val="18"/>
        </w:rPr>
        <w:br/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Perhatikan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contoh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berikut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hAnsi="Verdana"/>
          <w:color w:val="333333"/>
          <w:sz w:val="18"/>
          <w:szCs w:val="18"/>
        </w:rPr>
        <w:t>ini</w:t>
      </w:r>
      <w:proofErr w:type="spellEnd"/>
      <w:r w:rsidRPr="00A73317">
        <w:rPr>
          <w:rFonts w:ascii="Verdana" w:hAnsi="Verdana"/>
          <w:color w:val="333333"/>
          <w:sz w:val="18"/>
          <w:szCs w:val="18"/>
        </w:rPr>
        <w:t xml:space="preserve"> !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063"/>
        <w:gridCol w:w="1213"/>
      </w:tblGrid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Harga</w:t>
            </w:r>
            <w:proofErr w:type="spellEnd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( P 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Jumlah</w:t>
            </w:r>
            <w:proofErr w:type="spellEnd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( Q )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180</w:t>
            </w:r>
          </w:p>
        </w:tc>
      </w:tr>
    </w:tbl>
    <w:p w:rsid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Dari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tabel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di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dapat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dikethaui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bahwa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tingkat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tinggi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barnag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diminta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sedikit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kemudian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diturunkan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secara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perlahan-lahan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mengakibatkan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semakin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bertambah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Pergeseran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Jika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terjadi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perubahan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factor-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faktor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mempengaruhi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selain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mengakibatkan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bergeser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bahwa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setiap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perubahan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mengakibatkan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pertambahan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tingkat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tertentu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menggeserkan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kanan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begitu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pula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apabila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setiap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perubahan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menurunkan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tingkat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tertentu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menggeserk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an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ke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kiri.</w:t>
      </w:r>
      <w:proofErr w:type="spellEnd"/>
    </w:p>
    <w:p w:rsidR="00A73317" w:rsidRPr="00A73317" w:rsidRDefault="00A73317" w:rsidP="00A733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bookmarkStart w:id="0" w:name="_GoBack"/>
      <w:bookmarkEnd w:id="0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Faktor-faktor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Mempengaruhi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Hal-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hal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mempengaruhi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individu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terhadap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danj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asa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antara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lain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sebagai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berikut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a. Tingkat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pendapatan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konsumen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b.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 xml:space="preserve">c.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Selera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konsumen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d.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Perkiraan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mendatang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e.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lain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berkaitan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substitusi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komplementer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).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f.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Pertambahan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penduduk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6.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Bentuk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umum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adalah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sebagai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berikut</w:t>
      </w:r>
      <w:proofErr w:type="spellEnd"/>
    </w:p>
    <w:p w:rsidR="00A73317" w:rsidRP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dimana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Q =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diminta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a =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konstanta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b =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koefisien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pengaruh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slope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p =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Untuk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persamaan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linier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menggunakan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rumus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</w:p>
    <w:p w:rsidR="00A73317" w:rsidRP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Contoh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saat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RP. 2.000,00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sebesar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800 unit,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kemudian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saat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naik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Rp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. 3.000,00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600 unit,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tentukan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permintaannya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!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Jawab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Q = a –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800 = a – 2.000b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600 = a – 3.000b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200 = – 1.000b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b = 5 –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masukan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persamaan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1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800 = a – 200 (5)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800 = a – 10.000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a = 10.800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a =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DE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Q = a –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E0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Q = 10.800 – 5p</w:t>
      </w:r>
    </w:p>
    <w:p w:rsidR="00A73317" w:rsidRP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B.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1.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Pengertian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adalah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ditawarkan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oleh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penjual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berbagai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tingkat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dalam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waktu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tertentu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2.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Jenis-jenis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a.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individu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adlaha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yangdilakuakn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oleh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satu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orang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penjual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produsen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b.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pasar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adalah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penjumlahan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dari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individu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3.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Hukum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Hukum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menyatakan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semkain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tinggi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suatu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semakin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banyak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dibutuhkan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semakin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rendah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suatu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semakin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sedikit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ditawarkan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Hukum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bersifat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ceteris paribus. Hal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ini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menunjukkan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hubungan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positif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antara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atua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dengan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kuantitas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ditawarkan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Perhatikan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tabel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berikut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ini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1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063"/>
        <w:gridCol w:w="1213"/>
      </w:tblGrid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Harga</w:t>
            </w:r>
            <w:proofErr w:type="spellEnd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( P 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Jumlah</w:t>
            </w:r>
            <w:proofErr w:type="spellEnd"/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( Q )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180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120</w:t>
            </w:r>
          </w:p>
        </w:tc>
      </w:tr>
      <w:tr w:rsidR="00A73317" w:rsidRPr="00A73317" w:rsidTr="00A733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317" w:rsidRPr="00A73317" w:rsidRDefault="00A73317" w:rsidP="00A733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A7331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</w:t>
            </w:r>
          </w:p>
        </w:tc>
      </w:tr>
    </w:tbl>
    <w:p w:rsidR="00A73317" w:rsidRP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Dari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tabel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di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samping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menyatakan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bahwa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tingakt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tinggi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ditawarkan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banyak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kemudian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turun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secara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perlahan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mengakibatkan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semakin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menurun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pula.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Begitu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berbentuk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garis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dari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kiri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bawah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kanan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berslope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positif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.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menunjukkan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bahwa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apabila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terjadi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penurunan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disertai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dengan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penurunan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terhadap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4.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Faktor-faktor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Memepngaruhi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a.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jasa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 xml:space="preserve">b.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input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biaya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produksi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c.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Teknologi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produksi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d.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Keuntungan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diinginkan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oleh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produsen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e.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Banyaknya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penjual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atau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pesaing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5.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8"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Pergeseran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9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Jika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terjadi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perubahan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factor-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faktor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mempengaruhi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selain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mengakibatkan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bergeser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Bahwa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setiap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perubahan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mengakibatkan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pertambahan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tingkat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tertentu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menggeser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kanan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begitu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apabila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setiap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perubahan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menunjukkan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tingkat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tertentu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maka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menggeser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kiri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:rsidR="00A73317" w:rsidRP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Faktor-faktor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mempengaruhi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pergeseran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kurva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a.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Perubahan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biaya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produksi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b.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Teknologi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yangdigunakan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c.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Harapan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mendapatkan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laba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d.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Harapan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masa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datang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6.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Secara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umum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ditulis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sebagai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berikut</w:t>
      </w:r>
      <w:proofErr w:type="spellEnd"/>
    </w:p>
    <w:p w:rsidR="00A73317" w:rsidRP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Untuk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menentukan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persamaan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melalui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dua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titik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A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8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Q1, Q2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9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B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8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Q2, P2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9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dengan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rumus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</w:p>
    <w:p w:rsidR="00A73317" w:rsidRPr="00A73317" w:rsidRDefault="00A73317" w:rsidP="00A733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Contoh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Pada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saat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Rp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. 700,00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abrang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ditawarkan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30 unit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kemudian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harga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naik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menjadi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Rp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. 1.000,00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jumlah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barang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yang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ditawarkan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sebanyak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50 unit,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bagaimana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fungsi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penawarannya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?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Jawab</w:t>
      </w:r>
      <w:proofErr w:type="spellEnd"/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 xml:space="preserve"> :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P – 700 = 15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8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Q – 30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9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P – 700 = 15 Q – 450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P = 15Q + 700 – 450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>P = 15 Q + 250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P-700 = 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8"/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t>Q – 30</w:t>
      </w:r>
      <w:r w:rsidRPr="00A73317">
        <w:rPr>
          <w:rFonts w:ascii="Verdana" w:eastAsia="Times New Roman" w:hAnsi="Verdana" w:cs="Times New Roman"/>
          <w:color w:val="333333"/>
          <w:sz w:val="18"/>
          <w:szCs w:val="18"/>
        </w:rPr>
        <w:sym w:font="Symbol" w:char="F029"/>
      </w:r>
    </w:p>
    <w:p w:rsidR="00A73317" w:rsidRPr="00A73317" w:rsidRDefault="00A73317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sectPr w:rsidR="00A73317" w:rsidRPr="00A7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EAF"/>
    <w:multiLevelType w:val="hybridMultilevel"/>
    <w:tmpl w:val="1BBE8E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B0EE1"/>
    <w:multiLevelType w:val="hybridMultilevel"/>
    <w:tmpl w:val="1CB6D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11D1B"/>
    <w:multiLevelType w:val="hybridMultilevel"/>
    <w:tmpl w:val="74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35F2"/>
    <w:multiLevelType w:val="hybridMultilevel"/>
    <w:tmpl w:val="AB04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17"/>
    <w:rsid w:val="00112602"/>
    <w:rsid w:val="00194EDC"/>
    <w:rsid w:val="004E1138"/>
    <w:rsid w:val="005B4CF0"/>
    <w:rsid w:val="00735447"/>
    <w:rsid w:val="007A52FF"/>
    <w:rsid w:val="007D6E60"/>
    <w:rsid w:val="00811085"/>
    <w:rsid w:val="009F4FBC"/>
    <w:rsid w:val="00A73317"/>
    <w:rsid w:val="00A735AE"/>
    <w:rsid w:val="00AA4B13"/>
    <w:rsid w:val="00B85146"/>
    <w:rsid w:val="00D5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4FC6"/>
  <w15:chartTrackingRefBased/>
  <w15:docId w15:val="{D7BA5FD6-E342-4E8F-9118-1E83A2DE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</dc:creator>
  <cp:keywords/>
  <dc:description/>
  <cp:lastModifiedBy>Yonathan</cp:lastModifiedBy>
  <cp:revision>1</cp:revision>
  <dcterms:created xsi:type="dcterms:W3CDTF">2017-02-02T07:41:00Z</dcterms:created>
  <dcterms:modified xsi:type="dcterms:W3CDTF">2017-02-02T07:55:00Z</dcterms:modified>
</cp:coreProperties>
</file>