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D78"/>
          <w:sz w:val="46"/>
        </w:rPr>
        <w:t>REVUE DE VEILLE TECHNOLOGIQUE</w:t>
      </w:r>
    </w:p>
    <w:p>
      <w:pPr>
        <w:spacing w:after="320"/>
      </w:pPr>
      <w:r>
        <w:rPr>
          <w:color w:val="595959"/>
          <w:sz w:val="28"/>
        </w:rPr>
        <w:t>Trois démarches, corrections proposées et modèle cible</w:t>
      </w:r>
    </w:p>
    <w:p>
      <w:pPr>
        <w:spacing w:after="40"/>
      </w:pPr>
      <w:r>
        <w:rPr>
          <w:b/>
        </w:rPr>
        <w:t xml:space="preserve">Date : </w:t>
      </w:r>
      <w:r>
        <w:t>27 août 2026</w:t>
      </w:r>
    </w:p>
    <w:p>
      <w:pPr>
        <w:spacing w:after="40"/>
      </w:pPr>
      <w:r>
        <w:rPr>
          <w:b/>
        </w:rPr>
        <w:t xml:space="preserve">Périmètre : </w:t>
      </w:r>
      <w:r>
        <w:t>lecture manuelle ; alertes/agrégation ; radar collaboratif</w:t>
      </w:r>
    </w:p>
    <w:p>
      <w:pPr>
        <w:spacing w:after="40"/>
      </w:pPr>
      <w:r>
        <w:rPr>
          <w:b/>
        </w:rPr>
        <w:t xml:space="preserve">Statut : </w:t>
      </w:r>
      <w:r>
        <w:t>recommandations génériques, à adapter à la stack et à l’équipe</w:t>
      </w:r>
    </w:p>
    <w:p>
      <w:pPr>
        <w:pStyle w:val="Heading1"/>
      </w:pPr>
      <w:r>
        <w:t>Réponse directe</w:t>
      </w:r>
    </w:p>
    <w:p>
      <w:r>
        <w:t>Les trois démarches sont complémentaires. La lecture manuelle apporte le jugement ; l’automatisation apporte la couverture et la rapidité ; un radar partagé transforme les signaux en décisions. La correction prioritaire est une boucle en trois couches : collecte ciblée, revue humaine courte, décision trimestrielle fondée sur des critères et une preuve d’usage.</w:t>
      </w:r>
    </w:p>
    <w:p>
      <w:pPr>
        <w:pStyle w:val="Heading1"/>
      </w:pPr>
      <w:r>
        <w:t>Comparaison et corrections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b/>
              </w:rPr>
              <w:t>Démarche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b/>
              </w:rPr>
              <w:t>Forces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b/>
              </w:rPr>
              <w:t>Limites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b/>
              </w:rPr>
              <w:t>Correction concrète</w:t>
            </w:r>
          </w:p>
        </w:tc>
      </w:tr>
      <w:tr>
        <w:tc>
          <w:tcPr>
            <w:tcW w:type="dxa" w:w="2340"/>
          </w:tcPr>
          <w:p>
            <w:r>
              <w:t>1. Lecture manuelle</w:t>
            </w:r>
          </w:p>
        </w:tc>
        <w:tc>
          <w:tcPr>
            <w:tcW w:type="dxa" w:w="2340"/>
          </w:tcPr>
          <w:p>
            <w:r>
              <w:t>Contexte, nuance, signaux faibles.</w:t>
            </w:r>
          </w:p>
        </w:tc>
        <w:tc>
          <w:tcPr>
            <w:tcW w:type="dxa" w:w="2340"/>
          </w:tcPr>
          <w:p>
            <w:r>
              <w:t>Dépend des personnes ; peu de traçabilité ; couverture inégale.</w:t>
            </w:r>
          </w:p>
        </w:tc>
        <w:tc>
          <w:tcPr>
            <w:tcW w:type="dxa" w:w="2340"/>
          </w:tcPr>
          <w:p>
            <w:r>
              <w:t>Thèmes stables, fiche signal (source, impact, confiance, propriétaire), 30 min/semaine, purge des sources peu utiles.</w:t>
            </w:r>
          </w:p>
        </w:tc>
      </w:tr>
      <w:tr>
        <w:tc>
          <w:tcPr>
            <w:tcW w:type="dxa" w:w="2340"/>
          </w:tcPr>
          <w:p>
            <w:r>
              <w:t>2. Alertes et agrégation</w:t>
            </w:r>
          </w:p>
        </w:tc>
        <w:tc>
          <w:tcPr>
            <w:tcW w:type="dxa" w:w="2340"/>
          </w:tcPr>
          <w:p>
            <w:r>
              <w:t>Rapide et répétable pour CVE, versions, dépréciations, licences.</w:t>
            </w:r>
          </w:p>
        </w:tc>
        <w:tc>
          <w:tcPr>
            <w:tcW w:type="dxa" w:w="2340"/>
          </w:tcPr>
          <w:p>
            <w:r>
              <w:t>Bruit ; détection partielle ; alerte ≠ décision.</w:t>
            </w:r>
          </w:p>
        </w:tc>
        <w:tc>
          <w:tcPr>
            <w:tcW w:type="dxa" w:w="2340"/>
          </w:tcPr>
          <w:p>
            <w:r>
              <w:t>Séparer action immédiate/découverte ; SLA, responsable, règles d’escalade et motifs de clôture.</w:t>
            </w:r>
          </w:p>
        </w:tc>
      </w:tr>
      <w:tr>
        <w:tc>
          <w:tcPr>
            <w:tcW w:type="dxa" w:w="2340"/>
          </w:tcPr>
          <w:p>
            <w:r>
              <w:t>3. Radar collaboratif</w:t>
            </w:r>
          </w:p>
        </w:tc>
        <w:tc>
          <w:tcPr>
            <w:tcW w:type="dxa" w:w="2340"/>
          </w:tcPr>
          <w:p>
            <w:r>
              <w:t>Priorisation, alignement et lien avec les expérimentations.</w:t>
            </w:r>
          </w:p>
        </w:tc>
        <w:tc>
          <w:tcPr>
            <w:tcW w:type="dxa" w:w="2340"/>
          </w:tcPr>
          <w:p>
            <w:r>
              <w:t>Peut être lourd ou hors-sol sans preuve terrain.</w:t>
            </w:r>
          </w:p>
        </w:tc>
        <w:tc>
          <w:tcPr>
            <w:tcW w:type="dxa" w:w="2340"/>
          </w:tcPr>
          <w:p>
            <w:r>
              <w:t>Comité trimestriel, champion, critères de passage, date de réexamen et expiration des sujets immobiles.</w:t>
            </w:r>
          </w:p>
        </w:tc>
      </w:tr>
    </w:tbl>
    <w:p>
      <w:pPr>
        <w:pStyle w:val="Heading1"/>
      </w:pPr>
      <w:r>
        <w:t>Pourquoi ces corrections</w:t>
      </w:r>
    </w:p>
    <w:p>
      <w:pPr>
        <w:pStyle w:val="Heading2"/>
      </w:pPr>
      <w:r>
        <w:t>1. Ne pas confondre collecte et évaluation</w:t>
      </w:r>
    </w:p>
    <w:p>
      <w:r>
        <w:t>Les outils de sécurité illustrent bien cette distinction : GitHub précise que les alertes de dépendances sont limitées et propose filtrage, attribution et justification de clôture. L’automatisation doit donc créer une file de tri, pas une recommandation implicite.</w:t>
      </w:r>
    </w:p>
    <w:p>
      <w:pPr>
        <w:pStyle w:val="Heading2"/>
      </w:pPr>
      <w:r>
        <w:t>2. Exiger une preuve avant l’adoption</w:t>
      </w:r>
    </w:p>
    <w:p>
      <w:r>
        <w:t>La méthode Technology Radar de Thoughtworks distingue l’exploration de l’usage réel : « Trial » est réservé aux sujets éprouvés dans un contexte de projet. Utiliser la même logique évite de transformer une nouveauté médiatique en standard interne.</w:t>
      </w:r>
    </w:p>
    <w:p>
      <w:pPr>
        <w:pStyle w:val="Heading2"/>
      </w:pPr>
      <w:r>
        <w:t>3. Fermer la boucle décisionnelle</w:t>
      </w:r>
    </w:p>
    <w:p>
      <w:r>
        <w:t>Une veille utile produit une décision, une expérimentation ou un abandon justifié. Pour chaque sujet : problème ciblé, source primaire, impact, coût/risque, propriétaire, échéance et critère de succès.</w:t>
      </w:r>
    </w:p>
    <w:p>
      <w:pPr>
        <w:pStyle w:val="Heading1"/>
      </w:pPr>
      <w:r>
        <w:t>Modèle cible : cadence de 30 jours</w:t>
      </w:r>
    </w:p>
    <w:p>
      <w:pPr>
        <w:pStyle w:val="ListNumber"/>
      </w:pPr>
      <w:r>
        <w:rPr>
          <w:b/>
        </w:rPr>
        <w:t xml:space="preserve">Semaine 1 — Cadrer — </w:t>
      </w:r>
      <w:r>
        <w:t>Choisir thèmes, sources primaires, responsables et taxonomie : sécurité, plateformes, langages/frameworks, pratiques, données/IA.</w:t>
      </w:r>
    </w:p>
    <w:p>
      <w:pPr>
        <w:pStyle w:val="ListNumber"/>
      </w:pPr>
      <w:r>
        <w:rPr>
          <w:b/>
        </w:rPr>
        <w:t xml:space="preserve">Semaine 2 — Automatiser le factuel — </w:t>
      </w:r>
      <w:r>
        <w:t>Activer les flux adaptés au portefeuille ; définir triage, SLA et archivage.</w:t>
      </w:r>
    </w:p>
    <w:p>
      <w:pPr>
        <w:pStyle w:val="ListNumber"/>
      </w:pPr>
      <w:r>
        <w:rPr>
          <w:b/>
        </w:rPr>
        <w:t xml:space="preserve">Semaine 3 — Curater — </w:t>
      </w:r>
      <w:r>
        <w:t>Publier un digest hebdomadaire de 3 à 5 signaux : changement, impact possible et action proposée.</w:t>
      </w:r>
    </w:p>
    <w:p>
      <w:pPr>
        <w:pStyle w:val="ListNumber"/>
      </w:pPr>
      <w:r>
        <w:rPr>
          <w:b/>
        </w:rPr>
        <w:t xml:space="preserve">Semaine 4 — Décider — </w:t>
      </w:r>
      <w:r>
        <w:t>Tenir la première revue de radar : conserver, explorer, expérimenter, adopter ou éviter ; inscrire la décision dans le registre d’architecture.</w:t>
      </w:r>
    </w:p>
    <w:p>
      <w:pPr>
        <w:pStyle w:val="Heading1"/>
      </w:pPr>
      <w:r>
        <w:t>Indicateurs à suivre</w:t>
      </w:r>
    </w:p>
    <w:p>
      <w:pPr>
        <w:pStyle w:val="ListBullet"/>
      </w:pPr>
      <w:r>
        <w:t>Part des alertes critiques triées dans le SLA.</w:t>
      </w:r>
    </w:p>
    <w:p>
      <w:pPr>
        <w:pStyle w:val="ListBullet"/>
      </w:pPr>
      <w:r>
        <w:t>Ratio signal utile / éléments collectés.</w:t>
      </w:r>
    </w:p>
    <w:p>
      <w:pPr>
        <w:pStyle w:val="ListBullet"/>
      </w:pPr>
      <w:r>
        <w:t>Délai entre signal et décision.</w:t>
      </w:r>
    </w:p>
    <w:p>
      <w:pPr>
        <w:pStyle w:val="ListBullet"/>
      </w:pPr>
      <w:r>
        <w:t>Part des décisions avec source primaire et propriétaire.</w:t>
      </w:r>
    </w:p>
    <w:p>
      <w:pPr>
        <w:pStyle w:val="ListBullet"/>
      </w:pPr>
      <w:r>
        <w:t>Résultats des expérimentations : adoption, abandon justifié, report.</w:t>
      </w:r>
    </w:p>
    <w:p>
      <w:pPr>
        <w:pStyle w:val="Heading1"/>
      </w:pPr>
      <w:r>
        <w:t>Limites</w:t>
      </w:r>
    </w:p>
    <w:p>
      <w:r>
        <w:t>Les trois démarches réelles n’ont pas été fournies ; cette revue évalue donc trois modèles usuels. Les fréquences, seuils et SLA sont à ajuster à l’exposition sécurité, la taille de l’équipe et le rythme produit.</w:t>
      </w:r>
    </w:p>
    <w:p>
      <w:pPr>
        <w:pStyle w:val="Heading1"/>
      </w:pPr>
      <w:r>
        <w:t>Sources</w:t>
      </w:r>
    </w:p>
    <w:p>
      <w:pPr>
        <w:pStyle w:val="ListBullet"/>
        <w:spacing w:after="60"/>
      </w:pPr>
      <w:r>
        <w:rPr>
          <w:color w:val="0563C1"/>
          <w:sz w:val="18"/>
        </w:rPr>
        <w:t>Thoughtworks — FAQ Technology Radar — https://www.thoughtworks.com/radar/faq</w:t>
      </w:r>
    </w:p>
    <w:p>
      <w:pPr>
        <w:pStyle w:val="ListBullet"/>
        <w:spacing w:after="60"/>
      </w:pPr>
      <w:r>
        <w:rPr>
          <w:color w:val="0563C1"/>
          <w:sz w:val="18"/>
        </w:rPr>
        <w:t>Thoughtworks — How to create your enterprise technology radar — https://www.thoughtworks.com/insights/blog/technology-strategy/how-to-create-your-enterprise-technology-radar</w:t>
      </w:r>
    </w:p>
    <w:p>
      <w:pPr>
        <w:pStyle w:val="ListBullet"/>
        <w:spacing w:after="60"/>
      </w:pPr>
      <w:r>
        <w:rPr>
          <w:color w:val="0563C1"/>
          <w:sz w:val="18"/>
        </w:rPr>
        <w:t>GitHub Docs — Dependabot alerts — https://docs.github.com/en/code-security/concepts/supply-chain-security/dependabot-alerts</w:t>
      </w:r>
    </w:p>
    <w:p>
      <w:pPr>
        <w:pStyle w:val="ListBullet"/>
        <w:spacing w:after="60"/>
      </w:pPr>
      <w:r>
        <w:rPr>
          <w:color w:val="0563C1"/>
          <w:sz w:val="18"/>
        </w:rPr>
        <w:t>GitHub Docs — Viewing and updating Dependabot alerts — https://docs.github.com/en/code-security/how-tos/manage-security-alerts/manage-dependabot-alerts/view-dependabot-alerts</w:t>
      </w:r>
    </w:p>
    <w:p>
      <w:pPr>
        <w:pStyle w:val="ListBullet"/>
        <w:spacing w:after="60"/>
      </w:pPr>
      <w:r>
        <w:rPr>
          <w:color w:val="0563C1"/>
          <w:sz w:val="18"/>
        </w:rPr>
        <w:t>OWASP — DevSecOps Guideline: Software Composition Analysis — https://owasp.org/www-project-devsecops-guideline/latest/02d-Software-Composition-Analysis</w:t>
      </w:r>
    </w:p>
    <w:p>
      <w:pPr>
        <w:pStyle w:val="ListBullet"/>
        <w:spacing w:after="60"/>
      </w:pPr>
      <w:r>
        <w:rPr>
          <w:color w:val="0563C1"/>
          <w:sz w:val="18"/>
        </w:rPr>
        <w:t>CISA — Reducing the Significant Risk of Known Exploited Vulnerabilities — https://www.cisa.gov/sites/default/files/publications/Reducing_the_Significant_Risk_of_Known_Exploited_Vulnerabilities_20211103.pdf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Revue de veille technologique | 27 août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