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126" w:rsidRDefault="002F7126" w:rsidP="002F712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07300">
        <w:rPr>
          <w:rFonts w:ascii="標楷體" w:eastAsia="標楷體" w:hAnsi="標楷體" w:hint="eastAsia"/>
        </w:rPr>
        <w:t>學生在期初</w:t>
      </w:r>
      <w:r w:rsidRPr="00607300">
        <w:rPr>
          <w:rFonts w:ascii="Times New Roman" w:eastAsia="標楷體" w:hAnsi="Times New Roman" w:cs="Times New Roman"/>
        </w:rPr>
        <w:t>(Prior knowledge)</w:t>
      </w:r>
      <w:r w:rsidRPr="00607300">
        <w:rPr>
          <w:rFonts w:ascii="標楷體" w:eastAsia="標楷體" w:hAnsi="標楷體" w:hint="eastAsia"/>
        </w:rPr>
        <w:t>與期末</w:t>
      </w:r>
      <w:r w:rsidRPr="00607300">
        <w:rPr>
          <w:rFonts w:ascii="Times New Roman" w:eastAsia="標楷體" w:hAnsi="Times New Roman" w:cs="Times New Roman"/>
        </w:rPr>
        <w:t>(Final Score)</w:t>
      </w:r>
      <w:r w:rsidRPr="00607300">
        <w:rPr>
          <w:rFonts w:ascii="標楷體" w:eastAsia="標楷體" w:hAnsi="標楷體" w:hint="eastAsia"/>
        </w:rPr>
        <w:t xml:space="preserve">的學習成果，是否有顯著進步? </w:t>
      </w:r>
    </w:p>
    <w:p w:rsidR="00607300" w:rsidRPr="00607300" w:rsidRDefault="00607300" w:rsidP="00607300">
      <w:pPr>
        <w:pStyle w:val="a3"/>
        <w:ind w:leftChars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常態檢定</w:t>
      </w:r>
    </w:p>
    <w:tbl>
      <w:tblPr>
        <w:tblStyle w:val="a4"/>
        <w:tblW w:w="10293" w:type="dxa"/>
        <w:tblInd w:w="4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389"/>
        <w:gridCol w:w="1390"/>
        <w:gridCol w:w="1389"/>
        <w:gridCol w:w="1390"/>
        <w:gridCol w:w="1389"/>
        <w:gridCol w:w="1390"/>
      </w:tblGrid>
      <w:tr w:rsidR="006C1351" w:rsidRPr="00607300" w:rsidTr="00031631">
        <w:tc>
          <w:tcPr>
            <w:tcW w:w="1956" w:type="dxa"/>
            <w:vMerge w:val="restart"/>
            <w:tcBorders>
              <w:top w:val="single" w:sz="18" w:space="0" w:color="000000"/>
              <w:right w:val="nil"/>
            </w:tcBorders>
            <w:vAlign w:val="center"/>
          </w:tcPr>
          <w:p w:rsidR="006C1351" w:rsidRPr="00607300" w:rsidRDefault="006C1351" w:rsidP="002F7126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4168" w:type="dxa"/>
            <w:gridSpan w:val="3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Kolmogorov-Smirnov</w:t>
            </w:r>
            <w:r w:rsidRPr="00607300">
              <w:rPr>
                <w:rFonts w:ascii="標楷體" w:eastAsia="標楷體" w:hAnsi="標楷體" w:hint="eastAsia"/>
              </w:rPr>
              <w:t>檢定</w:t>
            </w:r>
          </w:p>
        </w:tc>
        <w:tc>
          <w:tcPr>
            <w:tcW w:w="4169" w:type="dxa"/>
            <w:gridSpan w:val="3"/>
            <w:tcBorders>
              <w:top w:val="single" w:sz="18" w:space="0" w:color="000000"/>
              <w:lef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Shapiro-Wilk</w:t>
            </w:r>
            <w:r w:rsidRPr="00607300">
              <w:rPr>
                <w:rFonts w:ascii="標楷體" w:eastAsia="標楷體" w:hAnsi="標楷體" w:hint="eastAsia"/>
              </w:rPr>
              <w:t xml:space="preserve"> 常態性檢定</w:t>
            </w:r>
          </w:p>
        </w:tc>
      </w:tr>
      <w:tr w:rsidR="00421851" w:rsidRPr="00607300" w:rsidTr="00031631">
        <w:tc>
          <w:tcPr>
            <w:tcW w:w="1956" w:type="dxa"/>
            <w:vMerge/>
            <w:tcBorders>
              <w:bottom w:val="single" w:sz="18" w:space="0" w:color="000000"/>
              <w:right w:val="nil"/>
            </w:tcBorders>
            <w:vAlign w:val="center"/>
          </w:tcPr>
          <w:p w:rsidR="006C1351" w:rsidRPr="00607300" w:rsidRDefault="006C1351" w:rsidP="002F7126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138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39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38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  <w:tc>
          <w:tcPr>
            <w:tcW w:w="139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38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390" w:type="dxa"/>
            <w:tcBorders>
              <w:top w:val="single" w:sz="18" w:space="0" w:color="000000"/>
              <w:left w:val="nil"/>
              <w:bottom w:val="single" w:sz="18" w:space="0" w:color="000000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</w:tr>
      <w:tr w:rsidR="00421851" w:rsidRPr="00607300" w:rsidTr="00031631">
        <w:tc>
          <w:tcPr>
            <w:tcW w:w="1956" w:type="dxa"/>
            <w:tcBorders>
              <w:top w:val="single" w:sz="18" w:space="0" w:color="000000"/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Prior knowledge</w:t>
            </w:r>
          </w:p>
        </w:tc>
        <w:tc>
          <w:tcPr>
            <w:tcW w:w="1389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.168</w:t>
            </w:r>
          </w:p>
        </w:tc>
        <w:tc>
          <w:tcPr>
            <w:tcW w:w="1390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89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.143</w:t>
            </w:r>
          </w:p>
        </w:tc>
        <w:tc>
          <w:tcPr>
            <w:tcW w:w="1390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.923</w:t>
            </w:r>
          </w:p>
        </w:tc>
        <w:tc>
          <w:tcPr>
            <w:tcW w:w="1389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90" w:type="dxa"/>
            <w:tcBorders>
              <w:top w:val="single" w:sz="18" w:space="0" w:color="000000"/>
              <w:left w:val="nil"/>
              <w:bottom w:val="single" w:sz="2" w:space="0" w:color="auto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.112</w:t>
            </w:r>
          </w:p>
        </w:tc>
      </w:tr>
      <w:tr w:rsidR="00031631" w:rsidRPr="00607300" w:rsidTr="00031631">
        <w:tc>
          <w:tcPr>
            <w:tcW w:w="1956" w:type="dxa"/>
            <w:tcBorders>
              <w:right w:val="nil"/>
            </w:tcBorders>
            <w:vAlign w:val="center"/>
          </w:tcPr>
          <w:p w:rsidR="006C1351" w:rsidRPr="00607300" w:rsidRDefault="006C135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Final Score</w:t>
            </w:r>
          </w:p>
        </w:tc>
        <w:tc>
          <w:tcPr>
            <w:tcW w:w="1389" w:type="dxa"/>
            <w:tcBorders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.202</w:t>
            </w:r>
          </w:p>
        </w:tc>
        <w:tc>
          <w:tcPr>
            <w:tcW w:w="1390" w:type="dxa"/>
            <w:tcBorders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89" w:type="dxa"/>
            <w:tcBorders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.032</w:t>
            </w:r>
          </w:p>
        </w:tc>
        <w:tc>
          <w:tcPr>
            <w:tcW w:w="1390" w:type="dxa"/>
            <w:tcBorders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.932</w:t>
            </w:r>
          </w:p>
        </w:tc>
        <w:tc>
          <w:tcPr>
            <w:tcW w:w="1389" w:type="dxa"/>
            <w:tcBorders>
              <w:left w:val="nil"/>
              <w:righ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90" w:type="dxa"/>
            <w:tcBorders>
              <w:top w:val="single" w:sz="2" w:space="0" w:color="auto"/>
              <w:left w:val="nil"/>
            </w:tcBorders>
            <w:vAlign w:val="center"/>
          </w:tcPr>
          <w:p w:rsidR="006C1351" w:rsidRPr="00607300" w:rsidRDefault="006C1351" w:rsidP="0060730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.168</w:t>
            </w:r>
          </w:p>
        </w:tc>
      </w:tr>
    </w:tbl>
    <w:p w:rsidR="006C1351" w:rsidRPr="00607300" w:rsidRDefault="006C1351" w:rsidP="006C1351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</w:t>
      </w:r>
      <w:r w:rsidR="00335897" w:rsidRPr="00607300">
        <w:rPr>
          <w:rFonts w:ascii="Times New Roman" w:eastAsia="標楷體" w:hAnsi="Times New Roman" w:cs="Times New Roman"/>
          <w:i/>
          <w:iCs/>
          <w:color w:val="000000"/>
        </w:rPr>
        <w:t>,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 xml:space="preserve"> **p&lt;.01</w:t>
      </w:r>
      <w:r w:rsidR="00335897" w:rsidRPr="00607300">
        <w:rPr>
          <w:rFonts w:ascii="Times New Roman" w:eastAsia="標楷體" w:hAnsi="Times New Roman" w:cs="Times New Roman"/>
          <w:i/>
          <w:iCs/>
          <w:color w:val="000000"/>
        </w:rPr>
        <w:t>, ***p&lt;.001</w:t>
      </w:r>
    </w:p>
    <w:p w:rsidR="006C1351" w:rsidRPr="00607300" w:rsidRDefault="006C1351" w:rsidP="006C1351">
      <w:pPr>
        <w:pStyle w:val="a3"/>
        <w:ind w:leftChars="0"/>
        <w:rPr>
          <w:rFonts w:ascii="標楷體" w:eastAsia="標楷體" w:hAnsi="標楷體"/>
        </w:rPr>
      </w:pPr>
      <w:r w:rsidRPr="00607300">
        <w:rPr>
          <w:rFonts w:ascii="標楷體" w:eastAsia="標楷體" w:hAnsi="標楷體" w:hint="eastAsia"/>
        </w:rPr>
        <w:t>因為樣本數較小，因此採用</w:t>
      </w:r>
      <w:r w:rsidRPr="00607300">
        <w:rPr>
          <w:rFonts w:ascii="Times New Roman" w:eastAsia="標楷體" w:hAnsi="Times New Roman" w:cs="Times New Roman"/>
        </w:rPr>
        <w:t>Shapiro-Wilk</w:t>
      </w:r>
      <w:r w:rsidRPr="00607300">
        <w:rPr>
          <w:rFonts w:ascii="標楷體" w:eastAsia="標楷體" w:hAnsi="標楷體" w:hint="eastAsia"/>
        </w:rPr>
        <w:t xml:space="preserve"> 常態性檢定查看有無常態分佈，而兩個變數的</w:t>
      </w:r>
      <w:r w:rsidRPr="003A4FF4">
        <w:rPr>
          <w:rFonts w:ascii="Times New Roman" w:eastAsia="標楷體" w:hAnsi="Times New Roman" w:cs="Times New Roman"/>
          <w:highlight w:val="yellow"/>
        </w:rPr>
        <w:t>p</w:t>
      </w:r>
      <w:r w:rsidRPr="003A4FF4">
        <w:rPr>
          <w:rFonts w:ascii="標楷體" w:eastAsia="標楷體" w:hAnsi="標楷體" w:hint="eastAsia"/>
          <w:highlight w:val="yellow"/>
        </w:rPr>
        <w:t xml:space="preserve">值均大於 </w:t>
      </w:r>
      <w:r w:rsidRPr="003A4FF4">
        <w:rPr>
          <w:rFonts w:ascii="Times New Roman" w:eastAsia="標楷體" w:hAnsi="Times New Roman" w:cs="Times New Roman"/>
          <w:highlight w:val="yellow"/>
        </w:rPr>
        <w:t>0.05</w:t>
      </w:r>
      <w:r w:rsidRPr="00607300">
        <w:rPr>
          <w:rFonts w:ascii="標楷體" w:eastAsia="標楷體" w:hAnsi="標楷體" w:hint="eastAsia"/>
        </w:rPr>
        <w:t>，意味著兩組數據都</w:t>
      </w:r>
      <w:r w:rsidRPr="00787B1A">
        <w:rPr>
          <w:rFonts w:ascii="標楷體" w:eastAsia="標楷體" w:hAnsi="標楷體" w:hint="eastAsia"/>
          <w:highlight w:val="yellow"/>
        </w:rPr>
        <w:t>沒有顯著偏離</w:t>
      </w:r>
      <w:r w:rsidR="003A4FF4" w:rsidRPr="00787B1A">
        <w:rPr>
          <w:rFonts w:ascii="標楷體" w:eastAsia="標楷體" w:hAnsi="標楷體" w:hint="eastAsia"/>
          <w:highlight w:val="yellow"/>
        </w:rPr>
        <w:t>常</w:t>
      </w:r>
      <w:r w:rsidRPr="00787B1A">
        <w:rPr>
          <w:rFonts w:ascii="標楷體" w:eastAsia="標楷體" w:hAnsi="標楷體" w:hint="eastAsia"/>
          <w:highlight w:val="yellow"/>
        </w:rPr>
        <w:t>態分佈</w:t>
      </w:r>
      <w:r w:rsidRPr="00607300">
        <w:rPr>
          <w:rFonts w:ascii="標楷體" w:eastAsia="標楷體" w:hAnsi="標楷體" w:hint="eastAsia"/>
        </w:rPr>
        <w:t>。</w:t>
      </w:r>
      <w:r w:rsidR="00335897" w:rsidRPr="00607300">
        <w:rPr>
          <w:rFonts w:ascii="標楷體" w:eastAsia="標楷體" w:hAnsi="標楷體" w:hint="eastAsia"/>
        </w:rPr>
        <w:t>因此使用成對樣本</w:t>
      </w:r>
      <w:r w:rsidR="00335897" w:rsidRPr="00607300">
        <w:rPr>
          <w:rFonts w:ascii="Times New Roman" w:eastAsia="標楷體" w:hAnsi="Times New Roman" w:cs="Times New Roman"/>
        </w:rPr>
        <w:t>t</w:t>
      </w:r>
      <w:r w:rsidR="00335897" w:rsidRPr="00607300">
        <w:rPr>
          <w:rFonts w:ascii="標楷體" w:eastAsia="標楷體" w:hAnsi="標楷體" w:hint="eastAsia"/>
        </w:rPr>
        <w:t>檢定檢查學生在期初和期末的成績是否有顯著進步。</w:t>
      </w:r>
    </w:p>
    <w:p w:rsidR="00607300" w:rsidRPr="00607300" w:rsidRDefault="00607300" w:rsidP="00421851">
      <w:pPr>
        <w:pStyle w:val="a3"/>
        <w:ind w:leftChars="0"/>
        <w:jc w:val="center"/>
        <w:rPr>
          <w:rFonts w:ascii="標楷體" w:eastAsia="標楷體" w:hAnsi="標楷體" w:hint="eastAsia"/>
        </w:rPr>
      </w:pPr>
      <w:r w:rsidRPr="00607300">
        <w:rPr>
          <w:rFonts w:ascii="標楷體" w:eastAsia="標楷體" w:hAnsi="標楷體" w:hint="eastAsia"/>
        </w:rPr>
        <w:t>成對樣本</w:t>
      </w:r>
      <w:r w:rsidRPr="00607300">
        <w:rPr>
          <w:rFonts w:ascii="Times New Roman" w:eastAsia="標楷體" w:hAnsi="Times New Roman" w:cs="Times New Roman"/>
        </w:rPr>
        <w:t>t</w:t>
      </w:r>
      <w:r w:rsidRPr="00607300">
        <w:rPr>
          <w:rFonts w:ascii="標楷體" w:eastAsia="標楷體" w:hAnsi="標楷體" w:hint="eastAsia"/>
        </w:rPr>
        <w:t>檢定</w:t>
      </w:r>
    </w:p>
    <w:tbl>
      <w:tblPr>
        <w:tblStyle w:val="a4"/>
        <w:tblW w:w="10221" w:type="dxa"/>
        <w:tblInd w:w="552" w:type="dxa"/>
        <w:tblBorders>
          <w:top w:val="single" w:sz="18" w:space="0" w:color="auto"/>
          <w:left w:val="none" w:sz="0" w:space="0" w:color="auto"/>
          <w:right w:val="none" w:sz="0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2349"/>
        <w:gridCol w:w="1574"/>
        <w:gridCol w:w="1574"/>
        <w:gridCol w:w="1575"/>
        <w:gridCol w:w="1574"/>
        <w:gridCol w:w="1575"/>
      </w:tblGrid>
      <w:tr w:rsidR="00421851" w:rsidRPr="00607300" w:rsidTr="00031631">
        <w:tc>
          <w:tcPr>
            <w:tcW w:w="2349" w:type="dxa"/>
            <w:tcBorders>
              <w:right w:val="nil"/>
            </w:tcBorders>
            <w:vAlign w:val="center"/>
          </w:tcPr>
          <w:p w:rsidR="00335897" w:rsidRPr="00607300" w:rsidRDefault="00607300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1574" w:type="dxa"/>
            <w:tcBorders>
              <w:left w:val="nil"/>
              <w:right w:val="nil"/>
            </w:tcBorders>
            <w:vAlign w:val="center"/>
          </w:tcPr>
          <w:p w:rsidR="00335897" w:rsidRPr="00607300" w:rsidRDefault="00335897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07300">
              <w:rPr>
                <w:rFonts w:ascii="Times New Roman" w:eastAsia="標楷體" w:hAnsi="Times New Roman" w:cs="Times New Roman"/>
                <w:i/>
              </w:rPr>
              <w:t>N</w:t>
            </w:r>
          </w:p>
        </w:tc>
        <w:tc>
          <w:tcPr>
            <w:tcW w:w="1574" w:type="dxa"/>
            <w:tcBorders>
              <w:left w:val="nil"/>
              <w:right w:val="nil"/>
            </w:tcBorders>
            <w:vAlign w:val="center"/>
          </w:tcPr>
          <w:p w:rsidR="00335897" w:rsidRPr="00607300" w:rsidRDefault="00335897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07300">
              <w:rPr>
                <w:rFonts w:ascii="Times New Roman" w:eastAsia="標楷體" w:hAnsi="Times New Roman" w:cs="Times New Roman"/>
                <w:i/>
              </w:rPr>
              <w:t>M</w:t>
            </w:r>
          </w:p>
        </w:tc>
        <w:tc>
          <w:tcPr>
            <w:tcW w:w="1575" w:type="dxa"/>
            <w:tcBorders>
              <w:left w:val="nil"/>
              <w:right w:val="nil"/>
            </w:tcBorders>
            <w:vAlign w:val="center"/>
          </w:tcPr>
          <w:p w:rsidR="00335897" w:rsidRPr="00607300" w:rsidRDefault="00335897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07300">
              <w:rPr>
                <w:rFonts w:ascii="Times New Roman" w:eastAsia="標楷體" w:hAnsi="Times New Roman" w:cs="Times New Roman"/>
                <w:i/>
              </w:rPr>
              <w:t>SD</w:t>
            </w:r>
          </w:p>
        </w:tc>
        <w:tc>
          <w:tcPr>
            <w:tcW w:w="1574" w:type="dxa"/>
            <w:tcBorders>
              <w:left w:val="nil"/>
              <w:right w:val="nil"/>
            </w:tcBorders>
            <w:vAlign w:val="center"/>
          </w:tcPr>
          <w:p w:rsidR="00335897" w:rsidRPr="00607300" w:rsidRDefault="00335897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07300">
              <w:rPr>
                <w:rFonts w:ascii="Times New Roman" w:eastAsia="標楷體" w:hAnsi="Times New Roman" w:cs="Times New Roman"/>
                <w:i/>
              </w:rPr>
              <w:t>t</w:t>
            </w:r>
          </w:p>
        </w:tc>
        <w:tc>
          <w:tcPr>
            <w:tcW w:w="1575" w:type="dxa"/>
            <w:tcBorders>
              <w:left w:val="nil"/>
            </w:tcBorders>
            <w:vAlign w:val="center"/>
          </w:tcPr>
          <w:p w:rsidR="00335897" w:rsidRPr="00607300" w:rsidRDefault="00335897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07300">
              <w:rPr>
                <w:rFonts w:ascii="Times New Roman" w:eastAsia="標楷體" w:hAnsi="Times New Roman" w:cs="Times New Roman"/>
                <w:i/>
              </w:rPr>
              <w:t>p</w:t>
            </w:r>
          </w:p>
        </w:tc>
      </w:tr>
      <w:tr w:rsidR="00421851" w:rsidRPr="00607300" w:rsidTr="00031631">
        <w:trPr>
          <w:trHeight w:val="730"/>
        </w:trPr>
        <w:tc>
          <w:tcPr>
            <w:tcW w:w="2349" w:type="dxa"/>
            <w:tcBorders>
              <w:right w:val="nil"/>
            </w:tcBorders>
            <w:vAlign w:val="center"/>
          </w:tcPr>
          <w:p w:rsidR="00607300" w:rsidRPr="00607300" w:rsidRDefault="00607300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PriorKnowledgeScore</w:t>
            </w:r>
            <w:r w:rsidR="0002221F">
              <w:rPr>
                <w:rFonts w:ascii="Times New Roman" w:eastAsia="標楷體" w:hAnsi="Times New Roman" w:cs="Times New Roman" w:hint="eastAsia"/>
              </w:rPr>
              <w:t xml:space="preserve"> -</w:t>
            </w:r>
            <w:r w:rsidRPr="00607300">
              <w:rPr>
                <w:rFonts w:ascii="Times New Roman" w:eastAsia="標楷體" w:hAnsi="Times New Roman" w:cs="Times New Roman"/>
              </w:rPr>
              <w:t xml:space="preserve"> FinalScore</w:t>
            </w:r>
          </w:p>
        </w:tc>
        <w:tc>
          <w:tcPr>
            <w:tcW w:w="1574" w:type="dxa"/>
            <w:tcBorders>
              <w:left w:val="nil"/>
              <w:right w:val="nil"/>
            </w:tcBorders>
            <w:vAlign w:val="center"/>
          </w:tcPr>
          <w:p w:rsidR="00607300" w:rsidRPr="00607300" w:rsidRDefault="00607300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574" w:type="dxa"/>
            <w:tcBorders>
              <w:left w:val="nil"/>
              <w:right w:val="nil"/>
            </w:tcBorders>
            <w:vAlign w:val="center"/>
          </w:tcPr>
          <w:p w:rsidR="00607300" w:rsidRPr="00607300" w:rsidRDefault="00607300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-7.750</w:t>
            </w:r>
          </w:p>
        </w:tc>
        <w:tc>
          <w:tcPr>
            <w:tcW w:w="1575" w:type="dxa"/>
            <w:tcBorders>
              <w:left w:val="nil"/>
              <w:right w:val="nil"/>
            </w:tcBorders>
            <w:vAlign w:val="center"/>
          </w:tcPr>
          <w:p w:rsidR="00607300" w:rsidRPr="00607300" w:rsidRDefault="00607300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7.532</w:t>
            </w:r>
          </w:p>
        </w:tc>
        <w:tc>
          <w:tcPr>
            <w:tcW w:w="1574" w:type="dxa"/>
            <w:tcBorders>
              <w:left w:val="nil"/>
              <w:right w:val="nil"/>
            </w:tcBorders>
            <w:vAlign w:val="center"/>
          </w:tcPr>
          <w:p w:rsidR="00607300" w:rsidRPr="00607300" w:rsidRDefault="00607300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-4.602</w:t>
            </w:r>
          </w:p>
        </w:tc>
        <w:tc>
          <w:tcPr>
            <w:tcW w:w="1575" w:type="dxa"/>
            <w:tcBorders>
              <w:left w:val="nil"/>
            </w:tcBorders>
            <w:vAlign w:val="center"/>
          </w:tcPr>
          <w:p w:rsidR="00607300" w:rsidRPr="00607300" w:rsidRDefault="00607300" w:rsidP="00421851">
            <w:pPr>
              <w:pStyle w:val="a3"/>
              <w:ind w:leftChars="0" w:hanging="48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.000</w:t>
            </w:r>
            <w:r w:rsidRPr="00607300">
              <w:rPr>
                <w:rFonts w:ascii="Times New Roman" w:eastAsia="標楷體" w:hAnsi="Times New Roman" w:cs="Times New Roman"/>
                <w:iCs/>
                <w:color w:val="000000"/>
              </w:rPr>
              <w:t>***</w:t>
            </w:r>
          </w:p>
        </w:tc>
      </w:tr>
    </w:tbl>
    <w:p w:rsidR="00335897" w:rsidRDefault="00607300" w:rsidP="00607300">
      <w:pPr>
        <w:pStyle w:val="a3"/>
        <w:ind w:leftChars="0"/>
        <w:rPr>
          <w:rFonts w:ascii="Times New Roman" w:eastAsia="標楷體" w:hAnsi="Times New Roman" w:cs="Times New Roman"/>
          <w:i/>
          <w:iCs/>
          <w:color w:val="000000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787B1A" w:rsidRDefault="003A4FF4" w:rsidP="00607300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 w:hint="eastAsia"/>
        </w:rPr>
        <w:t>值小於</w:t>
      </w:r>
      <w:r>
        <w:rPr>
          <w:rFonts w:ascii="Times New Roman" w:eastAsia="標楷體" w:hAnsi="Times New Roman" w:cs="Times New Roman" w:hint="eastAsia"/>
        </w:rPr>
        <w:t>0.001</w:t>
      </w:r>
      <w:r>
        <w:rPr>
          <w:rFonts w:ascii="Times New Roman" w:eastAsia="標楷體" w:hAnsi="Times New Roman" w:cs="Times New Roman" w:hint="eastAsia"/>
        </w:rPr>
        <w:t>，可以知道期初與期末具有顯著差異，又因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 w:hint="eastAsia"/>
        </w:rPr>
        <w:t>值為負數，可知</w:t>
      </w:r>
      <w:r w:rsidR="0002221F">
        <w:rPr>
          <w:rFonts w:ascii="Times New Roman" w:eastAsia="標楷體" w:hAnsi="Times New Roman" w:cs="Times New Roman" w:hint="eastAsia"/>
        </w:rPr>
        <w:t>期末</w:t>
      </w:r>
      <w:proofErr w:type="gramStart"/>
      <w:r w:rsidR="0002221F">
        <w:rPr>
          <w:rFonts w:ascii="Times New Roman" w:eastAsia="標楷體" w:hAnsi="Times New Roman" w:cs="Times New Roman" w:hint="eastAsia"/>
        </w:rPr>
        <w:t>成績較期初</w:t>
      </w:r>
      <w:proofErr w:type="gramEnd"/>
      <w:r w:rsidR="0002221F">
        <w:rPr>
          <w:rFonts w:ascii="Times New Roman" w:eastAsia="標楷體" w:hAnsi="Times New Roman" w:cs="Times New Roman" w:hint="eastAsia"/>
        </w:rPr>
        <w:t>高，因此</w:t>
      </w:r>
      <w:r w:rsidRPr="003A4FF4">
        <w:rPr>
          <w:rFonts w:ascii="Times New Roman" w:eastAsia="標楷體" w:hAnsi="Times New Roman" w:cs="Times New Roman" w:hint="eastAsia"/>
          <w:highlight w:val="yellow"/>
        </w:rPr>
        <w:t>學生的學習成果在期末有顯著</w:t>
      </w:r>
      <w:r w:rsidR="0002221F">
        <w:rPr>
          <w:rFonts w:ascii="Times New Roman" w:eastAsia="標楷體" w:hAnsi="Times New Roman" w:cs="Times New Roman" w:hint="eastAsia"/>
          <w:highlight w:val="yellow"/>
        </w:rPr>
        <w:t>進</w:t>
      </w:r>
      <w:r w:rsidRPr="003A4FF4">
        <w:rPr>
          <w:rFonts w:ascii="Times New Roman" w:eastAsia="標楷體" w:hAnsi="Times New Roman" w:cs="Times New Roman" w:hint="eastAsia"/>
          <w:highlight w:val="yellow"/>
        </w:rPr>
        <w:t>步</w:t>
      </w:r>
      <w:r>
        <w:rPr>
          <w:rFonts w:ascii="Times New Roman" w:eastAsia="標楷體" w:hAnsi="Times New Roman" w:cs="Times New Roman" w:hint="eastAsia"/>
        </w:rPr>
        <w:t>。</w:t>
      </w:r>
    </w:p>
    <w:p w:rsidR="00787B1A" w:rsidRDefault="00787B1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87B1A" w:rsidRDefault="002F7126" w:rsidP="002F712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07300">
        <w:rPr>
          <w:rFonts w:ascii="標楷體" w:eastAsia="標楷體" w:hAnsi="標楷體" w:hint="eastAsia"/>
        </w:rPr>
        <w:lastRenderedPageBreak/>
        <w:t>學生在第一次小考與第二次小考的學習成果，是否有顯著進步?</w:t>
      </w:r>
    </w:p>
    <w:p w:rsidR="004A55F1" w:rsidRPr="00607300" w:rsidRDefault="004A55F1" w:rsidP="004A55F1">
      <w:pPr>
        <w:pStyle w:val="a3"/>
        <w:ind w:leftChars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常態檢定</w:t>
      </w:r>
    </w:p>
    <w:tbl>
      <w:tblPr>
        <w:tblStyle w:val="a4"/>
        <w:tblW w:w="0" w:type="auto"/>
        <w:tblInd w:w="4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295"/>
        <w:gridCol w:w="1295"/>
        <w:gridCol w:w="1295"/>
        <w:gridCol w:w="1295"/>
        <w:gridCol w:w="1295"/>
        <w:gridCol w:w="1295"/>
      </w:tblGrid>
      <w:tr w:rsidR="00031631" w:rsidRPr="00607300" w:rsidTr="00031631">
        <w:tc>
          <w:tcPr>
            <w:tcW w:w="1956" w:type="dxa"/>
            <w:vMerge w:val="restart"/>
            <w:tcBorders>
              <w:top w:val="single" w:sz="18" w:space="0" w:color="000000"/>
              <w:right w:val="nil"/>
            </w:tcBorders>
            <w:vAlign w:val="center"/>
          </w:tcPr>
          <w:p w:rsidR="004A55F1" w:rsidRPr="00607300" w:rsidRDefault="004A55F1" w:rsidP="00A75DF7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3885" w:type="dxa"/>
            <w:gridSpan w:val="3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Kolmogorov-Smirnov</w:t>
            </w:r>
            <w:r w:rsidRPr="00607300">
              <w:rPr>
                <w:rFonts w:ascii="標楷體" w:eastAsia="標楷體" w:hAnsi="標楷體" w:hint="eastAsia"/>
              </w:rPr>
              <w:t>檢定</w:t>
            </w:r>
          </w:p>
        </w:tc>
        <w:tc>
          <w:tcPr>
            <w:tcW w:w="3885" w:type="dxa"/>
            <w:gridSpan w:val="3"/>
            <w:tcBorders>
              <w:top w:val="single" w:sz="18" w:space="0" w:color="000000"/>
              <w:lef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Shapiro-Wilk</w:t>
            </w:r>
            <w:r w:rsidRPr="00607300">
              <w:rPr>
                <w:rFonts w:ascii="標楷體" w:eastAsia="標楷體" w:hAnsi="標楷體" w:hint="eastAsia"/>
              </w:rPr>
              <w:t xml:space="preserve"> 常態性檢定</w:t>
            </w:r>
          </w:p>
        </w:tc>
      </w:tr>
      <w:tr w:rsidR="00031631" w:rsidRPr="00607300" w:rsidTr="00031631">
        <w:tc>
          <w:tcPr>
            <w:tcW w:w="1956" w:type="dxa"/>
            <w:vMerge/>
            <w:tcBorders>
              <w:bottom w:val="single" w:sz="18" w:space="0" w:color="000000"/>
              <w:right w:val="nil"/>
            </w:tcBorders>
            <w:vAlign w:val="center"/>
          </w:tcPr>
          <w:p w:rsidR="004A55F1" w:rsidRPr="00607300" w:rsidRDefault="004A55F1" w:rsidP="00A75DF7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</w:tr>
      <w:tr w:rsidR="006F727C" w:rsidRPr="00607300" w:rsidTr="00031631">
        <w:tc>
          <w:tcPr>
            <w:tcW w:w="1956" w:type="dxa"/>
            <w:tcBorders>
              <w:top w:val="single" w:sz="18" w:space="0" w:color="000000"/>
              <w:right w:val="nil"/>
            </w:tcBorders>
            <w:vAlign w:val="center"/>
          </w:tcPr>
          <w:p w:rsidR="004A55F1" w:rsidRPr="00607300" w:rsidRDefault="000866B3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866B3">
              <w:rPr>
                <w:rFonts w:ascii="Times New Roman" w:eastAsia="標楷體" w:hAnsi="Times New Roman" w:cs="Times New Roman"/>
              </w:rPr>
              <w:t>The1stQuiz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229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007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804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</w:tcBorders>
            <w:vAlign w:val="center"/>
          </w:tcPr>
          <w:p w:rsidR="004A55F1" w:rsidRPr="004A55F1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 w:rsidRPr="004A55F1">
              <w:rPr>
                <w:rFonts w:ascii="Times New Roman" w:eastAsia="標楷體" w:hAnsi="Times New Roman" w:cs="Times New Roman" w:hint="eastAsia"/>
              </w:rPr>
              <w:t>001</w:t>
            </w:r>
            <w:r w:rsidRPr="004A55F1">
              <w:rPr>
                <w:rFonts w:ascii="Times New Roman" w:eastAsia="標楷體" w:hAnsi="Times New Roman" w:cs="Times New Roman"/>
                <w:iCs/>
                <w:color w:val="000000"/>
              </w:rPr>
              <w:t>***</w:t>
            </w:r>
          </w:p>
        </w:tc>
      </w:tr>
      <w:tr w:rsidR="00421851" w:rsidRPr="00607300" w:rsidTr="00031631">
        <w:tc>
          <w:tcPr>
            <w:tcW w:w="1956" w:type="dxa"/>
            <w:tcBorders>
              <w:right w:val="nil"/>
            </w:tcBorders>
            <w:vAlign w:val="center"/>
          </w:tcPr>
          <w:p w:rsidR="004A55F1" w:rsidRPr="00607300" w:rsidRDefault="000866B3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866B3">
              <w:rPr>
                <w:rFonts w:ascii="Times New Roman" w:eastAsia="標楷體" w:hAnsi="Times New Roman" w:cs="Times New Roman"/>
              </w:rPr>
              <w:t>The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nd</w:t>
            </w:r>
            <w:r w:rsidRPr="000866B3">
              <w:rPr>
                <w:rFonts w:ascii="Times New Roman" w:eastAsia="標楷體" w:hAnsi="Times New Roman" w:cs="Times New Roman"/>
              </w:rPr>
              <w:t>Quiz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.2</w:t>
            </w:r>
            <w:r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.0</w:t>
            </w:r>
            <w:r>
              <w:rPr>
                <w:rFonts w:ascii="Times New Roman" w:eastAsia="標楷體" w:hAnsi="Times New Roman" w:cs="Times New Roman" w:hint="eastAsia"/>
              </w:rPr>
              <w:t>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751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4A55F1" w:rsidRPr="00607300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left w:val="nil"/>
            </w:tcBorders>
            <w:vAlign w:val="center"/>
          </w:tcPr>
          <w:p w:rsidR="004A55F1" w:rsidRPr="004A55F1" w:rsidRDefault="004A55F1" w:rsidP="0042185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 w:rsidRPr="004A55F1">
              <w:rPr>
                <w:rFonts w:ascii="Times New Roman" w:eastAsia="標楷體" w:hAnsi="Times New Roman" w:cs="Times New Roman" w:hint="eastAsia"/>
              </w:rPr>
              <w:t>000</w:t>
            </w:r>
            <w:r w:rsidRPr="004A55F1">
              <w:rPr>
                <w:rFonts w:ascii="Times New Roman" w:eastAsia="標楷體" w:hAnsi="Times New Roman" w:cs="Times New Roman"/>
                <w:iCs/>
                <w:color w:val="000000"/>
              </w:rPr>
              <w:t>***</w:t>
            </w:r>
          </w:p>
        </w:tc>
      </w:tr>
    </w:tbl>
    <w:p w:rsidR="004A55F1" w:rsidRPr="00607300" w:rsidRDefault="004A55F1" w:rsidP="004A55F1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4A55F1" w:rsidRDefault="008429B7" w:rsidP="004A55F1">
      <w:pPr>
        <w:pStyle w:val="a3"/>
        <w:ind w:leftChars="0"/>
        <w:rPr>
          <w:rFonts w:ascii="標楷體" w:eastAsia="標楷體" w:hAnsi="標楷體"/>
        </w:rPr>
      </w:pPr>
      <w:r w:rsidRPr="008429B7">
        <w:rPr>
          <w:rFonts w:ascii="標楷體" w:eastAsia="標楷體" w:hAnsi="標楷體" w:hint="eastAsia"/>
        </w:rPr>
        <w:t>由於這兩組數據</w:t>
      </w:r>
      <w:r w:rsidRPr="00B5229C">
        <w:rPr>
          <w:rFonts w:ascii="標楷體" w:eastAsia="標楷體" w:hAnsi="標楷體" w:hint="eastAsia"/>
          <w:highlight w:val="yellow"/>
        </w:rPr>
        <w:t>不符合常態分佈</w:t>
      </w:r>
      <w:r w:rsidRPr="008429B7">
        <w:rPr>
          <w:rFonts w:ascii="標楷體" w:eastAsia="標楷體" w:hAnsi="標楷體" w:hint="eastAsia"/>
        </w:rPr>
        <w:t>，因此選擇 Wilcoxon 符號</w:t>
      </w:r>
      <w:proofErr w:type="gramStart"/>
      <w:r w:rsidRPr="008429B7">
        <w:rPr>
          <w:rFonts w:ascii="標楷體" w:eastAsia="標楷體" w:hAnsi="標楷體" w:hint="eastAsia"/>
        </w:rPr>
        <w:t>秩</w:t>
      </w:r>
      <w:proofErr w:type="gramEnd"/>
      <w:r w:rsidRPr="008429B7">
        <w:rPr>
          <w:rFonts w:ascii="標楷體" w:eastAsia="標楷體" w:hAnsi="標楷體" w:hint="eastAsia"/>
        </w:rPr>
        <w:t>檢定來分析</w:t>
      </w:r>
      <w:r w:rsidR="004A55F1">
        <w:rPr>
          <w:rFonts w:ascii="標楷體" w:eastAsia="標楷體" w:hAnsi="標楷體" w:hint="eastAsia"/>
        </w:rPr>
        <w:t>。</w:t>
      </w:r>
    </w:p>
    <w:p w:rsidR="004A55F1" w:rsidRPr="00607300" w:rsidRDefault="004A55F1" w:rsidP="004A55F1">
      <w:pPr>
        <w:pStyle w:val="a3"/>
        <w:ind w:leftChars="0"/>
        <w:jc w:val="center"/>
        <w:rPr>
          <w:rFonts w:ascii="標楷體" w:eastAsia="標楷體" w:hAnsi="標楷體" w:hint="eastAsia"/>
        </w:rPr>
      </w:pPr>
      <w:r w:rsidRPr="00607300">
        <w:rPr>
          <w:rFonts w:ascii="標楷體" w:eastAsia="標楷體" w:hAnsi="標楷體" w:hint="eastAsia"/>
        </w:rPr>
        <w:t>成對樣本</w:t>
      </w:r>
      <w:r w:rsidRPr="004A55F1">
        <w:rPr>
          <w:rFonts w:ascii="Times New Roman" w:eastAsia="標楷體" w:hAnsi="Times New Roman" w:cs="Times New Roman"/>
        </w:rPr>
        <w:t>Wilcoxon</w:t>
      </w:r>
      <w:r w:rsidR="00031631" w:rsidRPr="008429B7">
        <w:rPr>
          <w:rFonts w:ascii="Times New Roman" w:eastAsia="標楷體" w:hAnsi="Times New Roman" w:cs="Times New Roman" w:hint="eastAsia"/>
          <w:iCs/>
          <w:color w:val="000000"/>
        </w:rPr>
        <w:t>符號</w:t>
      </w:r>
      <w:proofErr w:type="gramStart"/>
      <w:r w:rsidR="00031631" w:rsidRPr="008429B7">
        <w:rPr>
          <w:rFonts w:ascii="Times New Roman" w:eastAsia="標楷體" w:hAnsi="Times New Roman" w:cs="Times New Roman" w:hint="eastAsia"/>
          <w:iCs/>
          <w:color w:val="000000"/>
        </w:rPr>
        <w:t>秩</w:t>
      </w:r>
      <w:proofErr w:type="gramEnd"/>
      <w:r w:rsidR="00031631" w:rsidRPr="008429B7">
        <w:rPr>
          <w:rFonts w:ascii="Times New Roman" w:eastAsia="標楷體" w:hAnsi="Times New Roman" w:cs="Times New Roman" w:hint="eastAsia"/>
          <w:iCs/>
          <w:color w:val="000000"/>
        </w:rPr>
        <w:t>檢定</w:t>
      </w:r>
    </w:p>
    <w:tbl>
      <w:tblPr>
        <w:tblStyle w:val="a4"/>
        <w:tblW w:w="9787" w:type="dxa"/>
        <w:tblInd w:w="419" w:type="dxa"/>
        <w:tblBorders>
          <w:top w:val="single" w:sz="18" w:space="0" w:color="auto"/>
          <w:left w:val="none" w:sz="0" w:space="0" w:color="auto"/>
          <w:right w:val="none" w:sz="0" w:space="0" w:color="auto"/>
          <w:insideH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2002"/>
        <w:gridCol w:w="2127"/>
        <w:gridCol w:w="1277"/>
        <w:gridCol w:w="1278"/>
        <w:gridCol w:w="1278"/>
      </w:tblGrid>
      <w:tr w:rsidR="00421851" w:rsidRPr="00607300" w:rsidTr="00031631">
        <w:tc>
          <w:tcPr>
            <w:tcW w:w="1825" w:type="dxa"/>
            <w:vMerge w:val="restart"/>
            <w:tcBorders>
              <w:right w:val="nil"/>
            </w:tcBorders>
            <w:vAlign w:val="center"/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4129" w:type="dxa"/>
            <w:gridSpan w:val="2"/>
            <w:tcBorders>
              <w:left w:val="nil"/>
              <w:right w:val="nil"/>
            </w:tcBorders>
          </w:tcPr>
          <w:p w:rsidR="00421851" w:rsidRPr="0026374D" w:rsidRDefault="008429B7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成</w:t>
            </w:r>
            <w:r w:rsidR="00421851" w:rsidRPr="0026374D">
              <w:rPr>
                <w:rFonts w:ascii="Times New Roman" w:eastAsia="標楷體" w:hAnsi="Times New Roman" w:cs="Times New Roman" w:hint="eastAsia"/>
              </w:rPr>
              <w:t>對中位數</w:t>
            </w:r>
            <w:r w:rsidR="00421851" w:rsidRPr="0026374D">
              <w:rPr>
                <w:rFonts w:ascii="Times New Roman" w:eastAsia="標楷體" w:hAnsi="Times New Roman" w:cs="Times New Roman" w:hint="eastAsia"/>
              </w:rPr>
              <w:t>M</w:t>
            </w:r>
            <w:r w:rsidR="00421851">
              <w:rPr>
                <w:rFonts w:ascii="Times New Roman" w:eastAsia="標楷體" w:hAnsi="Times New Roman" w:cs="Times New Roman"/>
              </w:rPr>
              <w:t xml:space="preserve"> </w:t>
            </w:r>
            <w:r w:rsidR="00421851" w:rsidRPr="0026374D">
              <w:rPr>
                <w:rFonts w:ascii="Times New Roman" w:eastAsia="標楷體" w:hAnsi="Times New Roman" w:cs="Times New Roman" w:hint="eastAsia"/>
              </w:rPr>
              <w:t>(P25,P75)</w:t>
            </w:r>
          </w:p>
        </w:tc>
        <w:tc>
          <w:tcPr>
            <w:tcW w:w="1277" w:type="dxa"/>
            <w:vMerge w:val="restart"/>
            <w:tcBorders>
              <w:left w:val="nil"/>
              <w:right w:val="nil"/>
            </w:tcBorders>
            <w:vAlign w:val="center"/>
          </w:tcPr>
          <w:p w:rsidR="00421851" w:rsidRPr="008429B7" w:rsidRDefault="008429B7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429B7">
              <w:rPr>
                <w:rFonts w:ascii="Times New Roman" w:eastAsia="標楷體" w:hAnsi="Times New Roman" w:cs="Times New Roman" w:hint="eastAsia"/>
              </w:rPr>
              <w:t>中位數</w:t>
            </w:r>
            <w:r w:rsidRPr="008429B7">
              <w:rPr>
                <w:rFonts w:ascii="Times New Roman" w:eastAsia="標楷體" w:hAnsi="Times New Roman" w:cs="Times New Roman" w:hint="eastAsia"/>
              </w:rPr>
              <w:t>M</w:t>
            </w:r>
            <w:proofErr w:type="gramStart"/>
            <w:r w:rsidRPr="008429B7">
              <w:rPr>
                <w:rFonts w:ascii="Times New Roman" w:eastAsia="標楷體" w:hAnsi="Times New Roman" w:cs="Times New Roman" w:hint="eastAsia"/>
              </w:rPr>
              <w:t>差值</w:t>
            </w:r>
            <w:proofErr w:type="gramEnd"/>
          </w:p>
        </w:tc>
        <w:tc>
          <w:tcPr>
            <w:tcW w:w="1278" w:type="dxa"/>
            <w:vMerge w:val="restart"/>
            <w:tcBorders>
              <w:left w:val="nil"/>
              <w:right w:val="nil"/>
            </w:tcBorders>
            <w:vAlign w:val="center"/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Z</w:t>
            </w:r>
          </w:p>
        </w:tc>
        <w:tc>
          <w:tcPr>
            <w:tcW w:w="1278" w:type="dxa"/>
            <w:vMerge w:val="restart"/>
            <w:tcBorders>
              <w:left w:val="nil"/>
            </w:tcBorders>
            <w:vAlign w:val="center"/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07300">
              <w:rPr>
                <w:rFonts w:ascii="Times New Roman" w:eastAsia="標楷體" w:hAnsi="Times New Roman" w:cs="Times New Roman"/>
                <w:i/>
              </w:rPr>
              <w:t>p</w:t>
            </w:r>
          </w:p>
        </w:tc>
      </w:tr>
      <w:tr w:rsidR="00421851" w:rsidRPr="00607300" w:rsidTr="00031631">
        <w:tc>
          <w:tcPr>
            <w:tcW w:w="1825" w:type="dxa"/>
            <w:vMerge/>
            <w:tcBorders>
              <w:bottom w:val="single" w:sz="18" w:space="0" w:color="auto"/>
              <w:right w:val="nil"/>
            </w:tcBorders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129" w:type="dxa"/>
            <w:gridSpan w:val="2"/>
            <w:tcBorders>
              <w:left w:val="nil"/>
              <w:bottom w:val="single" w:sz="18" w:space="0" w:color="auto"/>
              <w:right w:val="nil"/>
            </w:tcBorders>
          </w:tcPr>
          <w:p w:rsidR="00421851" w:rsidRPr="000866B3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0866B3">
              <w:rPr>
                <w:rFonts w:ascii="Times New Roman" w:eastAsia="標楷體" w:hAnsi="Times New Roman" w:cs="Times New Roman"/>
              </w:rPr>
              <w:t>The1stQuiz</w:t>
            </w:r>
            <w:r>
              <w:rPr>
                <w:rFonts w:ascii="Times New Roman" w:eastAsia="標楷體" w:hAnsi="Times New Roman" w:cs="Times New Roman"/>
              </w:rPr>
              <w:t xml:space="preserve">   </w:t>
            </w:r>
            <w:r w:rsidRPr="000866B3">
              <w:rPr>
                <w:rFonts w:ascii="Times New Roman" w:eastAsia="標楷體" w:hAnsi="Times New Roman" w:cs="Times New Roman"/>
              </w:rPr>
              <w:t>The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nd</w:t>
            </w:r>
            <w:r w:rsidRPr="000866B3">
              <w:rPr>
                <w:rFonts w:ascii="Times New Roman" w:eastAsia="標楷體" w:hAnsi="Times New Roman" w:cs="Times New Roman"/>
              </w:rPr>
              <w:t>Quiz</w:t>
            </w:r>
          </w:p>
        </w:tc>
        <w:tc>
          <w:tcPr>
            <w:tcW w:w="1277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</w:p>
        </w:tc>
        <w:tc>
          <w:tcPr>
            <w:tcW w:w="1278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:rsidR="00421851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i/>
              </w:rPr>
            </w:pPr>
          </w:p>
        </w:tc>
        <w:tc>
          <w:tcPr>
            <w:tcW w:w="1278" w:type="dxa"/>
            <w:vMerge/>
            <w:tcBorders>
              <w:left w:val="nil"/>
              <w:bottom w:val="single" w:sz="18" w:space="0" w:color="auto"/>
            </w:tcBorders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</w:p>
        </w:tc>
      </w:tr>
      <w:tr w:rsidR="00421851" w:rsidRPr="00607300" w:rsidTr="00031631">
        <w:trPr>
          <w:trHeight w:val="730"/>
        </w:trPr>
        <w:tc>
          <w:tcPr>
            <w:tcW w:w="1825" w:type="dxa"/>
            <w:tcBorders>
              <w:bottom w:val="single" w:sz="18" w:space="0" w:color="auto"/>
              <w:right w:val="nil"/>
            </w:tcBorders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866B3">
              <w:rPr>
                <w:rFonts w:ascii="Times New Roman" w:eastAsia="標楷體" w:hAnsi="Times New Roman" w:cs="Times New Roman"/>
              </w:rPr>
              <w:t>The</w:t>
            </w:r>
            <w:r w:rsidR="00946649">
              <w:rPr>
                <w:rFonts w:ascii="Times New Roman" w:eastAsia="標楷體" w:hAnsi="Times New Roman" w:cs="Times New Roman" w:hint="eastAsia"/>
              </w:rPr>
              <w:t>2</w:t>
            </w:r>
            <w:r w:rsidR="00946649">
              <w:rPr>
                <w:rFonts w:ascii="Times New Roman" w:eastAsia="標楷體" w:hAnsi="Times New Roman" w:cs="Times New Roman"/>
              </w:rPr>
              <w:t>nd</w:t>
            </w:r>
            <w:r w:rsidRPr="000866B3">
              <w:rPr>
                <w:rFonts w:ascii="Times New Roman" w:eastAsia="標楷體" w:hAnsi="Times New Roman" w:cs="Times New Roman"/>
              </w:rPr>
              <w:t>Quiz</w:t>
            </w:r>
            <w:r w:rsidR="00946649"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 w:rsidR="00946649">
              <w:rPr>
                <w:rFonts w:ascii="Times New Roman" w:eastAsia="標楷體" w:hAnsi="Times New Roman" w:cs="Times New Roman"/>
              </w:rPr>
              <w:t xml:space="preserve">- </w:t>
            </w:r>
            <w:r w:rsidRPr="00607300">
              <w:rPr>
                <w:rFonts w:ascii="Times New Roman" w:eastAsia="標楷體" w:hAnsi="Times New Roman" w:cs="Times New Roman"/>
              </w:rPr>
              <w:t xml:space="preserve"> </w:t>
            </w:r>
            <w:r w:rsidRPr="000866B3">
              <w:rPr>
                <w:rFonts w:ascii="Times New Roman" w:eastAsia="標楷體" w:hAnsi="Times New Roman" w:cs="Times New Roman"/>
              </w:rPr>
              <w:t>The</w:t>
            </w:r>
            <w:proofErr w:type="gramEnd"/>
            <w:r w:rsidR="00946649">
              <w:rPr>
                <w:rFonts w:ascii="Times New Roman" w:eastAsia="標楷體" w:hAnsi="Times New Roman" w:cs="Times New Roman"/>
              </w:rPr>
              <w:t>1st</w:t>
            </w:r>
            <w:r w:rsidRPr="000866B3">
              <w:rPr>
                <w:rFonts w:ascii="Times New Roman" w:eastAsia="標楷體" w:hAnsi="Times New Roman" w:cs="Times New Roman"/>
              </w:rPr>
              <w:t>Quiz</w:t>
            </w:r>
          </w:p>
        </w:tc>
        <w:tc>
          <w:tcPr>
            <w:tcW w:w="2002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49.50(20.0, 87.0</w:t>
            </w:r>
            <w:r w:rsidR="007C7C15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27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/>
              </w:rPr>
              <w:t>8.00(57.75, 96.75)</w:t>
            </w:r>
          </w:p>
        </w:tc>
        <w:tc>
          <w:tcPr>
            <w:tcW w:w="1277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421851" w:rsidRPr="00607300" w:rsidRDefault="008429B7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38.50</w:t>
            </w:r>
          </w:p>
        </w:tc>
        <w:tc>
          <w:tcPr>
            <w:tcW w:w="1278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421851" w:rsidRPr="00607300" w:rsidRDefault="0042185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3.421</w:t>
            </w:r>
          </w:p>
        </w:tc>
        <w:tc>
          <w:tcPr>
            <w:tcW w:w="1278" w:type="dxa"/>
            <w:tcBorders>
              <w:left w:val="nil"/>
              <w:bottom w:val="single" w:sz="18" w:space="0" w:color="auto"/>
            </w:tcBorders>
            <w:vAlign w:val="center"/>
          </w:tcPr>
          <w:p w:rsidR="00421851" w:rsidRPr="00607300" w:rsidRDefault="00421851" w:rsidP="00A75DF7">
            <w:pPr>
              <w:pStyle w:val="a3"/>
              <w:ind w:leftChars="0" w:hanging="48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.00</w:t>
            </w:r>
            <w:r>
              <w:rPr>
                <w:rFonts w:ascii="Times New Roman" w:eastAsia="標楷體" w:hAnsi="Times New Roman" w:cs="Times New Roman"/>
              </w:rPr>
              <w:t>1</w:t>
            </w:r>
            <w:r w:rsidRPr="00607300">
              <w:rPr>
                <w:rFonts w:ascii="Times New Roman" w:eastAsia="標楷體" w:hAnsi="Times New Roman" w:cs="Times New Roman"/>
                <w:iCs/>
                <w:color w:val="000000"/>
              </w:rPr>
              <w:t>***</w:t>
            </w:r>
          </w:p>
        </w:tc>
      </w:tr>
    </w:tbl>
    <w:p w:rsidR="00421851" w:rsidRDefault="004A55F1" w:rsidP="008429B7">
      <w:pPr>
        <w:ind w:firstLineChars="200" w:firstLine="480"/>
        <w:rPr>
          <w:rFonts w:ascii="Times New Roman" w:eastAsia="標楷體" w:hAnsi="Times New Roman" w:cs="Times New Roman"/>
          <w:i/>
          <w:iCs/>
          <w:color w:val="000000"/>
        </w:rPr>
      </w:pPr>
      <w:r w:rsidRPr="00421851">
        <w:rPr>
          <w:rFonts w:ascii="Times New Roman" w:eastAsia="標楷體" w:hAnsi="Times New Roman" w:cs="Times New Roman"/>
          <w:color w:val="000000"/>
        </w:rPr>
        <w:t>*</w:t>
      </w:r>
      <w:r w:rsidRPr="00421851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8429B7" w:rsidRPr="008429B7" w:rsidRDefault="008429B7" w:rsidP="008429B7">
      <w:pPr>
        <w:ind w:left="480"/>
        <w:rPr>
          <w:rFonts w:ascii="Times New Roman" w:eastAsia="標楷體" w:hAnsi="Times New Roman" w:cs="Times New Roman" w:hint="eastAsia"/>
          <w:iCs/>
          <w:color w:val="000000"/>
        </w:rPr>
      </w:pPr>
      <w:r w:rsidRPr="008429B7">
        <w:rPr>
          <w:rFonts w:ascii="Times New Roman" w:eastAsia="標楷體" w:hAnsi="Times New Roman" w:cs="Times New Roman" w:hint="eastAsia"/>
          <w:iCs/>
          <w:color w:val="000000"/>
        </w:rPr>
        <w:t>根據</w:t>
      </w:r>
      <w:r w:rsidRPr="008429B7">
        <w:rPr>
          <w:rFonts w:ascii="Times New Roman" w:eastAsia="標楷體" w:hAnsi="Times New Roman" w:cs="Times New Roman" w:hint="eastAsia"/>
          <w:iCs/>
          <w:color w:val="000000"/>
        </w:rPr>
        <w:t xml:space="preserve"> Wilcoxon </w:t>
      </w:r>
      <w:r w:rsidRPr="008429B7">
        <w:rPr>
          <w:rFonts w:ascii="Times New Roman" w:eastAsia="標楷體" w:hAnsi="Times New Roman" w:cs="Times New Roman" w:hint="eastAsia"/>
          <w:iCs/>
          <w:color w:val="000000"/>
        </w:rPr>
        <w:t>符號</w:t>
      </w:r>
      <w:proofErr w:type="gramStart"/>
      <w:r w:rsidRPr="008429B7">
        <w:rPr>
          <w:rFonts w:ascii="Times New Roman" w:eastAsia="標楷體" w:hAnsi="Times New Roman" w:cs="Times New Roman" w:hint="eastAsia"/>
          <w:iCs/>
          <w:color w:val="000000"/>
        </w:rPr>
        <w:t>秩</w:t>
      </w:r>
      <w:proofErr w:type="gramEnd"/>
      <w:r w:rsidRPr="008429B7">
        <w:rPr>
          <w:rFonts w:ascii="Times New Roman" w:eastAsia="標楷體" w:hAnsi="Times New Roman" w:cs="Times New Roman" w:hint="eastAsia"/>
          <w:iCs/>
          <w:color w:val="000000"/>
        </w:rPr>
        <w:t>檢定的結果，我們可以得出結論：學生在第一次和第二次小考之間的學習成果顯著提升</w:t>
      </w:r>
      <w:r w:rsidRPr="008429B7">
        <w:rPr>
          <w:rFonts w:ascii="Times New Roman" w:eastAsia="標楷體" w:hAnsi="Times New Roman" w:cs="Times New Roman" w:hint="eastAsia"/>
          <w:iCs/>
          <w:color w:val="000000"/>
        </w:rPr>
        <w:t xml:space="preserve"> (p &lt; .0</w:t>
      </w:r>
      <w:r w:rsidR="00EA037E">
        <w:rPr>
          <w:rFonts w:ascii="Times New Roman" w:eastAsia="標楷體" w:hAnsi="Times New Roman" w:cs="Times New Roman"/>
          <w:iCs/>
          <w:color w:val="000000"/>
        </w:rPr>
        <w:t>01</w:t>
      </w:r>
      <w:r w:rsidRPr="008429B7">
        <w:rPr>
          <w:rFonts w:ascii="Times New Roman" w:eastAsia="標楷體" w:hAnsi="Times New Roman" w:cs="Times New Roman" w:hint="eastAsia"/>
          <w:iCs/>
          <w:color w:val="000000"/>
        </w:rPr>
        <w:t>)</w:t>
      </w:r>
      <w:r w:rsidRPr="008429B7">
        <w:rPr>
          <w:rFonts w:ascii="Times New Roman" w:eastAsia="標楷體" w:hAnsi="Times New Roman" w:cs="Times New Roman" w:hint="eastAsia"/>
          <w:iCs/>
          <w:color w:val="000000"/>
        </w:rPr>
        <w:t>，顯示出</w:t>
      </w:r>
      <w:r w:rsidRPr="00946649">
        <w:rPr>
          <w:rFonts w:ascii="Times New Roman" w:eastAsia="標楷體" w:hAnsi="Times New Roman" w:cs="Times New Roman" w:hint="eastAsia"/>
          <w:iCs/>
          <w:color w:val="000000"/>
          <w:highlight w:val="yellow"/>
        </w:rPr>
        <w:t>學生在學習過程中</w:t>
      </w:r>
      <w:r w:rsidR="00946649" w:rsidRPr="00946649">
        <w:rPr>
          <w:rFonts w:ascii="Times New Roman" w:eastAsia="標楷體" w:hAnsi="Times New Roman" w:cs="Times New Roman" w:hint="eastAsia"/>
          <w:iCs/>
          <w:color w:val="000000"/>
          <w:highlight w:val="yellow"/>
        </w:rPr>
        <w:t>有顯著</w:t>
      </w:r>
      <w:r w:rsidRPr="00946649">
        <w:rPr>
          <w:rFonts w:ascii="Times New Roman" w:eastAsia="標楷體" w:hAnsi="Times New Roman" w:cs="Times New Roman" w:hint="eastAsia"/>
          <w:iCs/>
          <w:color w:val="000000"/>
          <w:highlight w:val="yellow"/>
        </w:rPr>
        <w:t>進步</w:t>
      </w:r>
      <w:r w:rsidRPr="008429B7">
        <w:rPr>
          <w:rFonts w:ascii="Times New Roman" w:eastAsia="標楷體" w:hAnsi="Times New Roman" w:cs="Times New Roman" w:hint="eastAsia"/>
          <w:iCs/>
          <w:color w:val="000000"/>
        </w:rPr>
        <w:t>。</w:t>
      </w:r>
    </w:p>
    <w:p w:rsidR="00787B1A" w:rsidRPr="00421851" w:rsidRDefault="00787B1A" w:rsidP="00421851">
      <w:pPr>
        <w:rPr>
          <w:rFonts w:ascii="Times New Roman" w:eastAsia="標楷體" w:hAnsi="Times New Roman" w:cs="Times New Roman"/>
          <w:i/>
          <w:iCs/>
          <w:color w:val="000000"/>
        </w:rPr>
      </w:pPr>
      <w:r w:rsidRPr="00421851">
        <w:rPr>
          <w:rFonts w:ascii="標楷體" w:eastAsia="標楷體" w:hAnsi="標楷體"/>
        </w:rPr>
        <w:br w:type="page"/>
      </w:r>
    </w:p>
    <w:p w:rsidR="00787B1A" w:rsidRDefault="002F7126" w:rsidP="002F712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07300">
        <w:rPr>
          <w:rFonts w:ascii="標楷體" w:eastAsia="標楷體" w:hAnsi="標楷體" w:hint="eastAsia"/>
        </w:rPr>
        <w:lastRenderedPageBreak/>
        <w:t>在兩個學習面向</w:t>
      </w:r>
      <w:r w:rsidRPr="00607300">
        <w:rPr>
          <w:rFonts w:ascii="Times New Roman" w:eastAsia="標楷體" w:hAnsi="Times New Roman" w:cs="Times New Roman"/>
        </w:rPr>
        <w:t>(Learningenvironment, timemanagement)</w:t>
      </w:r>
      <w:r w:rsidRPr="00607300">
        <w:rPr>
          <w:rFonts w:ascii="標楷體" w:eastAsia="標楷體" w:hAnsi="標楷體" w:hint="eastAsia"/>
        </w:rPr>
        <w:t>中，男女生是否有差異?有差異的是哪個面向?顯著值為?</w:t>
      </w:r>
    </w:p>
    <w:p w:rsidR="00031631" w:rsidRPr="00607300" w:rsidRDefault="00031631" w:rsidP="00031631">
      <w:pPr>
        <w:pStyle w:val="a3"/>
        <w:ind w:leftChars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常態檢定</w:t>
      </w:r>
    </w:p>
    <w:tbl>
      <w:tblPr>
        <w:tblStyle w:val="a4"/>
        <w:tblW w:w="0" w:type="auto"/>
        <w:tblInd w:w="4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576"/>
        <w:gridCol w:w="843"/>
        <w:gridCol w:w="844"/>
        <w:gridCol w:w="843"/>
        <w:gridCol w:w="844"/>
        <w:gridCol w:w="843"/>
        <w:gridCol w:w="844"/>
      </w:tblGrid>
      <w:tr w:rsidR="00031631" w:rsidRPr="00607300" w:rsidTr="00E50507">
        <w:tc>
          <w:tcPr>
            <w:tcW w:w="2349" w:type="dxa"/>
            <w:vMerge w:val="restart"/>
            <w:tcBorders>
              <w:top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2576" w:type="dxa"/>
            <w:vMerge w:val="restart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031631" w:rsidRPr="00607300" w:rsidRDefault="00031631" w:rsidP="0003163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1631">
              <w:rPr>
                <w:rFonts w:ascii="Times New Roman" w:eastAsia="標楷體" w:hAnsi="Times New Roman" w:cs="Times New Roman"/>
              </w:rPr>
              <w:t>Gender_1male_2Female</w:t>
            </w:r>
          </w:p>
        </w:tc>
        <w:tc>
          <w:tcPr>
            <w:tcW w:w="2530" w:type="dxa"/>
            <w:gridSpan w:val="3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Kolmogorov-Smirnov</w:t>
            </w:r>
            <w:r w:rsidRPr="00607300">
              <w:rPr>
                <w:rFonts w:ascii="標楷體" w:eastAsia="標楷體" w:hAnsi="標楷體" w:hint="eastAsia"/>
              </w:rPr>
              <w:t>檢定</w:t>
            </w:r>
          </w:p>
        </w:tc>
        <w:tc>
          <w:tcPr>
            <w:tcW w:w="2531" w:type="dxa"/>
            <w:gridSpan w:val="3"/>
            <w:tcBorders>
              <w:top w:val="single" w:sz="18" w:space="0" w:color="000000"/>
              <w:lef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Shapiro-Wilk</w:t>
            </w:r>
            <w:r w:rsidRPr="00607300">
              <w:rPr>
                <w:rFonts w:ascii="標楷體" w:eastAsia="標楷體" w:hAnsi="標楷體" w:hint="eastAsia"/>
              </w:rPr>
              <w:t xml:space="preserve"> 常態性檢定</w:t>
            </w:r>
          </w:p>
        </w:tc>
      </w:tr>
      <w:tr w:rsidR="00031631" w:rsidRPr="00607300" w:rsidTr="00E50507">
        <w:tc>
          <w:tcPr>
            <w:tcW w:w="2349" w:type="dxa"/>
            <w:vMerge/>
            <w:tcBorders>
              <w:bottom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2576" w:type="dxa"/>
            <w:vMerge/>
            <w:tcBorders>
              <w:left w:val="nil"/>
              <w:bottom w:val="single" w:sz="18" w:space="0" w:color="000000"/>
              <w:right w:val="nil"/>
            </w:tcBorders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84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84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84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  <w:tc>
          <w:tcPr>
            <w:tcW w:w="84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84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844" w:type="dxa"/>
            <w:tcBorders>
              <w:top w:val="single" w:sz="18" w:space="0" w:color="000000"/>
              <w:left w:val="nil"/>
              <w:bottom w:val="single" w:sz="18" w:space="0" w:color="000000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</w:tr>
      <w:tr w:rsidR="00031631" w:rsidRPr="00607300" w:rsidTr="00E50507">
        <w:tc>
          <w:tcPr>
            <w:tcW w:w="2349" w:type="dxa"/>
            <w:vMerge w:val="restart"/>
            <w:tcBorders>
              <w:top w:val="single" w:sz="18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Learningenvironment</w:t>
            </w:r>
          </w:p>
        </w:tc>
        <w:tc>
          <w:tcPr>
            <w:tcW w:w="2576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843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235</w:t>
            </w:r>
          </w:p>
        </w:tc>
        <w:tc>
          <w:tcPr>
            <w:tcW w:w="844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843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844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855</w:t>
            </w:r>
          </w:p>
        </w:tc>
        <w:tc>
          <w:tcPr>
            <w:tcW w:w="843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844" w:type="dxa"/>
            <w:tcBorders>
              <w:top w:val="single" w:sz="18" w:space="0" w:color="000000"/>
              <w:left w:val="nil"/>
              <w:bottom w:val="single" w:sz="2" w:space="0" w:color="000000"/>
            </w:tcBorders>
            <w:vAlign w:val="center"/>
          </w:tcPr>
          <w:p w:rsidR="00031631" w:rsidRPr="004A55F1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 w:rsidRPr="004A55F1">
              <w:rPr>
                <w:rFonts w:ascii="Times New Roman" w:eastAsia="標楷體" w:hAnsi="Times New Roman" w:cs="Times New Roman" w:hint="eastAsia"/>
              </w:rPr>
              <w:t>0</w:t>
            </w:r>
            <w:r w:rsidR="00E50507">
              <w:rPr>
                <w:rFonts w:ascii="Times New Roman" w:eastAsia="標楷體" w:hAnsi="Times New Roman" w:cs="Times New Roman" w:hint="eastAsia"/>
              </w:rPr>
              <w:t>66</w:t>
            </w:r>
          </w:p>
        </w:tc>
      </w:tr>
      <w:tr w:rsidR="00E50507" w:rsidRPr="00607300" w:rsidTr="00E50507">
        <w:tc>
          <w:tcPr>
            <w:tcW w:w="2349" w:type="dxa"/>
            <w:vMerge/>
            <w:tcBorders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8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.243</w:t>
            </w:r>
          </w:p>
        </w:tc>
        <w:tc>
          <w:tcPr>
            <w:tcW w:w="8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8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.097</w:t>
            </w:r>
          </w:p>
        </w:tc>
        <w:tc>
          <w:tcPr>
            <w:tcW w:w="8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.787</w:t>
            </w:r>
          </w:p>
        </w:tc>
        <w:tc>
          <w:tcPr>
            <w:tcW w:w="8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844" w:type="dxa"/>
            <w:tcBorders>
              <w:top w:val="single" w:sz="2" w:space="0" w:color="000000"/>
              <w:left w:val="nil"/>
              <w:bottom w:val="single" w:sz="2" w:space="0" w:color="000000"/>
            </w:tcBorders>
            <w:vAlign w:val="center"/>
          </w:tcPr>
          <w:p w:rsidR="00031631" w:rsidRPr="004A55F1" w:rsidRDefault="00E50507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.010</w:t>
            </w:r>
          </w:p>
        </w:tc>
      </w:tr>
      <w:tr w:rsidR="00E50507" w:rsidRPr="00607300" w:rsidTr="00E50507">
        <w:tc>
          <w:tcPr>
            <w:tcW w:w="2349" w:type="dxa"/>
            <w:vMerge w:val="restart"/>
            <w:tcBorders>
              <w:top w:val="single" w:sz="2" w:space="0" w:color="000000"/>
              <w:right w:val="nil"/>
            </w:tcBorders>
            <w:vAlign w:val="center"/>
          </w:tcPr>
          <w:p w:rsidR="00031631" w:rsidRPr="00031631" w:rsidRDefault="00031631" w:rsidP="000316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31631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2576" w:type="dxa"/>
            <w:tcBorders>
              <w:top w:val="single" w:sz="2" w:space="0" w:color="000000"/>
              <w:left w:val="nil"/>
              <w:right w:val="nil"/>
            </w:tcBorders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843" w:type="dxa"/>
            <w:tcBorders>
              <w:top w:val="single" w:sz="2" w:space="0" w:color="000000"/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.201</w:t>
            </w:r>
          </w:p>
        </w:tc>
        <w:tc>
          <w:tcPr>
            <w:tcW w:w="844" w:type="dxa"/>
            <w:tcBorders>
              <w:top w:val="single" w:sz="2" w:space="0" w:color="000000"/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843" w:type="dxa"/>
            <w:tcBorders>
              <w:top w:val="single" w:sz="2" w:space="0" w:color="000000"/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.200</w:t>
            </w:r>
          </w:p>
        </w:tc>
        <w:tc>
          <w:tcPr>
            <w:tcW w:w="844" w:type="dxa"/>
            <w:tcBorders>
              <w:top w:val="single" w:sz="2" w:space="0" w:color="000000"/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.860</w:t>
            </w:r>
          </w:p>
        </w:tc>
        <w:tc>
          <w:tcPr>
            <w:tcW w:w="843" w:type="dxa"/>
            <w:tcBorders>
              <w:top w:val="single" w:sz="2" w:space="0" w:color="000000"/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844" w:type="dxa"/>
            <w:tcBorders>
              <w:top w:val="single" w:sz="2" w:space="0" w:color="000000"/>
              <w:left w:val="nil"/>
            </w:tcBorders>
            <w:vAlign w:val="center"/>
          </w:tcPr>
          <w:p w:rsidR="00031631" w:rsidRPr="004A55F1" w:rsidRDefault="00E50507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.076</w:t>
            </w:r>
          </w:p>
        </w:tc>
      </w:tr>
      <w:tr w:rsidR="00031631" w:rsidRPr="00607300" w:rsidTr="00E50507">
        <w:tc>
          <w:tcPr>
            <w:tcW w:w="2349" w:type="dxa"/>
            <w:vMerge/>
            <w:tcBorders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tcBorders>
              <w:left w:val="nil"/>
              <w:right w:val="nil"/>
            </w:tcBorders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843" w:type="dxa"/>
            <w:tcBorders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.2</w:t>
            </w:r>
            <w:r>
              <w:rPr>
                <w:rFonts w:ascii="Times New Roman" w:eastAsia="標楷體" w:hAnsi="Times New Roman" w:cs="Times New Roman" w:hint="eastAsia"/>
              </w:rPr>
              <w:t>26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607300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43" w:type="dxa"/>
            <w:tcBorders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158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800</w:t>
            </w:r>
          </w:p>
        </w:tc>
        <w:tc>
          <w:tcPr>
            <w:tcW w:w="843" w:type="dxa"/>
            <w:tcBorders>
              <w:left w:val="nil"/>
              <w:right w:val="nil"/>
            </w:tcBorders>
            <w:vAlign w:val="center"/>
          </w:tcPr>
          <w:p w:rsidR="00031631" w:rsidRPr="00607300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844" w:type="dxa"/>
            <w:tcBorders>
              <w:left w:val="nil"/>
            </w:tcBorders>
            <w:vAlign w:val="center"/>
          </w:tcPr>
          <w:p w:rsidR="00031631" w:rsidRPr="004A55F1" w:rsidRDefault="00031631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 w:rsidRPr="004A55F1">
              <w:rPr>
                <w:rFonts w:ascii="Times New Roman" w:eastAsia="標楷體" w:hAnsi="Times New Roman" w:cs="Times New Roman" w:hint="eastAsia"/>
              </w:rPr>
              <w:t>0</w:t>
            </w:r>
            <w:r w:rsidR="00E50507">
              <w:rPr>
                <w:rFonts w:ascii="Times New Roman" w:eastAsia="標楷體" w:hAnsi="Times New Roman" w:cs="Times New Roman" w:hint="eastAsia"/>
              </w:rPr>
              <w:t>14</w:t>
            </w:r>
          </w:p>
        </w:tc>
      </w:tr>
    </w:tbl>
    <w:p w:rsidR="00031631" w:rsidRPr="00607300" w:rsidRDefault="00031631" w:rsidP="00031631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E50507" w:rsidRDefault="00E50507" w:rsidP="00031631">
      <w:pPr>
        <w:pStyle w:val="a3"/>
        <w:ind w:leftChars="0"/>
        <w:rPr>
          <w:rFonts w:ascii="標楷體" w:eastAsia="標楷體" w:hAnsi="標楷體"/>
        </w:rPr>
      </w:pPr>
      <w:r w:rsidRPr="00E50507">
        <w:rPr>
          <w:rFonts w:ascii="標楷體" w:eastAsia="標楷體" w:hAnsi="標楷體" w:hint="eastAsia"/>
        </w:rPr>
        <w:t xml:space="preserve">由於 </w:t>
      </w:r>
      <w:r w:rsidRPr="00E50507">
        <w:rPr>
          <w:rFonts w:ascii="Times New Roman" w:eastAsia="標楷體" w:hAnsi="Times New Roman" w:cs="Times New Roman"/>
        </w:rPr>
        <w:t>p</w:t>
      </w:r>
      <w:r w:rsidRPr="00E50507">
        <w:rPr>
          <w:rFonts w:ascii="標楷體" w:eastAsia="標楷體" w:hAnsi="標楷體" w:hint="eastAsia"/>
        </w:rPr>
        <w:t xml:space="preserve"> 值小於 </w:t>
      </w:r>
      <w:r w:rsidRPr="00E50507">
        <w:rPr>
          <w:rFonts w:ascii="Times New Roman" w:eastAsia="標楷體" w:hAnsi="Times New Roman" w:cs="Times New Roman"/>
        </w:rPr>
        <w:t>0.05</w:t>
      </w:r>
      <w:r w:rsidRPr="00E50507">
        <w:rPr>
          <w:rFonts w:ascii="標楷體" w:eastAsia="標楷體" w:hAnsi="標楷體" w:hint="eastAsia"/>
        </w:rPr>
        <w:t>，表示數據不符合</w:t>
      </w:r>
      <w:r>
        <w:rPr>
          <w:rFonts w:ascii="標楷體" w:eastAsia="標楷體" w:hAnsi="標楷體" w:hint="eastAsia"/>
        </w:rPr>
        <w:t>常</w:t>
      </w:r>
      <w:r w:rsidRPr="00E50507">
        <w:rPr>
          <w:rFonts w:ascii="標楷體" w:eastAsia="標楷體" w:hAnsi="標楷體" w:hint="eastAsia"/>
        </w:rPr>
        <w:t>態分佈。因此不應該使用</w:t>
      </w:r>
      <w:r w:rsidRPr="00E50507">
        <w:rPr>
          <w:rFonts w:ascii="Times New Roman" w:eastAsia="標楷體" w:hAnsi="Times New Roman" w:cs="Times New Roman"/>
        </w:rPr>
        <w:t>t</w:t>
      </w:r>
      <w:r w:rsidRPr="00E50507">
        <w:rPr>
          <w:rFonts w:ascii="標楷體" w:eastAsia="標楷體" w:hAnsi="標楷體" w:hint="eastAsia"/>
        </w:rPr>
        <w:t>檢定，而應該使用</w:t>
      </w:r>
      <w:r w:rsidRPr="00E50507">
        <w:rPr>
          <w:rFonts w:ascii="Times New Roman" w:eastAsia="標楷體" w:hAnsi="Times New Roman" w:cs="Times New Roman"/>
        </w:rPr>
        <w:t>Mann-Whitney U</w:t>
      </w:r>
      <w:r w:rsidRPr="00E50507">
        <w:rPr>
          <w:rFonts w:ascii="標楷體" w:eastAsia="標楷體" w:hAnsi="標楷體" w:hint="eastAsia"/>
        </w:rPr>
        <w:t>檢定。</w:t>
      </w:r>
    </w:p>
    <w:p w:rsidR="00CA3D5E" w:rsidRDefault="00CA3D5E" w:rsidP="00CA3D5E">
      <w:pPr>
        <w:pStyle w:val="a3"/>
        <w:ind w:leftChars="0"/>
        <w:jc w:val="center"/>
        <w:rPr>
          <w:rFonts w:ascii="標楷體" w:eastAsia="標楷體" w:hAnsi="標楷體" w:hint="eastAsia"/>
        </w:rPr>
      </w:pPr>
      <w:bookmarkStart w:id="0" w:name="_Hlk184091987"/>
      <w:r w:rsidRPr="00E50507">
        <w:rPr>
          <w:rFonts w:ascii="Times New Roman" w:eastAsia="標楷體" w:hAnsi="Times New Roman" w:cs="Times New Roman"/>
        </w:rPr>
        <w:t>Mann-Whitney U</w:t>
      </w:r>
      <w:r w:rsidRPr="00E50507">
        <w:rPr>
          <w:rFonts w:ascii="標楷體" w:eastAsia="標楷體" w:hAnsi="標楷體" w:hint="eastAsia"/>
        </w:rPr>
        <w:t>檢定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CA3D5E" w:rsidTr="00F33770">
        <w:tc>
          <w:tcPr>
            <w:tcW w:w="249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A3D5E" w:rsidRDefault="00CA3D5E" w:rsidP="00031631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249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虛無假設</w:t>
            </w:r>
          </w:p>
        </w:tc>
        <w:tc>
          <w:tcPr>
            <w:tcW w:w="249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確切顯著性</w:t>
            </w:r>
          </w:p>
        </w:tc>
        <w:tc>
          <w:tcPr>
            <w:tcW w:w="249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決策</w:t>
            </w:r>
          </w:p>
        </w:tc>
      </w:tr>
      <w:tr w:rsidR="00CA3D5E" w:rsidTr="00F33770">
        <w:tc>
          <w:tcPr>
            <w:tcW w:w="2494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Learningenvironment</w:t>
            </w:r>
          </w:p>
        </w:tc>
        <w:tc>
          <w:tcPr>
            <w:tcW w:w="2494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7215BB">
              <w:rPr>
                <w:rFonts w:ascii="標楷體" w:eastAsia="標楷體" w:hAnsi="標楷體" w:hint="eastAsia"/>
              </w:rPr>
              <w:t>在男女的類別上，學習環境的分配相同</w:t>
            </w:r>
          </w:p>
        </w:tc>
        <w:tc>
          <w:tcPr>
            <w:tcW w:w="2494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.315</w:t>
            </w:r>
          </w:p>
        </w:tc>
        <w:tc>
          <w:tcPr>
            <w:tcW w:w="2494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7215BB">
              <w:rPr>
                <w:rFonts w:ascii="標楷體" w:eastAsia="標楷體" w:hAnsi="標楷體" w:hint="eastAsia"/>
              </w:rPr>
              <w:t>接受虛無假設</w:t>
            </w:r>
          </w:p>
        </w:tc>
      </w:tr>
      <w:tr w:rsidR="00CA3D5E" w:rsidTr="00F33770">
        <w:tc>
          <w:tcPr>
            <w:tcW w:w="2494" w:type="dxa"/>
            <w:tcBorders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031631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2494" w:type="dxa"/>
            <w:tcBorders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7215BB">
              <w:rPr>
                <w:rFonts w:ascii="標楷體" w:eastAsia="標楷體" w:hAnsi="標楷體" w:hint="eastAsia"/>
              </w:rPr>
              <w:t>在男女的類別上，時間管理的分配相同</w:t>
            </w:r>
          </w:p>
        </w:tc>
        <w:tc>
          <w:tcPr>
            <w:tcW w:w="2494" w:type="dxa"/>
            <w:tcBorders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.481</w:t>
            </w:r>
          </w:p>
        </w:tc>
        <w:tc>
          <w:tcPr>
            <w:tcW w:w="2494" w:type="dxa"/>
            <w:tcBorders>
              <w:left w:val="nil"/>
              <w:right w:val="nil"/>
            </w:tcBorders>
            <w:vAlign w:val="center"/>
          </w:tcPr>
          <w:p w:rsidR="00CA3D5E" w:rsidRDefault="007215BB" w:rsidP="007215BB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7215BB">
              <w:rPr>
                <w:rFonts w:ascii="標楷體" w:eastAsia="標楷體" w:hAnsi="標楷體" w:hint="eastAsia"/>
              </w:rPr>
              <w:t>接受虛無假設</w:t>
            </w:r>
          </w:p>
        </w:tc>
      </w:tr>
    </w:tbl>
    <w:p w:rsidR="007215BB" w:rsidRPr="00607300" w:rsidRDefault="007215BB" w:rsidP="007215BB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bookmarkEnd w:id="0"/>
    <w:p w:rsidR="00031631" w:rsidRDefault="00CA3D5E" w:rsidP="00031631">
      <w:pPr>
        <w:pStyle w:val="a3"/>
        <w:ind w:leftChars="0"/>
        <w:rPr>
          <w:rFonts w:ascii="標楷體" w:eastAsia="標楷體" w:hAnsi="標楷體" w:hint="eastAsia"/>
        </w:rPr>
      </w:pPr>
      <w:r w:rsidRPr="00CA3D5E">
        <w:rPr>
          <w:rFonts w:ascii="標楷體" w:eastAsia="標楷體" w:hAnsi="標楷體" w:hint="eastAsia"/>
        </w:rPr>
        <w:t>採用非參數檢驗研究性別1男2女在時間管理和學習環境上的差異，從上表可以看出：性別1男2女由兩組</w:t>
      </w:r>
      <w:r w:rsidRPr="007215BB">
        <w:rPr>
          <w:rFonts w:ascii="Times New Roman" w:eastAsia="標楷體" w:hAnsi="Times New Roman" w:cs="Times New Roman"/>
        </w:rPr>
        <w:t>（</w:t>
      </w:r>
      <w:r w:rsidRPr="007215BB">
        <w:rPr>
          <w:rFonts w:ascii="Times New Roman" w:eastAsia="標楷體" w:hAnsi="Times New Roman" w:cs="Times New Roman"/>
        </w:rPr>
        <w:t>1.0</w:t>
      </w:r>
      <w:r w:rsidRPr="007215BB">
        <w:rPr>
          <w:rFonts w:ascii="Times New Roman" w:eastAsia="標楷體" w:hAnsi="Times New Roman" w:cs="Times New Roman"/>
        </w:rPr>
        <w:t>、</w:t>
      </w:r>
      <w:r w:rsidRPr="007215BB">
        <w:rPr>
          <w:rFonts w:ascii="Times New Roman" w:eastAsia="標楷體" w:hAnsi="Times New Roman" w:cs="Times New Roman"/>
        </w:rPr>
        <w:t>2.0</w:t>
      </w:r>
      <w:r w:rsidRPr="007215BB">
        <w:rPr>
          <w:rFonts w:ascii="Times New Roman" w:eastAsia="標楷體" w:hAnsi="Times New Roman" w:cs="Times New Roman"/>
        </w:rPr>
        <w:t>）</w:t>
      </w:r>
      <w:r w:rsidRPr="00CA3D5E">
        <w:rPr>
          <w:rFonts w:ascii="標楷體" w:eastAsia="標楷體" w:hAnsi="標楷體" w:hint="eastAsia"/>
        </w:rPr>
        <w:t>組成，因此採用</w:t>
      </w:r>
      <w:r w:rsidR="007215BB" w:rsidRPr="00E50507">
        <w:rPr>
          <w:rFonts w:ascii="Times New Roman" w:eastAsia="標楷體" w:hAnsi="Times New Roman" w:cs="Times New Roman"/>
        </w:rPr>
        <w:t>Mann-Whitney U</w:t>
      </w:r>
      <w:r w:rsidRPr="00CA3D5E">
        <w:rPr>
          <w:rFonts w:ascii="標楷體" w:eastAsia="標楷體" w:hAnsi="標楷體" w:hint="eastAsia"/>
        </w:rPr>
        <w:t>檢驗統計量進行分析。 不同性別的1例男性和2例女性樣本對時間管理無顯著意義</w:t>
      </w:r>
      <w:r w:rsidR="007215BB">
        <w:rPr>
          <w:rFonts w:ascii="標楷體" w:eastAsia="標楷體" w:hAnsi="標楷體" w:hint="eastAsia"/>
        </w:rPr>
        <w:t>；且</w:t>
      </w:r>
      <w:r w:rsidR="00E50507" w:rsidRPr="00E50507">
        <w:rPr>
          <w:rFonts w:ascii="標楷體" w:eastAsia="標楷體" w:hAnsi="標楷體" w:hint="eastAsia"/>
        </w:rPr>
        <w:t>在</w:t>
      </w:r>
      <w:r w:rsidR="00E50507" w:rsidRPr="00E50507">
        <w:rPr>
          <w:rFonts w:ascii="Times New Roman" w:eastAsia="標楷體" w:hAnsi="Times New Roman" w:cs="Times New Roman"/>
        </w:rPr>
        <w:t>Learning Environment</w:t>
      </w:r>
      <w:r w:rsidR="00E50507" w:rsidRPr="00E50507">
        <w:rPr>
          <w:rFonts w:ascii="標楷體" w:eastAsia="標楷體" w:hAnsi="標楷體" w:hint="eastAsia"/>
        </w:rPr>
        <w:t>上，男性和女性之間沒有顯著差異。</w:t>
      </w:r>
    </w:p>
    <w:p w:rsidR="00787B1A" w:rsidRDefault="00787B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787B1A" w:rsidRDefault="002F7126" w:rsidP="002F712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07300">
        <w:rPr>
          <w:rFonts w:ascii="標楷體" w:eastAsia="標楷體" w:hAnsi="標楷體" w:hint="eastAsia"/>
        </w:rPr>
        <w:lastRenderedPageBreak/>
        <w:t>兩個學習面向與期末是否有關連性? 哪些面向具有關聯性?</w:t>
      </w:r>
    </w:p>
    <w:p w:rsidR="00B5229C" w:rsidRPr="00607300" w:rsidRDefault="00B5229C" w:rsidP="00B5229C">
      <w:pPr>
        <w:pStyle w:val="a3"/>
        <w:ind w:leftChars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常態檢定</w:t>
      </w:r>
    </w:p>
    <w:tbl>
      <w:tblPr>
        <w:tblStyle w:val="a4"/>
        <w:tblW w:w="0" w:type="auto"/>
        <w:tblInd w:w="4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1295"/>
        <w:gridCol w:w="1295"/>
        <w:gridCol w:w="1295"/>
        <w:gridCol w:w="1295"/>
        <w:gridCol w:w="1295"/>
        <w:gridCol w:w="1295"/>
      </w:tblGrid>
      <w:tr w:rsidR="00B5229C" w:rsidRPr="00607300" w:rsidTr="00A75DF7">
        <w:tc>
          <w:tcPr>
            <w:tcW w:w="1956" w:type="dxa"/>
            <w:vMerge w:val="restart"/>
            <w:tcBorders>
              <w:top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3885" w:type="dxa"/>
            <w:gridSpan w:val="3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Kolmogorov-Smirnov</w:t>
            </w:r>
            <w:r w:rsidRPr="00607300">
              <w:rPr>
                <w:rFonts w:ascii="標楷體" w:eastAsia="標楷體" w:hAnsi="標楷體" w:hint="eastAsia"/>
              </w:rPr>
              <w:t>檢定</w:t>
            </w:r>
          </w:p>
        </w:tc>
        <w:tc>
          <w:tcPr>
            <w:tcW w:w="3885" w:type="dxa"/>
            <w:gridSpan w:val="3"/>
            <w:tcBorders>
              <w:top w:val="single" w:sz="18" w:space="0" w:color="000000"/>
              <w:lef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Shapiro-Wilk</w:t>
            </w:r>
            <w:r w:rsidRPr="00607300">
              <w:rPr>
                <w:rFonts w:ascii="標楷體" w:eastAsia="標楷體" w:hAnsi="標楷體" w:hint="eastAsia"/>
              </w:rPr>
              <w:t xml:space="preserve"> 常態性檢定</w:t>
            </w:r>
          </w:p>
        </w:tc>
      </w:tr>
      <w:tr w:rsidR="00B5229C" w:rsidRPr="00607300" w:rsidTr="00A75DF7">
        <w:tc>
          <w:tcPr>
            <w:tcW w:w="1956" w:type="dxa"/>
            <w:vMerge/>
            <w:tcBorders>
              <w:bottom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bottom w:val="single" w:sz="18" w:space="0" w:color="000000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</w:tr>
      <w:tr w:rsidR="00B5229C" w:rsidRPr="00607300" w:rsidTr="00A75DF7">
        <w:tc>
          <w:tcPr>
            <w:tcW w:w="1956" w:type="dxa"/>
            <w:tcBorders>
              <w:top w:val="single" w:sz="18" w:space="0" w:color="000000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5229C">
              <w:rPr>
                <w:rFonts w:ascii="Times New Roman" w:eastAsia="標楷體" w:hAnsi="Times New Roman" w:cs="Times New Roman"/>
              </w:rPr>
              <w:t>LearningEnviroment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.232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00</w:t>
            </w: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top w:val="single" w:sz="18" w:space="0" w:color="000000"/>
              <w:left w:val="nil"/>
            </w:tcBorders>
            <w:vAlign w:val="center"/>
          </w:tcPr>
          <w:p w:rsidR="00B5229C" w:rsidRPr="004A55F1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 w:rsidRPr="004A55F1">
              <w:rPr>
                <w:rFonts w:ascii="Times New Roman" w:eastAsia="標楷體" w:hAnsi="Times New Roman" w:cs="Times New Roman" w:hint="eastAsia"/>
              </w:rPr>
              <w:t>00</w:t>
            </w:r>
            <w:r>
              <w:rPr>
                <w:rFonts w:ascii="Times New Roman" w:eastAsia="標楷體" w:hAnsi="Times New Roman" w:cs="Times New Roman"/>
              </w:rPr>
              <w:t>2</w:t>
            </w:r>
            <w:r w:rsidRPr="004A55F1">
              <w:rPr>
                <w:rFonts w:ascii="Times New Roman" w:eastAsia="標楷體" w:hAnsi="Times New Roman" w:cs="Times New Roman"/>
                <w:iCs/>
                <w:color w:val="000000"/>
              </w:rPr>
              <w:t>**</w:t>
            </w:r>
          </w:p>
        </w:tc>
      </w:tr>
      <w:tr w:rsidR="00B5229C" w:rsidRPr="00607300" w:rsidTr="00A75DF7">
        <w:tc>
          <w:tcPr>
            <w:tcW w:w="1956" w:type="dxa"/>
            <w:tcBorders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5229C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131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914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95" w:type="dxa"/>
            <w:tcBorders>
              <w:left w:val="nil"/>
            </w:tcBorders>
            <w:vAlign w:val="center"/>
          </w:tcPr>
          <w:p w:rsidR="00B5229C" w:rsidRPr="004A55F1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 w:rsidRPr="004A55F1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B5229C" w:rsidRPr="00607300" w:rsidTr="00A75DF7">
        <w:tc>
          <w:tcPr>
            <w:tcW w:w="1956" w:type="dxa"/>
            <w:tcBorders>
              <w:right w:val="nil"/>
            </w:tcBorders>
            <w:vAlign w:val="center"/>
          </w:tcPr>
          <w:p w:rsidR="00B5229C" w:rsidRPr="000866B3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5229C">
              <w:rPr>
                <w:rFonts w:ascii="Times New Roman" w:eastAsia="標楷體" w:hAnsi="Times New Roman" w:cs="Times New Roman"/>
              </w:rPr>
              <w:t>FinalScore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202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032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932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vAlign w:val="center"/>
          </w:tcPr>
          <w:p w:rsidR="00B5229C" w:rsidRPr="00607300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5" w:type="dxa"/>
            <w:tcBorders>
              <w:left w:val="nil"/>
            </w:tcBorders>
            <w:vAlign w:val="center"/>
          </w:tcPr>
          <w:p w:rsidR="00B5229C" w:rsidRPr="004A55F1" w:rsidRDefault="00B5229C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168</w:t>
            </w:r>
          </w:p>
        </w:tc>
      </w:tr>
    </w:tbl>
    <w:p w:rsidR="00B5229C" w:rsidRPr="00607300" w:rsidRDefault="00B5229C" w:rsidP="00B5229C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B5229C" w:rsidRDefault="00B5229C" w:rsidP="00B5229C">
      <w:pPr>
        <w:pStyle w:val="a3"/>
        <w:ind w:leftChars="0"/>
        <w:rPr>
          <w:rFonts w:ascii="標楷體" w:eastAsia="標楷體" w:hAnsi="標楷體"/>
        </w:rPr>
      </w:pPr>
      <w:r w:rsidRPr="00B5229C">
        <w:rPr>
          <w:rFonts w:ascii="Times New Roman" w:eastAsia="標楷體" w:hAnsi="Times New Roman" w:cs="Times New Roman"/>
        </w:rPr>
        <w:t>Learning Environment</w:t>
      </w:r>
      <w:r w:rsidRPr="00B5229C">
        <w:rPr>
          <w:rFonts w:ascii="標楷體" w:eastAsia="標楷體" w:hAnsi="標楷體" w:hint="eastAsia"/>
        </w:rPr>
        <w:t>和</w:t>
      </w:r>
      <w:r w:rsidRPr="00B5229C">
        <w:rPr>
          <w:rFonts w:ascii="Times New Roman" w:eastAsia="標楷體" w:hAnsi="Times New Roman" w:cs="Times New Roman"/>
        </w:rPr>
        <w:t>Final Score</w:t>
      </w:r>
      <w:r w:rsidRPr="00B5229C">
        <w:rPr>
          <w:rFonts w:ascii="標楷體" w:eastAsia="標楷體" w:hAnsi="標楷體" w:hint="eastAsia"/>
        </w:rPr>
        <w:t>的</w:t>
      </w:r>
      <w:r w:rsidRPr="00B5229C">
        <w:rPr>
          <w:rFonts w:ascii="Times New Roman" w:eastAsia="標楷體" w:hAnsi="Times New Roman" w:cs="Times New Roman"/>
        </w:rPr>
        <w:t>p</w:t>
      </w:r>
      <w:r w:rsidRPr="00B5229C">
        <w:rPr>
          <w:rFonts w:ascii="標楷體" w:eastAsia="標楷體" w:hAnsi="標楷體" w:hint="eastAsia"/>
        </w:rPr>
        <w:t>值都大於</w:t>
      </w:r>
      <w:r w:rsidRPr="00B5229C">
        <w:rPr>
          <w:rFonts w:ascii="Times New Roman" w:eastAsia="標楷體" w:hAnsi="Times New Roman" w:cs="Times New Roman"/>
        </w:rPr>
        <w:t>0.05</w:t>
      </w:r>
      <w:r w:rsidRPr="00B5229C">
        <w:rPr>
          <w:rFonts w:ascii="標楷體" w:eastAsia="標楷體" w:hAnsi="標楷體" w:hint="eastAsia"/>
        </w:rPr>
        <w:t>，因此可以假設這兩</w:t>
      </w:r>
      <w:proofErr w:type="gramStart"/>
      <w:r w:rsidRPr="00B5229C">
        <w:rPr>
          <w:rFonts w:ascii="標楷體" w:eastAsia="標楷體" w:hAnsi="標楷體" w:hint="eastAsia"/>
        </w:rPr>
        <w:t>個</w:t>
      </w:r>
      <w:proofErr w:type="gramEnd"/>
      <w:r w:rsidRPr="00B5229C">
        <w:rPr>
          <w:rFonts w:ascii="標楷體" w:eastAsia="標楷體" w:hAnsi="標楷體" w:hint="eastAsia"/>
        </w:rPr>
        <w:t>變數符合常態分佈</w:t>
      </w:r>
      <w:r>
        <w:rPr>
          <w:rFonts w:ascii="標楷體" w:eastAsia="標楷體" w:hAnsi="標楷體" w:hint="eastAsia"/>
        </w:rPr>
        <w:t>，但</w:t>
      </w:r>
      <w:r w:rsidRPr="00B5229C">
        <w:rPr>
          <w:rFonts w:ascii="Times New Roman" w:eastAsia="標楷體" w:hAnsi="Times New Roman" w:cs="Times New Roman"/>
        </w:rPr>
        <w:t>Time Management</w:t>
      </w:r>
      <w:r w:rsidRPr="00B5229C">
        <w:rPr>
          <w:rFonts w:ascii="標楷體" w:eastAsia="標楷體" w:hAnsi="標楷體" w:hint="eastAsia"/>
        </w:rPr>
        <w:t>的</w:t>
      </w:r>
      <w:r w:rsidRPr="00B5229C">
        <w:rPr>
          <w:rFonts w:ascii="Times New Roman" w:eastAsia="標楷體" w:hAnsi="Times New Roman" w:cs="Times New Roman"/>
        </w:rPr>
        <w:t>p</w:t>
      </w:r>
      <w:r w:rsidRPr="00B5229C">
        <w:rPr>
          <w:rFonts w:ascii="標楷體" w:eastAsia="標楷體" w:hAnsi="標楷體" w:hint="eastAsia"/>
        </w:rPr>
        <w:t>值小於</w:t>
      </w:r>
      <w:r w:rsidRPr="00B5229C">
        <w:rPr>
          <w:rFonts w:ascii="Times New Roman" w:eastAsia="標楷體" w:hAnsi="Times New Roman" w:cs="Times New Roman"/>
        </w:rPr>
        <w:t>0.05</w:t>
      </w:r>
      <w:r w:rsidRPr="00B5229C">
        <w:rPr>
          <w:rFonts w:ascii="標楷體" w:eastAsia="標楷體" w:hAnsi="標楷體" w:hint="eastAsia"/>
        </w:rPr>
        <w:t>，因此它不符合常態分佈。</w:t>
      </w:r>
    </w:p>
    <w:p w:rsidR="00B5229C" w:rsidRDefault="00B5229C" w:rsidP="00B5229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先針對</w:t>
      </w:r>
      <w:r w:rsidRPr="00B5229C">
        <w:rPr>
          <w:rFonts w:ascii="Times New Roman" w:eastAsia="標楷體" w:hAnsi="Times New Roman" w:cs="Times New Roman"/>
        </w:rPr>
        <w:t>Time Management</w:t>
      </w:r>
      <w:r>
        <w:rPr>
          <w:rFonts w:ascii="Times New Roman" w:eastAsia="標楷體" w:hAnsi="Times New Roman" w:cs="Times New Roman" w:hint="eastAsia"/>
        </w:rPr>
        <w:t>做</w:t>
      </w:r>
      <w:r w:rsidRPr="00B5229C">
        <w:rPr>
          <w:rFonts w:ascii="Times New Roman" w:eastAsia="標楷體" w:hAnsi="Times New Roman" w:cs="Times New Roman" w:hint="eastAsia"/>
        </w:rPr>
        <w:t xml:space="preserve">Spearman's rho </w:t>
      </w:r>
      <w:r w:rsidRPr="00B5229C">
        <w:rPr>
          <w:rFonts w:ascii="Times New Roman" w:eastAsia="標楷體" w:hAnsi="Times New Roman" w:cs="Times New Roman" w:hint="eastAsia"/>
        </w:rPr>
        <w:t>係數</w:t>
      </w:r>
      <w:r>
        <w:rPr>
          <w:rFonts w:ascii="Times New Roman" w:eastAsia="標楷體" w:hAnsi="Times New Roman" w:cs="Times New Roman" w:hint="eastAsia"/>
        </w:rPr>
        <w:t>，再對另外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個變數做</w:t>
      </w:r>
      <w:r w:rsidRPr="00B5229C">
        <w:rPr>
          <w:rFonts w:ascii="Times New Roman" w:eastAsia="標楷體" w:hAnsi="Times New Roman" w:cs="Times New Roman"/>
        </w:rPr>
        <w:t>Pearson</w:t>
      </w:r>
      <w:r>
        <w:rPr>
          <w:rFonts w:ascii="Times New Roman" w:eastAsia="標楷體" w:hAnsi="Times New Roman" w:cs="Times New Roman" w:hint="eastAsia"/>
        </w:rPr>
        <w:t>檢定。</w:t>
      </w:r>
    </w:p>
    <w:p w:rsidR="00F33770" w:rsidRDefault="00F33770" w:rsidP="00F33770">
      <w:pPr>
        <w:pStyle w:val="a3"/>
        <w:ind w:leftChars="0"/>
        <w:jc w:val="center"/>
        <w:rPr>
          <w:rFonts w:ascii="標楷體" w:eastAsia="標楷體" w:hAnsi="標楷體" w:hint="eastAsia"/>
        </w:rPr>
      </w:pPr>
      <w:r w:rsidRPr="00F33770">
        <w:rPr>
          <w:rFonts w:ascii="Times New Roman" w:eastAsia="標楷體" w:hAnsi="Times New Roman" w:cs="Times New Roman"/>
        </w:rPr>
        <w:t>Spearman</w:t>
      </w:r>
      <w:r>
        <w:rPr>
          <w:rFonts w:ascii="Times New Roman" w:eastAsia="標楷體" w:hAnsi="Times New Roman" w:cs="Times New Roman" w:hint="eastAsia"/>
        </w:rPr>
        <w:t>相關</w:t>
      </w:r>
      <w:r w:rsidRPr="00E50507">
        <w:rPr>
          <w:rFonts w:ascii="標楷體" w:eastAsia="標楷體" w:hAnsi="標楷體" w:hint="eastAsia"/>
        </w:rPr>
        <w:t>檢定</w:t>
      </w:r>
    </w:p>
    <w:tbl>
      <w:tblPr>
        <w:tblStyle w:val="a4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349"/>
        <w:gridCol w:w="1527"/>
        <w:gridCol w:w="1527"/>
        <w:gridCol w:w="1528"/>
        <w:gridCol w:w="1527"/>
        <w:gridCol w:w="1528"/>
      </w:tblGrid>
      <w:tr w:rsidR="00F33770" w:rsidRPr="00690342" w:rsidTr="00F33770">
        <w:tc>
          <w:tcPr>
            <w:tcW w:w="2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33770" w:rsidRPr="00F33770" w:rsidRDefault="00F33770" w:rsidP="00A75DF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90342">
              <w:rPr>
                <w:rFonts w:ascii="Times New Roman" w:eastAsia="標楷體" w:hAnsi="Times New Roman" w:cs="Times New Roman"/>
                <w:i/>
              </w:rPr>
              <w:t>M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90342">
              <w:rPr>
                <w:rFonts w:ascii="Times New Roman" w:eastAsia="標楷體" w:hAnsi="Times New Roman" w:cs="Times New Roman"/>
                <w:i/>
              </w:rPr>
              <w:t>SD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Learningenvironment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Final Score</w:t>
            </w:r>
          </w:p>
        </w:tc>
      </w:tr>
      <w:tr w:rsidR="00F33770" w:rsidRPr="00690342" w:rsidTr="00F33770">
        <w:tc>
          <w:tcPr>
            <w:tcW w:w="2349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F33770" w:rsidRDefault="00F33770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Learningenvironment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4.2405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.75529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F33770" w:rsidRPr="00690342" w:rsidRDefault="00F33770" w:rsidP="00F33770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 .</w:t>
            </w:r>
            <w:r w:rsidR="00624A86" w:rsidRPr="00690342">
              <w:rPr>
                <w:rFonts w:ascii="Times New Roman" w:eastAsia="標楷體" w:hAnsi="Times New Roman" w:cs="Times New Roman"/>
              </w:rPr>
              <w:t>359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</w:t>
            </w:r>
            <w:r w:rsidR="00624A86" w:rsidRPr="00690342">
              <w:rPr>
                <w:rFonts w:ascii="Times New Roman" w:eastAsia="標楷體" w:hAnsi="Times New Roman" w:cs="Times New Roman"/>
              </w:rPr>
              <w:t>192</w:t>
            </w:r>
          </w:p>
        </w:tc>
      </w:tr>
      <w:tr w:rsidR="00F33770" w:rsidRPr="00690342" w:rsidTr="00F33770">
        <w:tc>
          <w:tcPr>
            <w:tcW w:w="2349" w:type="dxa"/>
            <w:tcBorders>
              <w:left w:val="nil"/>
              <w:right w:val="nil"/>
            </w:tcBorders>
            <w:vAlign w:val="center"/>
          </w:tcPr>
          <w:p w:rsidR="00F33770" w:rsidRDefault="00F33770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031631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3.2160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.75232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F33770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 .</w:t>
            </w:r>
            <w:r w:rsidR="00624A86" w:rsidRPr="00690342">
              <w:rPr>
                <w:rFonts w:ascii="Times New Roman" w:eastAsia="標楷體" w:hAnsi="Times New Roman" w:cs="Times New Roman"/>
              </w:rPr>
              <w:t>359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-.</w:t>
            </w:r>
            <w:r w:rsidR="00624A86" w:rsidRPr="00690342">
              <w:rPr>
                <w:rFonts w:ascii="Times New Roman" w:eastAsia="標楷體" w:hAnsi="Times New Roman" w:cs="Times New Roman"/>
              </w:rPr>
              <w:t>062</w:t>
            </w:r>
          </w:p>
        </w:tc>
      </w:tr>
      <w:tr w:rsidR="00F33770" w:rsidRPr="00690342" w:rsidTr="00F33770">
        <w:tc>
          <w:tcPr>
            <w:tcW w:w="2349" w:type="dxa"/>
            <w:tcBorders>
              <w:left w:val="nil"/>
              <w:right w:val="nil"/>
            </w:tcBorders>
            <w:vAlign w:val="center"/>
          </w:tcPr>
          <w:p w:rsidR="00F33770" w:rsidRPr="00031631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5229C">
              <w:rPr>
                <w:rFonts w:ascii="Times New Roman" w:eastAsia="標楷體" w:hAnsi="Times New Roman" w:cs="Times New Roman"/>
              </w:rPr>
              <w:t>Final Score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73.20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8.212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</w:t>
            </w:r>
            <w:r w:rsidR="00624A86" w:rsidRPr="00690342">
              <w:rPr>
                <w:rFonts w:ascii="Times New Roman" w:eastAsia="標楷體" w:hAnsi="Times New Roman" w:cs="Times New Roman"/>
              </w:rPr>
              <w:t>192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F33770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 .</w:t>
            </w:r>
            <w:r w:rsidR="00624A86" w:rsidRPr="00690342">
              <w:rPr>
                <w:rFonts w:ascii="Times New Roman" w:eastAsia="標楷體" w:hAnsi="Times New Roman" w:cs="Times New Roman"/>
              </w:rPr>
              <w:t>062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F33770" w:rsidRPr="00690342" w:rsidRDefault="00F33770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:rsidR="00F33770" w:rsidRPr="00607300" w:rsidRDefault="00F33770" w:rsidP="00F33770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EB45B1" w:rsidRPr="00EB45B1" w:rsidRDefault="00EB45B1" w:rsidP="00EB45B1">
      <w:pPr>
        <w:pStyle w:val="a3"/>
        <w:rPr>
          <w:rFonts w:ascii="標楷體" w:eastAsia="標楷體" w:hAnsi="標楷體" w:hint="eastAsia"/>
        </w:rPr>
      </w:pPr>
      <w:r w:rsidRPr="00EB45B1">
        <w:rPr>
          <w:rFonts w:ascii="標楷體" w:eastAsia="標楷體" w:hAnsi="標楷體" w:hint="eastAsia"/>
        </w:rPr>
        <w:t>從上表可知，利用相關分析去研究學習環境和時間管理，</w:t>
      </w:r>
      <w:r>
        <w:rPr>
          <w:rFonts w:ascii="標楷體" w:eastAsia="標楷體" w:hAnsi="標楷體" w:hint="eastAsia"/>
        </w:rPr>
        <w:t>期末</w:t>
      </w:r>
      <w:r w:rsidRPr="00EB45B1">
        <w:rPr>
          <w:rFonts w:ascii="標楷體" w:eastAsia="標楷體" w:hAnsi="標楷體" w:hint="eastAsia"/>
        </w:rPr>
        <w:t>之間的相關關係，使用</w:t>
      </w:r>
      <w:r w:rsidRPr="00EB45B1">
        <w:rPr>
          <w:rFonts w:ascii="Times New Roman" w:eastAsia="標楷體" w:hAnsi="Times New Roman" w:cs="Times New Roman"/>
        </w:rPr>
        <w:t>Spearman</w:t>
      </w:r>
      <w:r w:rsidRPr="00EB45B1">
        <w:rPr>
          <w:rFonts w:ascii="標楷體" w:eastAsia="標楷體" w:hAnsi="標楷體" w:hint="eastAsia"/>
        </w:rPr>
        <w:t>相關係數去表示相關關係的強弱情況。 具體分析可知：</w:t>
      </w:r>
    </w:p>
    <w:p w:rsidR="00B5229C" w:rsidRDefault="00EB45B1" w:rsidP="00EB45B1">
      <w:pPr>
        <w:pStyle w:val="a3"/>
        <w:ind w:leftChars="0"/>
        <w:rPr>
          <w:rFonts w:ascii="標楷體" w:eastAsia="標楷體" w:hAnsi="標楷體"/>
        </w:rPr>
      </w:pPr>
      <w:r w:rsidRPr="00EB45B1">
        <w:rPr>
          <w:rFonts w:ascii="標楷體" w:eastAsia="標楷體" w:hAnsi="標楷體" w:hint="eastAsia"/>
        </w:rPr>
        <w:t>學習環境和時間管理之間的相關係數值為</w:t>
      </w:r>
      <w:r w:rsidRPr="00EB45B1">
        <w:rPr>
          <w:rFonts w:ascii="Times New Roman" w:eastAsia="標楷體" w:hAnsi="Times New Roman" w:cs="Times New Roman"/>
        </w:rPr>
        <w:t>-0.</w:t>
      </w:r>
      <w:r w:rsidR="00624A86">
        <w:rPr>
          <w:rFonts w:ascii="Times New Roman" w:eastAsia="標楷體" w:hAnsi="Times New Roman" w:cs="Times New Roman" w:hint="eastAsia"/>
        </w:rPr>
        <w:t>359</w:t>
      </w:r>
      <w:r w:rsidRPr="00EB45B1">
        <w:rPr>
          <w:rFonts w:ascii="標楷體" w:eastAsia="標楷體" w:hAnsi="標楷體" w:hint="eastAsia"/>
        </w:rPr>
        <w:t>，接近於</w:t>
      </w:r>
      <w:r w:rsidRPr="00EB45B1">
        <w:rPr>
          <w:rFonts w:ascii="Times New Roman" w:eastAsia="標楷體" w:hAnsi="Times New Roman" w:cs="Times New Roman"/>
        </w:rPr>
        <w:t>0</w:t>
      </w:r>
      <w:r w:rsidRPr="00EB45B1">
        <w:rPr>
          <w:rFonts w:ascii="標楷體" w:eastAsia="標楷體" w:hAnsi="標楷體" w:hint="eastAsia"/>
        </w:rPr>
        <w:t>，並且</w:t>
      </w:r>
      <w:r w:rsidR="00624A86">
        <w:rPr>
          <w:rFonts w:ascii="Times New Roman" w:eastAsia="標楷體" w:hAnsi="Times New Roman" w:cs="Times New Roman"/>
        </w:rPr>
        <w:t>p</w:t>
      </w:r>
      <w:r w:rsidRPr="00EB45B1">
        <w:rPr>
          <w:rFonts w:ascii="標楷體" w:eastAsia="標楷體" w:hAnsi="標楷體" w:hint="eastAsia"/>
        </w:rPr>
        <w:t>值為</w:t>
      </w:r>
      <w:r w:rsidRPr="00EB45B1">
        <w:rPr>
          <w:rFonts w:ascii="Times New Roman" w:eastAsia="標楷體" w:hAnsi="Times New Roman" w:cs="Times New Roman"/>
        </w:rPr>
        <w:t>0.</w:t>
      </w:r>
      <w:r w:rsidR="00624A86">
        <w:rPr>
          <w:rFonts w:ascii="Times New Roman" w:eastAsia="標楷體" w:hAnsi="Times New Roman" w:cs="Times New Roman"/>
        </w:rPr>
        <w:t>120</w:t>
      </w:r>
      <w:r w:rsidRPr="00EB45B1">
        <w:rPr>
          <w:rFonts w:ascii="Times New Roman" w:eastAsia="標楷體" w:hAnsi="Times New Roman" w:cs="Times New Roman"/>
        </w:rPr>
        <w:t>&gt;0.05</w:t>
      </w:r>
      <w:r w:rsidRPr="00EB45B1">
        <w:rPr>
          <w:rFonts w:ascii="標楷體" w:eastAsia="標楷體" w:hAnsi="標楷體" w:hint="eastAsia"/>
        </w:rPr>
        <w:t>，因而說明學習環境和時間管理之間並沒有相關關係</w:t>
      </w:r>
      <w:r>
        <w:rPr>
          <w:rFonts w:ascii="標楷體" w:eastAsia="標楷體" w:hAnsi="標楷體" w:hint="eastAsia"/>
        </w:rPr>
        <w:t>；</w:t>
      </w:r>
      <w:r w:rsidRPr="00EB45B1">
        <w:rPr>
          <w:rFonts w:ascii="標楷體" w:eastAsia="標楷體" w:hAnsi="標楷體" w:hint="eastAsia"/>
        </w:rPr>
        <w:t>學習環境和</w:t>
      </w:r>
      <w:r>
        <w:rPr>
          <w:rFonts w:ascii="標楷體" w:eastAsia="標楷體" w:hAnsi="標楷體" w:hint="eastAsia"/>
        </w:rPr>
        <w:t>期末</w:t>
      </w:r>
      <w:r w:rsidRPr="00EB45B1">
        <w:rPr>
          <w:rFonts w:ascii="標楷體" w:eastAsia="標楷體" w:hAnsi="標楷體" w:hint="eastAsia"/>
        </w:rPr>
        <w:t>之間的相關係數值為</w:t>
      </w:r>
      <w:r w:rsidRPr="00624A86">
        <w:rPr>
          <w:rFonts w:ascii="Times New Roman" w:eastAsia="標楷體" w:hAnsi="Times New Roman" w:cs="Times New Roman"/>
        </w:rPr>
        <w:t>0.</w:t>
      </w:r>
      <w:r w:rsidR="00624A86" w:rsidRPr="00624A86">
        <w:rPr>
          <w:rFonts w:ascii="Times New Roman" w:eastAsia="標楷體" w:hAnsi="Times New Roman" w:cs="Times New Roman"/>
        </w:rPr>
        <w:t>192</w:t>
      </w:r>
      <w:r w:rsidRPr="00EB45B1">
        <w:rPr>
          <w:rFonts w:ascii="標楷體" w:eastAsia="標楷體" w:hAnsi="標楷體" w:hint="eastAsia"/>
        </w:rPr>
        <w:t>，接近於0，並且</w:t>
      </w:r>
      <w:r w:rsidR="00624A86" w:rsidRPr="00624A86">
        <w:rPr>
          <w:rFonts w:ascii="Times New Roman" w:eastAsia="標楷體" w:hAnsi="Times New Roman" w:cs="Times New Roman"/>
        </w:rPr>
        <w:t>p</w:t>
      </w:r>
      <w:r w:rsidRPr="00EB45B1">
        <w:rPr>
          <w:rFonts w:ascii="標楷體" w:eastAsia="標楷體" w:hAnsi="標楷體" w:hint="eastAsia"/>
        </w:rPr>
        <w:t>值為</w:t>
      </w:r>
      <w:r w:rsidRPr="00624A86">
        <w:rPr>
          <w:rFonts w:ascii="Times New Roman" w:eastAsia="標楷體" w:hAnsi="Times New Roman" w:cs="Times New Roman"/>
        </w:rPr>
        <w:t>0.</w:t>
      </w:r>
      <w:r w:rsidR="00624A86" w:rsidRPr="00624A86">
        <w:rPr>
          <w:rFonts w:ascii="Times New Roman" w:eastAsia="標楷體" w:hAnsi="Times New Roman" w:cs="Times New Roman"/>
        </w:rPr>
        <w:t>417</w:t>
      </w:r>
      <w:r w:rsidRPr="00624A86">
        <w:rPr>
          <w:rFonts w:ascii="Times New Roman" w:eastAsia="標楷體" w:hAnsi="Times New Roman" w:cs="Times New Roman"/>
        </w:rPr>
        <w:t>&gt;0.05</w:t>
      </w:r>
      <w:r w:rsidRPr="00EB45B1">
        <w:rPr>
          <w:rFonts w:ascii="標楷體" w:eastAsia="標楷體" w:hAnsi="標楷體" w:hint="eastAsia"/>
        </w:rPr>
        <w:t>，因而說明學習環境和</w:t>
      </w:r>
      <w:r w:rsidR="00624A86">
        <w:rPr>
          <w:rFonts w:ascii="標楷體" w:eastAsia="標楷體" w:hAnsi="標楷體" w:hint="eastAsia"/>
        </w:rPr>
        <w:t>期末</w:t>
      </w:r>
      <w:r w:rsidRPr="00EB45B1">
        <w:rPr>
          <w:rFonts w:ascii="標楷體" w:eastAsia="標楷體" w:hAnsi="標楷體" w:hint="eastAsia"/>
        </w:rPr>
        <w:t>之間並沒有相關關係。</w:t>
      </w:r>
    </w:p>
    <w:p w:rsidR="002C1FF2" w:rsidRDefault="002C1FF2" w:rsidP="002C1FF2">
      <w:pPr>
        <w:pStyle w:val="a3"/>
        <w:ind w:leftChars="0"/>
        <w:jc w:val="center"/>
        <w:rPr>
          <w:rFonts w:ascii="標楷體" w:eastAsia="標楷體" w:hAnsi="標楷體" w:hint="eastAsia"/>
        </w:rPr>
      </w:pPr>
      <w:r w:rsidRPr="002C1FF2">
        <w:rPr>
          <w:rFonts w:ascii="Times New Roman" w:eastAsia="標楷體" w:hAnsi="Times New Roman" w:cs="Times New Roman"/>
        </w:rPr>
        <w:t>Pearson</w:t>
      </w:r>
      <w:r>
        <w:rPr>
          <w:rFonts w:ascii="Times New Roman" w:eastAsia="標楷體" w:hAnsi="Times New Roman" w:cs="Times New Roman" w:hint="eastAsia"/>
        </w:rPr>
        <w:t>相關</w:t>
      </w:r>
      <w:r w:rsidRPr="00E50507">
        <w:rPr>
          <w:rFonts w:ascii="標楷體" w:eastAsia="標楷體" w:hAnsi="標楷體" w:hint="eastAsia"/>
        </w:rPr>
        <w:t>檢定</w:t>
      </w:r>
    </w:p>
    <w:tbl>
      <w:tblPr>
        <w:tblStyle w:val="a4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349"/>
        <w:gridCol w:w="1527"/>
        <w:gridCol w:w="1527"/>
        <w:gridCol w:w="1528"/>
        <w:gridCol w:w="1527"/>
        <w:gridCol w:w="1528"/>
      </w:tblGrid>
      <w:tr w:rsidR="002C1FF2" w:rsidTr="00A75DF7">
        <w:tc>
          <w:tcPr>
            <w:tcW w:w="2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C1FF2" w:rsidRPr="00F33770" w:rsidRDefault="002C1FF2" w:rsidP="00A75DF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90342">
              <w:rPr>
                <w:rFonts w:ascii="Times New Roman" w:eastAsia="標楷體" w:hAnsi="Times New Roman" w:cs="Times New Roman"/>
                <w:i/>
              </w:rPr>
              <w:t>M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90342">
              <w:rPr>
                <w:rFonts w:ascii="Times New Roman" w:eastAsia="標楷體" w:hAnsi="Times New Roman" w:cs="Times New Roman"/>
                <w:i/>
              </w:rPr>
              <w:t>SD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Learningenvironment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Final Score</w:t>
            </w:r>
          </w:p>
        </w:tc>
      </w:tr>
      <w:tr w:rsidR="002C1FF2" w:rsidTr="00A75DF7">
        <w:tc>
          <w:tcPr>
            <w:tcW w:w="2349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2C1FF2" w:rsidRDefault="002C1FF2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Learningenvironment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4.2405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.75529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 .406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.231</w:t>
            </w:r>
          </w:p>
        </w:tc>
      </w:tr>
      <w:tr w:rsidR="002C1FF2" w:rsidTr="00A75DF7">
        <w:tc>
          <w:tcPr>
            <w:tcW w:w="2349" w:type="dxa"/>
            <w:tcBorders>
              <w:left w:val="nil"/>
              <w:right w:val="nil"/>
            </w:tcBorders>
            <w:vAlign w:val="center"/>
          </w:tcPr>
          <w:p w:rsidR="002C1FF2" w:rsidRDefault="002C1FF2" w:rsidP="00A75DF7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031631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3.2160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.75232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 .</w:t>
            </w:r>
            <w:r w:rsidR="00690342" w:rsidRPr="00690342">
              <w:rPr>
                <w:rFonts w:ascii="Times New Roman" w:eastAsia="標楷體" w:hAnsi="Times New Roman" w:cs="Times New Roman"/>
              </w:rPr>
              <w:t>406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-.</w:t>
            </w:r>
            <w:r w:rsidR="00690342" w:rsidRPr="00690342">
              <w:rPr>
                <w:rFonts w:ascii="Times New Roman" w:eastAsia="標楷體" w:hAnsi="Times New Roman" w:cs="Times New Roman"/>
              </w:rPr>
              <w:t>104</w:t>
            </w:r>
          </w:p>
        </w:tc>
      </w:tr>
      <w:tr w:rsidR="002C1FF2" w:rsidTr="00A75DF7">
        <w:tc>
          <w:tcPr>
            <w:tcW w:w="2349" w:type="dxa"/>
            <w:tcBorders>
              <w:left w:val="nil"/>
              <w:right w:val="nil"/>
            </w:tcBorders>
            <w:vAlign w:val="center"/>
          </w:tcPr>
          <w:p w:rsidR="002C1FF2" w:rsidRPr="00031631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5229C">
              <w:rPr>
                <w:rFonts w:ascii="Times New Roman" w:eastAsia="標楷體" w:hAnsi="Times New Roman" w:cs="Times New Roman"/>
              </w:rPr>
              <w:t>Final Score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73.20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8.212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.2</w:t>
            </w:r>
            <w:r w:rsidR="00690342" w:rsidRPr="0069034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- .</w:t>
            </w:r>
            <w:r w:rsidR="00690342" w:rsidRPr="00690342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2C1FF2" w:rsidRPr="00690342" w:rsidRDefault="002C1FF2" w:rsidP="00A75D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90342"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:rsidR="002C1FF2" w:rsidRPr="00607300" w:rsidRDefault="002C1FF2" w:rsidP="002C1FF2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2C1FF2" w:rsidRDefault="00690342" w:rsidP="00690342">
      <w:pPr>
        <w:pStyle w:val="a3"/>
        <w:rPr>
          <w:rFonts w:ascii="標楷體" w:eastAsia="標楷體" w:hAnsi="標楷體"/>
        </w:rPr>
      </w:pPr>
      <w:r w:rsidRPr="00690342">
        <w:rPr>
          <w:rFonts w:ascii="Times New Roman" w:eastAsia="標楷體" w:hAnsi="Times New Roman" w:cs="Times New Roman"/>
        </w:rPr>
        <w:t>Time Management</w:t>
      </w:r>
      <w:r w:rsidRPr="00690342">
        <w:rPr>
          <w:rFonts w:ascii="標楷體" w:eastAsia="標楷體" w:hAnsi="標楷體" w:hint="eastAsia"/>
        </w:rPr>
        <w:t xml:space="preserve"> 和 </w:t>
      </w:r>
      <w:r w:rsidRPr="00690342">
        <w:rPr>
          <w:rFonts w:ascii="Times New Roman" w:eastAsia="標楷體" w:hAnsi="Times New Roman" w:cs="Times New Roman"/>
        </w:rPr>
        <w:t>Learning Environment</w:t>
      </w:r>
      <w:r w:rsidRPr="00690342">
        <w:rPr>
          <w:rFonts w:ascii="Times New Roman" w:eastAsia="標楷體" w:hAnsi="Times New Roman" w:cs="Times New Roman"/>
        </w:rPr>
        <w:t>，</w:t>
      </w:r>
      <w:r w:rsidRPr="00690342">
        <w:rPr>
          <w:rFonts w:ascii="Times New Roman" w:eastAsia="標楷體" w:hAnsi="Times New Roman" w:cs="Times New Roman"/>
        </w:rPr>
        <w:t>r = - 0.406</w:t>
      </w:r>
      <w:r w:rsidRPr="00690342">
        <w:rPr>
          <w:rFonts w:ascii="標楷體" w:eastAsia="標楷體" w:hAnsi="標楷體" w:hint="eastAsia"/>
        </w:rPr>
        <w:t>，表示這兩者之間存在中等程度的正相關。也就是說，時間管理的表現和學習環境之間有一定的</w:t>
      </w:r>
      <w:r w:rsidR="0010561B">
        <w:rPr>
          <w:rFonts w:ascii="標楷體" w:eastAsia="標楷體" w:hAnsi="標楷體" w:hint="eastAsia"/>
        </w:rPr>
        <w:t>負</w:t>
      </w:r>
      <w:r w:rsidRPr="00690342">
        <w:rPr>
          <w:rFonts w:ascii="標楷體" w:eastAsia="標楷體" w:hAnsi="標楷體" w:hint="eastAsia"/>
        </w:rPr>
        <w:t>向關聯，但並不是非常強烈</w:t>
      </w:r>
      <w:r>
        <w:rPr>
          <w:rFonts w:ascii="標楷體" w:eastAsia="標楷體" w:hAnsi="標楷體" w:hint="eastAsia"/>
        </w:rPr>
        <w:t>。</w:t>
      </w:r>
    </w:p>
    <w:p w:rsidR="00690342" w:rsidRDefault="00690342" w:rsidP="00690342">
      <w:pPr>
        <w:pStyle w:val="a3"/>
        <w:rPr>
          <w:rFonts w:ascii="標楷體" w:eastAsia="標楷體" w:hAnsi="標楷體"/>
        </w:rPr>
      </w:pPr>
      <w:r w:rsidRPr="00690342">
        <w:rPr>
          <w:rFonts w:ascii="Times New Roman" w:eastAsia="標楷體" w:hAnsi="Times New Roman" w:cs="Times New Roman"/>
        </w:rPr>
        <w:t>Time Managemen</w:t>
      </w:r>
      <w:r w:rsidRPr="00690342">
        <w:rPr>
          <w:rFonts w:ascii="標楷體" w:eastAsia="標楷體" w:hAnsi="標楷體" w:hint="eastAsia"/>
        </w:rPr>
        <w:t xml:space="preserve">t 和 </w:t>
      </w:r>
      <w:r w:rsidRPr="00690342">
        <w:rPr>
          <w:rFonts w:ascii="Times New Roman" w:eastAsia="標楷體" w:hAnsi="Times New Roman" w:cs="Times New Roman"/>
        </w:rPr>
        <w:t>Final Score</w:t>
      </w:r>
      <w:r>
        <w:rPr>
          <w:rFonts w:ascii="標楷體" w:eastAsia="標楷體" w:hAnsi="標楷體" w:hint="eastAsia"/>
        </w:rPr>
        <w:t>，</w:t>
      </w:r>
      <w:r w:rsidRPr="00690342">
        <w:rPr>
          <w:rFonts w:ascii="Times New Roman" w:eastAsia="標楷體" w:hAnsi="Times New Roman" w:cs="Times New Roman"/>
        </w:rPr>
        <w:t xml:space="preserve">r = </w:t>
      </w:r>
      <w:r>
        <w:rPr>
          <w:rFonts w:ascii="Times New Roman" w:eastAsia="標楷體" w:hAnsi="Times New Roman" w:cs="Times New Roman"/>
        </w:rPr>
        <w:t xml:space="preserve">- </w:t>
      </w:r>
      <w:r w:rsidRPr="00690342">
        <w:rPr>
          <w:rFonts w:ascii="Times New Roman" w:eastAsia="標楷體" w:hAnsi="Times New Roman" w:cs="Times New Roman"/>
        </w:rPr>
        <w:t>0.</w:t>
      </w:r>
      <w:r>
        <w:rPr>
          <w:rFonts w:ascii="Times New Roman" w:eastAsia="標楷體" w:hAnsi="Times New Roman" w:cs="Times New Roman"/>
        </w:rPr>
        <w:t>104</w:t>
      </w:r>
      <w:r w:rsidRPr="00690342">
        <w:rPr>
          <w:rFonts w:ascii="標楷體" w:eastAsia="標楷體" w:hAnsi="標楷體" w:hint="eastAsia"/>
        </w:rPr>
        <w:t>，這表示時間管理和期末成績之間</w:t>
      </w:r>
      <w:r w:rsidR="0010561B">
        <w:rPr>
          <w:rFonts w:ascii="標楷體" w:eastAsia="標楷體" w:hAnsi="標楷體" w:hint="eastAsia"/>
        </w:rPr>
        <w:t>較無相關</w:t>
      </w:r>
      <w:r w:rsidRPr="00690342">
        <w:rPr>
          <w:rFonts w:ascii="標楷體" w:eastAsia="標楷體" w:hAnsi="標楷體" w:hint="eastAsia"/>
        </w:rPr>
        <w:t>。表明學生的時間管理能力與期末成績之間存在一定的</w:t>
      </w:r>
      <w:r w:rsidR="0010561B">
        <w:rPr>
          <w:rFonts w:ascii="標楷體" w:eastAsia="標楷體" w:hAnsi="標楷體" w:hint="eastAsia"/>
        </w:rPr>
        <w:t>負</w:t>
      </w:r>
      <w:r w:rsidRPr="00690342">
        <w:rPr>
          <w:rFonts w:ascii="標楷體" w:eastAsia="標楷體" w:hAnsi="標楷體" w:hint="eastAsia"/>
        </w:rPr>
        <w:t>向關聯。</w:t>
      </w:r>
    </w:p>
    <w:p w:rsidR="00690342" w:rsidRDefault="00690342" w:rsidP="0010561B">
      <w:pPr>
        <w:pStyle w:val="a3"/>
        <w:rPr>
          <w:rFonts w:ascii="標楷體" w:eastAsia="標楷體" w:hAnsi="標楷體" w:hint="eastAsia"/>
        </w:rPr>
      </w:pPr>
      <w:r w:rsidRPr="00690342">
        <w:rPr>
          <w:rFonts w:ascii="Times New Roman" w:eastAsia="標楷體" w:hAnsi="Times New Roman" w:cs="Times New Roman"/>
        </w:rPr>
        <w:t>Learning Environment</w:t>
      </w:r>
      <w:r w:rsidRPr="00690342">
        <w:rPr>
          <w:rFonts w:ascii="標楷體" w:eastAsia="標楷體" w:hAnsi="標楷體" w:hint="eastAsia"/>
        </w:rPr>
        <w:t xml:space="preserve"> 和 </w:t>
      </w:r>
      <w:r w:rsidRPr="00690342">
        <w:rPr>
          <w:rFonts w:ascii="Times New Roman" w:eastAsia="標楷體" w:hAnsi="Times New Roman" w:cs="Times New Roman"/>
        </w:rPr>
        <w:t>Final Score</w:t>
      </w:r>
      <w:r>
        <w:rPr>
          <w:rFonts w:ascii="標楷體" w:eastAsia="標楷體" w:hAnsi="標楷體" w:hint="eastAsia"/>
        </w:rPr>
        <w:t>，</w:t>
      </w:r>
      <w:r w:rsidRPr="00690342">
        <w:rPr>
          <w:rFonts w:ascii="Times New Roman" w:eastAsia="標楷體" w:hAnsi="Times New Roman" w:cs="Times New Roman"/>
        </w:rPr>
        <w:t>r = 0.</w:t>
      </w:r>
      <w:r w:rsidR="0010561B">
        <w:rPr>
          <w:rFonts w:ascii="Times New Roman" w:eastAsia="標楷體" w:hAnsi="Times New Roman" w:cs="Times New Roman"/>
        </w:rPr>
        <w:t>231</w:t>
      </w:r>
      <w:r w:rsidRPr="00690342">
        <w:rPr>
          <w:rFonts w:ascii="標楷體" w:eastAsia="標楷體" w:hAnsi="標楷體" w:hint="eastAsia"/>
        </w:rPr>
        <w:t>，這表明學習環境與期末成績之間存在較強的正相關，即學</w:t>
      </w:r>
      <w:r w:rsidRPr="0043401E">
        <w:rPr>
          <w:rFonts w:ascii="標楷體" w:eastAsia="標楷體" w:hAnsi="標楷體" w:hint="eastAsia"/>
          <w:highlight w:val="yellow"/>
        </w:rPr>
        <w:t>習環境越好，學生的期末成績</w:t>
      </w:r>
      <w:proofErr w:type="gramStart"/>
      <w:r w:rsidRPr="0043401E">
        <w:rPr>
          <w:rFonts w:ascii="標楷體" w:eastAsia="標楷體" w:hAnsi="標楷體" w:hint="eastAsia"/>
          <w:highlight w:val="yellow"/>
        </w:rPr>
        <w:t>傾向於越高</w:t>
      </w:r>
      <w:proofErr w:type="gramEnd"/>
      <w:r w:rsidRPr="00690342">
        <w:rPr>
          <w:rFonts w:ascii="標楷體" w:eastAsia="標楷體" w:hAnsi="標楷體" w:hint="eastAsia"/>
        </w:rPr>
        <w:t>。</w:t>
      </w:r>
    </w:p>
    <w:p w:rsidR="00787B1A" w:rsidRDefault="00787B1A" w:rsidP="00690342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bookmarkStart w:id="1" w:name="_GoBack"/>
      <w:bookmarkEnd w:id="1"/>
    </w:p>
    <w:p w:rsidR="008E130D" w:rsidRDefault="002F7126" w:rsidP="002F712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07300">
        <w:rPr>
          <w:rFonts w:ascii="標楷體" w:eastAsia="標楷體" w:hAnsi="標楷體" w:hint="eastAsia"/>
        </w:rPr>
        <w:lastRenderedPageBreak/>
        <w:t>學生分為三組，這三組學生在期末有差異嗎?哪幾組有差異?</w:t>
      </w:r>
    </w:p>
    <w:p w:rsidR="00323BC3" w:rsidRPr="00607300" w:rsidRDefault="00323BC3" w:rsidP="00323BC3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常態檢定</w:t>
      </w:r>
    </w:p>
    <w:tbl>
      <w:tblPr>
        <w:tblStyle w:val="a4"/>
        <w:tblW w:w="0" w:type="auto"/>
        <w:tblInd w:w="4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990"/>
        <w:gridCol w:w="1130"/>
        <w:gridCol w:w="1130"/>
        <w:gridCol w:w="1130"/>
        <w:gridCol w:w="1130"/>
        <w:gridCol w:w="1130"/>
        <w:gridCol w:w="1130"/>
      </w:tblGrid>
      <w:tr w:rsidR="00323BC3" w:rsidRPr="00607300" w:rsidTr="00323BC3">
        <w:tc>
          <w:tcPr>
            <w:tcW w:w="2216" w:type="dxa"/>
            <w:vMerge w:val="restart"/>
            <w:tcBorders>
              <w:top w:val="single" w:sz="18" w:space="0" w:color="000000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990" w:type="dxa"/>
            <w:vMerge w:val="restart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323BC3" w:rsidRPr="00607300" w:rsidRDefault="00323BC3" w:rsidP="00323BC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</w:t>
            </w:r>
            <w:r>
              <w:rPr>
                <w:rFonts w:ascii="Times New Roman" w:eastAsia="標楷體" w:hAnsi="Times New Roman" w:cs="Times New Roman"/>
              </w:rPr>
              <w:t>roup</w:t>
            </w:r>
          </w:p>
        </w:tc>
        <w:tc>
          <w:tcPr>
            <w:tcW w:w="3390" w:type="dxa"/>
            <w:gridSpan w:val="3"/>
            <w:tcBorders>
              <w:top w:val="single" w:sz="18" w:space="0" w:color="000000"/>
              <w:left w:val="nil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Kolmogorov-Smirnov</w:t>
            </w:r>
            <w:r w:rsidRPr="00607300">
              <w:rPr>
                <w:rFonts w:ascii="標楷體" w:eastAsia="標楷體" w:hAnsi="標楷體" w:hint="eastAsia"/>
              </w:rPr>
              <w:t>檢定</w:t>
            </w:r>
          </w:p>
        </w:tc>
        <w:tc>
          <w:tcPr>
            <w:tcW w:w="3390" w:type="dxa"/>
            <w:gridSpan w:val="3"/>
            <w:tcBorders>
              <w:top w:val="single" w:sz="18" w:space="0" w:color="000000"/>
              <w:lef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Times New Roman" w:eastAsia="標楷體" w:hAnsi="Times New Roman" w:cs="Times New Roman"/>
              </w:rPr>
              <w:t>Shapiro-Wilk</w:t>
            </w:r>
            <w:r w:rsidRPr="00607300">
              <w:rPr>
                <w:rFonts w:ascii="標楷體" w:eastAsia="標楷體" w:hAnsi="標楷體" w:hint="eastAsia"/>
              </w:rPr>
              <w:t xml:space="preserve"> 常態性檢定</w:t>
            </w:r>
          </w:p>
        </w:tc>
      </w:tr>
      <w:tr w:rsidR="00323BC3" w:rsidRPr="00607300" w:rsidTr="00323BC3">
        <w:tc>
          <w:tcPr>
            <w:tcW w:w="2216" w:type="dxa"/>
            <w:vMerge/>
            <w:tcBorders>
              <w:bottom w:val="single" w:sz="18" w:space="0" w:color="000000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18" w:space="0" w:color="000000"/>
              <w:right w:val="nil"/>
            </w:tcBorders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13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統計量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自由度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  <w:bottom w:val="single" w:sz="18" w:space="0" w:color="000000"/>
            </w:tcBorders>
            <w:vAlign w:val="center"/>
          </w:tcPr>
          <w:p w:rsidR="00323BC3" w:rsidRPr="00607300" w:rsidRDefault="00323BC3" w:rsidP="00DB69A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 w:rsidRPr="00607300">
              <w:rPr>
                <w:rFonts w:ascii="標楷體" w:eastAsia="標楷體" w:hAnsi="標楷體" w:hint="eastAsia"/>
              </w:rPr>
              <w:t>顯著性</w:t>
            </w:r>
          </w:p>
        </w:tc>
      </w:tr>
      <w:tr w:rsidR="0006041E" w:rsidRPr="00607300" w:rsidTr="00F605B8">
        <w:trPr>
          <w:trHeight w:val="134"/>
        </w:trPr>
        <w:tc>
          <w:tcPr>
            <w:tcW w:w="2216" w:type="dxa"/>
            <w:vMerge w:val="restart"/>
            <w:tcBorders>
              <w:top w:val="single" w:sz="18" w:space="0" w:color="000000"/>
              <w:righ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5229C">
              <w:rPr>
                <w:rFonts w:ascii="Times New Roman" w:eastAsia="標楷體" w:hAnsi="Times New Roman" w:cs="Times New Roman"/>
              </w:rPr>
              <w:t>LearningEnviroment</w:t>
            </w:r>
          </w:p>
        </w:tc>
        <w:tc>
          <w:tcPr>
            <w:tcW w:w="990" w:type="dxa"/>
            <w:tcBorders>
              <w:top w:val="single" w:sz="18" w:space="0" w:color="000000"/>
              <w:left w:val="nil"/>
              <w:bottom w:val="single" w:sz="2" w:space="0" w:color="auto"/>
              <w:right w:val="nil"/>
            </w:tcBorders>
          </w:tcPr>
          <w:p w:rsidR="0006041E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259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170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130" w:type="dxa"/>
            <w:tcBorders>
              <w:top w:val="single" w:sz="18" w:space="0" w:color="000000"/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074</w:t>
            </w:r>
          </w:p>
        </w:tc>
      </w:tr>
      <w:tr w:rsidR="0006041E" w:rsidRPr="00607300" w:rsidTr="00F605B8">
        <w:trPr>
          <w:trHeight w:val="134"/>
        </w:trPr>
        <w:tc>
          <w:tcPr>
            <w:tcW w:w="2216" w:type="dxa"/>
            <w:vMerge/>
            <w:tcBorders>
              <w:right w:val="nil"/>
            </w:tcBorders>
            <w:vAlign w:val="center"/>
          </w:tcPr>
          <w:p w:rsidR="0006041E" w:rsidRPr="00B5229C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6041E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225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200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797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039</w:t>
            </w:r>
            <w:r w:rsidRPr="00607300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06041E" w:rsidRPr="00607300" w:rsidTr="00F605B8">
        <w:trPr>
          <w:trHeight w:val="134"/>
        </w:trPr>
        <w:tc>
          <w:tcPr>
            <w:tcW w:w="2216" w:type="dxa"/>
            <w:vMerge/>
            <w:tcBorders>
              <w:right w:val="nil"/>
            </w:tcBorders>
            <w:vAlign w:val="center"/>
          </w:tcPr>
          <w:p w:rsidR="0006041E" w:rsidRPr="00B5229C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06041E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308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078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780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039</w:t>
            </w:r>
            <w:r w:rsidRPr="00607300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06041E" w:rsidRPr="00607300" w:rsidTr="00AA730D">
        <w:trPr>
          <w:trHeight w:val="134"/>
        </w:trPr>
        <w:tc>
          <w:tcPr>
            <w:tcW w:w="2216" w:type="dxa"/>
            <w:vMerge w:val="restart"/>
            <w:tcBorders>
              <w:righ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5229C">
              <w:rPr>
                <w:rFonts w:ascii="Times New Roman" w:eastAsia="標楷體" w:hAnsi="Times New Roman" w:cs="Times New Roman"/>
              </w:rPr>
              <w:t>TimeManagement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00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7300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880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55F1">
              <w:rPr>
                <w:rFonts w:ascii="Times New Roman" w:eastAsia="標楷體" w:hAnsi="Times New Roman" w:cs="Times New Roman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225</w:t>
            </w:r>
          </w:p>
        </w:tc>
      </w:tr>
      <w:tr w:rsidR="0006041E" w:rsidRPr="00607300" w:rsidTr="00AA730D">
        <w:trPr>
          <w:trHeight w:val="134"/>
        </w:trPr>
        <w:tc>
          <w:tcPr>
            <w:tcW w:w="2216" w:type="dxa"/>
            <w:vMerge/>
            <w:tcBorders>
              <w:right w:val="nil"/>
            </w:tcBorders>
            <w:vAlign w:val="center"/>
          </w:tcPr>
          <w:p w:rsidR="0006041E" w:rsidRPr="00B5229C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184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200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880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225</w:t>
            </w:r>
          </w:p>
        </w:tc>
      </w:tr>
      <w:tr w:rsidR="0006041E" w:rsidRPr="00607300" w:rsidTr="00AA730D">
        <w:trPr>
          <w:trHeight w:val="134"/>
        </w:trPr>
        <w:tc>
          <w:tcPr>
            <w:tcW w:w="2216" w:type="dxa"/>
            <w:vMerge/>
            <w:tcBorders>
              <w:right w:val="nil"/>
            </w:tcBorders>
            <w:vAlign w:val="center"/>
          </w:tcPr>
          <w:p w:rsidR="0006041E" w:rsidRPr="00B5229C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0" w:type="dxa"/>
            <w:tcBorders>
              <w:left w:val="nil"/>
              <w:bottom w:val="single" w:sz="2" w:space="0" w:color="auto"/>
              <w:right w:val="nil"/>
            </w:tcBorders>
          </w:tcPr>
          <w:p w:rsidR="0006041E" w:rsidRPr="00607300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266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200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809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130" w:type="dxa"/>
            <w:tcBorders>
              <w:left w:val="nil"/>
            </w:tcBorders>
            <w:vAlign w:val="center"/>
          </w:tcPr>
          <w:p w:rsidR="0006041E" w:rsidRPr="004A55F1" w:rsidRDefault="0006041E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/>
              </w:rPr>
              <w:t>071</w:t>
            </w:r>
          </w:p>
        </w:tc>
      </w:tr>
    </w:tbl>
    <w:p w:rsidR="00323BC3" w:rsidRPr="00607300" w:rsidRDefault="00323BC3" w:rsidP="00323BC3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361EA7" w:rsidRPr="00484437" w:rsidRDefault="006057F6" w:rsidP="00484437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經過</w:t>
      </w:r>
      <w:proofErr w:type="gramStart"/>
      <w:r>
        <w:rPr>
          <w:rFonts w:ascii="標楷體" w:eastAsia="標楷體" w:hAnsi="標楷體" w:hint="eastAsia"/>
        </w:rPr>
        <w:t>變異數同質</w:t>
      </w:r>
      <w:proofErr w:type="gramEnd"/>
      <w:r>
        <w:rPr>
          <w:rFonts w:ascii="標楷體" w:eastAsia="標楷體" w:hAnsi="標楷體" w:hint="eastAsia"/>
        </w:rPr>
        <w:t>性檢定之後，</w:t>
      </w:r>
      <w:r w:rsidRPr="006057F6">
        <w:rPr>
          <w:rFonts w:ascii="Times New Roman" w:eastAsia="標楷體" w:hAnsi="Times New Roman" w:cs="Times New Roman"/>
        </w:rPr>
        <w:t>p</w:t>
      </w:r>
      <w:r>
        <w:rPr>
          <w:rFonts w:ascii="標楷體" w:eastAsia="標楷體" w:hAnsi="標楷體" w:hint="eastAsia"/>
        </w:rPr>
        <w:t>值為</w:t>
      </w:r>
      <w:r w:rsidRPr="006057F6">
        <w:rPr>
          <w:rFonts w:ascii="Times New Roman" w:eastAsia="標楷體" w:hAnsi="Times New Roman" w:cs="Times New Roman"/>
        </w:rPr>
        <w:t>.214</w:t>
      </w:r>
      <w:r>
        <w:rPr>
          <w:rFonts w:ascii="標楷體" w:eastAsia="標楷體" w:hAnsi="標楷體" w:hint="eastAsia"/>
        </w:rPr>
        <w:t>，因此可以跑後續的統計，使用</w:t>
      </w:r>
      <w:r w:rsidRPr="008155B8">
        <w:rPr>
          <w:rFonts w:ascii="Times New Roman" w:eastAsia="標楷體" w:hAnsi="Times New Roman" w:cs="Times New Roman"/>
        </w:rPr>
        <w:t>ANOVA</w:t>
      </w:r>
      <w:r w:rsidRPr="006057F6">
        <w:rPr>
          <w:rFonts w:ascii="標楷體" w:eastAsia="標楷體" w:hAnsi="標楷體" w:hint="eastAsia"/>
        </w:rPr>
        <w:t>可以一次性比較三組或更多組別</w:t>
      </w:r>
      <w:r>
        <w:rPr>
          <w:rFonts w:ascii="標楷體" w:eastAsia="標楷體" w:hAnsi="標楷體" w:hint="eastAsia"/>
        </w:rPr>
        <w:t>。</w:t>
      </w:r>
    </w:p>
    <w:p w:rsidR="008155B8" w:rsidRDefault="008155B8" w:rsidP="008155B8">
      <w:pPr>
        <w:pStyle w:val="a3"/>
        <w:ind w:leftChars="0"/>
        <w:jc w:val="center"/>
        <w:rPr>
          <w:rFonts w:ascii="標楷體" w:eastAsia="標楷體" w:hAnsi="標楷體" w:hint="eastAsia"/>
        </w:rPr>
      </w:pPr>
      <w:r w:rsidRPr="00A75DF7">
        <w:rPr>
          <w:rFonts w:ascii="Times New Roman" w:eastAsia="標楷體" w:hAnsi="Times New Roman" w:cs="Times New Roman"/>
        </w:rPr>
        <w:t>ANOVA</w:t>
      </w:r>
    </w:p>
    <w:tbl>
      <w:tblPr>
        <w:tblStyle w:val="a4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349"/>
        <w:gridCol w:w="1527"/>
        <w:gridCol w:w="1527"/>
        <w:gridCol w:w="1528"/>
        <w:gridCol w:w="1527"/>
        <w:gridCol w:w="1528"/>
      </w:tblGrid>
      <w:tr w:rsidR="008155B8" w:rsidTr="00562CED">
        <w:tc>
          <w:tcPr>
            <w:tcW w:w="2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155B8" w:rsidRPr="00F33770" w:rsidRDefault="008155B8" w:rsidP="00562CED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155B8" w:rsidRPr="006057F6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57F6">
              <w:rPr>
                <w:rFonts w:ascii="Times New Roman" w:eastAsia="標楷體" w:hAnsi="Times New Roman" w:cs="Times New Roman" w:hint="eastAsia"/>
              </w:rPr>
              <w:t>平方和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155B8" w:rsidRPr="006057F6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057F6">
              <w:rPr>
                <w:rFonts w:ascii="Times New Roman" w:eastAsia="標楷體" w:hAnsi="Times New Roman" w:cs="Times New Roman" w:hint="eastAsia"/>
              </w:rPr>
              <w:t>自由度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平均平方和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155B8" w:rsidRPr="006057F6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6057F6">
              <w:rPr>
                <w:rFonts w:ascii="Times New Roman" w:eastAsia="標楷體" w:hAnsi="Times New Roman" w:cs="Times New Roman"/>
                <w:i/>
              </w:rPr>
              <w:t>p</w:t>
            </w:r>
          </w:p>
        </w:tc>
      </w:tr>
      <w:tr w:rsidR="008155B8" w:rsidTr="00562CED">
        <w:tc>
          <w:tcPr>
            <w:tcW w:w="2349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155B8" w:rsidRDefault="008155B8" w:rsidP="00562CED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組間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402.557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201.279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3.894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.041</w:t>
            </w:r>
            <w:r w:rsidRPr="00607300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8155B8" w:rsidTr="00562CED">
        <w:tc>
          <w:tcPr>
            <w:tcW w:w="2349" w:type="dxa"/>
            <w:tcBorders>
              <w:left w:val="nil"/>
              <w:right w:val="nil"/>
            </w:tcBorders>
            <w:vAlign w:val="center"/>
          </w:tcPr>
          <w:p w:rsidR="008155B8" w:rsidRDefault="008155B8" w:rsidP="00562CED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組內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878.643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8155B8" w:rsidRPr="006057F6" w:rsidRDefault="008155B8" w:rsidP="00562CE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51.685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155B8" w:rsidTr="00562CED">
        <w:tc>
          <w:tcPr>
            <w:tcW w:w="2349" w:type="dxa"/>
            <w:tcBorders>
              <w:left w:val="nil"/>
              <w:right w:val="nil"/>
            </w:tcBorders>
            <w:vAlign w:val="center"/>
          </w:tcPr>
          <w:p w:rsidR="008155B8" w:rsidRPr="00031631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總和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1281.200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8155B8" w:rsidRPr="006057F6" w:rsidRDefault="008155B8" w:rsidP="00562CE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8155B8" w:rsidRPr="00690342" w:rsidRDefault="008155B8" w:rsidP="00562C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8155B8" w:rsidRPr="00607300" w:rsidRDefault="008155B8" w:rsidP="008155B8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8155B8" w:rsidRDefault="008155B8" w:rsidP="008155B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因為p值小於.05，</w:t>
      </w:r>
      <w:r w:rsidRPr="008155B8">
        <w:rPr>
          <w:rFonts w:ascii="標楷體" w:eastAsia="標楷體" w:hAnsi="標楷體" w:hint="eastAsia"/>
        </w:rPr>
        <w:t>可以拒絕零假設，說明</w:t>
      </w:r>
      <w:r w:rsidRPr="008155B8">
        <w:rPr>
          <w:rFonts w:ascii="標楷體" w:eastAsia="標楷體" w:hAnsi="標楷體" w:hint="eastAsia"/>
          <w:highlight w:val="yellow"/>
        </w:rPr>
        <w:t>不同組別在期末成績上有顯著差異</w:t>
      </w:r>
      <w:r>
        <w:rPr>
          <w:rFonts w:ascii="標楷體" w:eastAsia="標楷體" w:hAnsi="標楷體" w:hint="eastAsia"/>
        </w:rPr>
        <w:t>。</w:t>
      </w:r>
    </w:p>
    <w:p w:rsidR="00361EA7" w:rsidRDefault="00361EA7" w:rsidP="00361EA7">
      <w:pPr>
        <w:pStyle w:val="a3"/>
        <w:ind w:leftChars="0"/>
        <w:jc w:val="center"/>
        <w:rPr>
          <w:rFonts w:ascii="標楷體" w:eastAsia="標楷體" w:hAnsi="標楷體" w:hint="eastAsia"/>
        </w:rPr>
      </w:pPr>
      <w:r w:rsidRPr="00361EA7">
        <w:rPr>
          <w:rFonts w:ascii="Times New Roman" w:eastAsia="標楷體" w:hAnsi="Times New Roman" w:cs="Times New Roman" w:hint="eastAsia"/>
        </w:rPr>
        <w:t xml:space="preserve">Post Hoc </w:t>
      </w:r>
      <w:r w:rsidRPr="00361EA7">
        <w:rPr>
          <w:rFonts w:ascii="Times New Roman" w:eastAsia="標楷體" w:hAnsi="Times New Roman" w:cs="Times New Roman" w:hint="eastAsia"/>
        </w:rPr>
        <w:t>檢定</w:t>
      </w:r>
    </w:p>
    <w:tbl>
      <w:tblPr>
        <w:tblStyle w:val="a4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349"/>
        <w:gridCol w:w="1527"/>
        <w:gridCol w:w="1527"/>
        <w:gridCol w:w="1528"/>
        <w:gridCol w:w="1528"/>
      </w:tblGrid>
      <w:tr w:rsidR="00361EA7" w:rsidTr="00EC3C1C">
        <w:trPr>
          <w:trHeight w:val="765"/>
        </w:trPr>
        <w:tc>
          <w:tcPr>
            <w:tcW w:w="2349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361EA7" w:rsidRPr="00361EA7" w:rsidRDefault="00361EA7" w:rsidP="00361EA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361EA7" w:rsidRPr="00361EA7" w:rsidRDefault="00361EA7" w:rsidP="00361EA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61EA7">
              <w:rPr>
                <w:rFonts w:ascii="Times New Roman" w:eastAsia="標楷體" w:hAnsi="Times New Roman" w:cs="Times New Roman" w:hint="eastAsia"/>
              </w:rPr>
              <w:t>G</w:t>
            </w:r>
            <w:r w:rsidRPr="00361EA7">
              <w:rPr>
                <w:rFonts w:ascii="Times New Roman" w:eastAsia="標楷體" w:hAnsi="Times New Roman" w:cs="Times New Roman"/>
              </w:rPr>
              <w:t>roup</w:t>
            </w:r>
            <w:r>
              <w:rPr>
                <w:rFonts w:ascii="Times New Roman" w:eastAsia="標楷體" w:hAnsi="Times New Roman" w:cs="Times New Roman"/>
              </w:rPr>
              <w:t>(I)</w:t>
            </w:r>
          </w:p>
        </w:tc>
        <w:tc>
          <w:tcPr>
            <w:tcW w:w="152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361EA7" w:rsidRPr="00361EA7" w:rsidRDefault="00361EA7" w:rsidP="00361EA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61EA7">
              <w:rPr>
                <w:rFonts w:ascii="Times New Roman" w:eastAsia="標楷體" w:hAnsi="Times New Roman" w:cs="Times New Roman" w:hint="eastAsia"/>
              </w:rPr>
              <w:t>G</w:t>
            </w:r>
            <w:r w:rsidRPr="00361EA7">
              <w:rPr>
                <w:rFonts w:ascii="Times New Roman" w:eastAsia="標楷體" w:hAnsi="Times New Roman" w:cs="Times New Roman"/>
              </w:rPr>
              <w:t>roup(</w:t>
            </w:r>
            <w:r w:rsidRPr="00361EA7">
              <w:rPr>
                <w:rFonts w:ascii="Times New Roman" w:eastAsia="標楷體" w:hAnsi="Times New Roman" w:cs="Times New Roman"/>
              </w:rPr>
              <w:t>J</w:t>
            </w:r>
            <w:r w:rsidRPr="00361EA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361EA7" w:rsidRPr="00361EA7" w:rsidRDefault="00361EA7" w:rsidP="00361EA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SD</w:t>
            </w:r>
          </w:p>
        </w:tc>
        <w:tc>
          <w:tcPr>
            <w:tcW w:w="1528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361EA7" w:rsidRPr="00361EA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i/>
              </w:rPr>
            </w:pPr>
            <w:r w:rsidRPr="006057F6">
              <w:rPr>
                <w:rFonts w:ascii="Times New Roman" w:eastAsia="標楷體" w:hAnsi="Times New Roman" w:cs="Times New Roman"/>
                <w:i/>
              </w:rPr>
              <w:t>p</w:t>
            </w:r>
          </w:p>
        </w:tc>
      </w:tr>
      <w:tr w:rsidR="00361EA7" w:rsidTr="00DB69AA">
        <w:tc>
          <w:tcPr>
            <w:tcW w:w="2349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4437">
              <w:rPr>
                <w:rFonts w:ascii="Times New Roman" w:eastAsia="標楷體" w:hAnsi="Times New Roman" w:cs="Times New Roman"/>
              </w:rPr>
              <w:t>Scheffe</w:t>
            </w:r>
            <w:proofErr w:type="spellEnd"/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3.843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.062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1.000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.120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3.843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.062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4.000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.965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4.000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.120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4.000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DB69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.965</w:t>
            </w:r>
          </w:p>
        </w:tc>
      </w:tr>
      <w:tr w:rsidR="00361EA7" w:rsidTr="00DB69AA">
        <w:tc>
          <w:tcPr>
            <w:tcW w:w="2349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LSD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3.843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.020</w:t>
            </w:r>
            <w:r w:rsidRPr="00484437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361EA7" w:rsidTr="00361EA7">
        <w:trPr>
          <w:trHeight w:val="77"/>
        </w:trPr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4.000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.042</w:t>
            </w:r>
            <w:r w:rsidRPr="00484437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3.843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.020</w:t>
            </w:r>
            <w:r w:rsidRPr="00484437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4.000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.792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4.000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.042</w:t>
            </w:r>
            <w:r w:rsidRPr="00484437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361EA7" w:rsidTr="00DB69AA">
        <w:tc>
          <w:tcPr>
            <w:tcW w:w="2349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vAlign w:val="center"/>
          </w:tcPr>
          <w:p w:rsidR="00361EA7" w:rsidRPr="00484437" w:rsidRDefault="00361EA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27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4.000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vAlign w:val="center"/>
          </w:tcPr>
          <w:p w:rsidR="00361EA7" w:rsidRPr="00484437" w:rsidRDefault="00484437" w:rsidP="00361EA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84437">
              <w:rPr>
                <w:rFonts w:ascii="Times New Roman" w:eastAsia="標楷體" w:hAnsi="Times New Roman" w:cs="Times New Roman"/>
              </w:rPr>
              <w:t>.792</w:t>
            </w:r>
          </w:p>
        </w:tc>
      </w:tr>
    </w:tbl>
    <w:p w:rsidR="00361EA7" w:rsidRPr="00607300" w:rsidRDefault="00361EA7" w:rsidP="00361EA7">
      <w:pPr>
        <w:pStyle w:val="a3"/>
        <w:ind w:leftChars="0"/>
        <w:rPr>
          <w:rFonts w:ascii="Times New Roman" w:eastAsia="標楷體" w:hAnsi="Times New Roman" w:cs="Times New Roman"/>
        </w:rPr>
      </w:pPr>
      <w:r w:rsidRPr="00607300">
        <w:rPr>
          <w:rFonts w:ascii="Times New Roman" w:eastAsia="標楷體" w:hAnsi="Times New Roman" w:cs="Times New Roman"/>
          <w:color w:val="000000"/>
        </w:rPr>
        <w:t>*</w:t>
      </w:r>
      <w:r w:rsidRPr="00607300">
        <w:rPr>
          <w:rFonts w:ascii="Times New Roman" w:eastAsia="標楷體" w:hAnsi="Times New Roman" w:cs="Times New Roman"/>
          <w:i/>
          <w:iCs/>
          <w:color w:val="000000"/>
        </w:rPr>
        <w:t>p&lt;.05, **p&lt;.01, ***p&lt;.001</w:t>
      </w:r>
    </w:p>
    <w:p w:rsidR="00484437" w:rsidRDefault="00361EA7" w:rsidP="008155B8">
      <w:pPr>
        <w:pStyle w:val="a3"/>
        <w:ind w:leftChars="0"/>
        <w:rPr>
          <w:rFonts w:ascii="標楷體" w:eastAsia="標楷體" w:hAnsi="標楷體"/>
        </w:rPr>
      </w:pPr>
      <w:r w:rsidRPr="00361EA7">
        <w:rPr>
          <w:rFonts w:ascii="標楷體" w:eastAsia="標楷體" w:hAnsi="標楷體" w:hint="eastAsia"/>
        </w:rPr>
        <w:t xml:space="preserve">事後檢定 </w:t>
      </w:r>
      <w:r w:rsidRPr="00484437">
        <w:rPr>
          <w:rFonts w:ascii="Times New Roman" w:eastAsia="標楷體" w:hAnsi="Times New Roman" w:cs="Times New Roman"/>
        </w:rPr>
        <w:t>(Post Hoc)</w:t>
      </w:r>
      <w:r w:rsidRPr="00361EA7">
        <w:rPr>
          <w:rFonts w:ascii="標楷體" w:eastAsia="標楷體" w:hAnsi="標楷體" w:hint="eastAsia"/>
        </w:rPr>
        <w:t xml:space="preserve"> 使用了 </w:t>
      </w:r>
      <w:proofErr w:type="spellStart"/>
      <w:r w:rsidRPr="00484437">
        <w:rPr>
          <w:rFonts w:ascii="Times New Roman" w:eastAsia="標楷體" w:hAnsi="Times New Roman" w:cs="Times New Roman"/>
        </w:rPr>
        <w:t>Scheff</w:t>
      </w:r>
      <w:r w:rsidRPr="00361EA7">
        <w:rPr>
          <w:rFonts w:ascii="標楷體" w:eastAsia="標楷體" w:hAnsi="標楷體" w:hint="eastAsia"/>
        </w:rPr>
        <w:t>e</w:t>
      </w:r>
      <w:proofErr w:type="spellEnd"/>
      <w:r w:rsidRPr="00361EA7">
        <w:rPr>
          <w:rFonts w:ascii="標楷體" w:eastAsia="標楷體" w:hAnsi="標楷體" w:hint="eastAsia"/>
        </w:rPr>
        <w:t xml:space="preserve"> 法和 </w:t>
      </w:r>
      <w:r w:rsidRPr="00484437">
        <w:rPr>
          <w:rFonts w:ascii="Times New Roman" w:eastAsia="標楷體" w:hAnsi="Times New Roman" w:cs="Times New Roman"/>
        </w:rPr>
        <w:t>LSD</w:t>
      </w:r>
      <w:r w:rsidRPr="00361EA7">
        <w:rPr>
          <w:rFonts w:ascii="標楷體" w:eastAsia="標楷體" w:hAnsi="標楷體" w:hint="eastAsia"/>
        </w:rPr>
        <w:t xml:space="preserve"> 法來進一步探討各</w:t>
      </w:r>
      <w:proofErr w:type="gramStart"/>
      <w:r w:rsidRPr="00361EA7">
        <w:rPr>
          <w:rFonts w:ascii="標楷體" w:eastAsia="標楷體" w:hAnsi="標楷體" w:hint="eastAsia"/>
        </w:rPr>
        <w:t>組間的差異</w:t>
      </w:r>
      <w:proofErr w:type="gramEnd"/>
      <w:r w:rsidRPr="00361EA7">
        <w:rPr>
          <w:rFonts w:ascii="標楷體" w:eastAsia="標楷體" w:hAnsi="標楷體" w:hint="eastAsia"/>
        </w:rPr>
        <w:t>。</w:t>
      </w:r>
      <w:proofErr w:type="spellStart"/>
      <w:r w:rsidRPr="00484437">
        <w:rPr>
          <w:rFonts w:ascii="Times New Roman" w:eastAsia="標楷體" w:hAnsi="Times New Roman" w:cs="Times New Roman"/>
        </w:rPr>
        <w:t>Scheffe</w:t>
      </w:r>
      <w:proofErr w:type="spellEnd"/>
      <w:r w:rsidRPr="00361EA7">
        <w:rPr>
          <w:rFonts w:ascii="標楷體" w:eastAsia="標楷體" w:hAnsi="標楷體" w:hint="eastAsia"/>
        </w:rPr>
        <w:t xml:space="preserve"> 法的結果顯示，</w:t>
      </w:r>
      <w:r w:rsidRPr="008155B8">
        <w:rPr>
          <w:rFonts w:ascii="標楷體" w:eastAsia="標楷體" w:hAnsi="標楷體" w:hint="eastAsia"/>
          <w:highlight w:val="yellow"/>
        </w:rPr>
        <w:t>第一組和第二組之間的差異接近顯著</w:t>
      </w:r>
      <w:r w:rsidRPr="00484437">
        <w:rPr>
          <w:rFonts w:ascii="Times New Roman" w:eastAsia="標楷體" w:hAnsi="Times New Roman" w:cs="Times New Roman"/>
        </w:rPr>
        <w:t xml:space="preserve"> (p = .062)</w:t>
      </w:r>
      <w:r w:rsidRPr="00361EA7">
        <w:rPr>
          <w:rFonts w:ascii="標楷體" w:eastAsia="標楷體" w:hAnsi="標楷體" w:hint="eastAsia"/>
        </w:rPr>
        <w:t xml:space="preserve">，但未達顯著水準 </w:t>
      </w:r>
      <w:r w:rsidRPr="00484437">
        <w:rPr>
          <w:rFonts w:ascii="Times New Roman" w:eastAsia="標楷體" w:hAnsi="Times New Roman" w:cs="Times New Roman"/>
        </w:rPr>
        <w:t>(p &gt; .05)</w:t>
      </w:r>
      <w:r w:rsidRPr="00361EA7">
        <w:rPr>
          <w:rFonts w:ascii="標楷體" w:eastAsia="標楷體" w:hAnsi="標楷體" w:hint="eastAsia"/>
        </w:rPr>
        <w:t>。而 LSD 法顯示</w:t>
      </w:r>
      <w:r w:rsidRPr="008155B8">
        <w:rPr>
          <w:rFonts w:ascii="標楷體" w:eastAsia="標楷體" w:hAnsi="標楷體" w:hint="eastAsia"/>
          <w:highlight w:val="yellow"/>
        </w:rPr>
        <w:t>第一組與第二組的平均數差異顯著</w:t>
      </w:r>
      <w:r w:rsidRPr="00484437">
        <w:rPr>
          <w:rFonts w:ascii="Times New Roman" w:eastAsia="標楷體" w:hAnsi="Times New Roman" w:cs="Times New Roman"/>
        </w:rPr>
        <w:t xml:space="preserve"> (p = .042)</w:t>
      </w:r>
      <w:r w:rsidRPr="00361EA7">
        <w:rPr>
          <w:rFonts w:ascii="標楷體" w:eastAsia="標楷體" w:hAnsi="標楷體" w:hint="eastAsia"/>
        </w:rPr>
        <w:t>。</w:t>
      </w:r>
    </w:p>
    <w:p w:rsidR="00361EA7" w:rsidRPr="00607300" w:rsidRDefault="00361EA7" w:rsidP="00A75DF7">
      <w:pPr>
        <w:pStyle w:val="a3"/>
        <w:ind w:leftChars="0"/>
        <w:rPr>
          <w:rFonts w:ascii="標楷體" w:eastAsia="標楷體" w:hAnsi="標楷體" w:hint="eastAsia"/>
        </w:rPr>
      </w:pPr>
    </w:p>
    <w:sectPr w:rsidR="00361EA7" w:rsidRPr="00607300" w:rsidSect="004218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1E39"/>
    <w:multiLevelType w:val="multilevel"/>
    <w:tmpl w:val="6E76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7505F"/>
    <w:multiLevelType w:val="hybridMultilevel"/>
    <w:tmpl w:val="5C2C8C86"/>
    <w:lvl w:ilvl="0" w:tplc="CAF00760">
      <w:start w:val="3"/>
      <w:numFmt w:val="bullet"/>
      <w:lvlText w:val="-"/>
      <w:lvlJc w:val="left"/>
      <w:pPr>
        <w:ind w:left="108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4712ADE"/>
    <w:multiLevelType w:val="hybridMultilevel"/>
    <w:tmpl w:val="73FE566A"/>
    <w:lvl w:ilvl="0" w:tplc="85462F8C">
      <w:start w:val="8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434CAA"/>
    <w:multiLevelType w:val="hybridMultilevel"/>
    <w:tmpl w:val="6F7458DC"/>
    <w:lvl w:ilvl="0" w:tplc="F7A66148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8E0847"/>
    <w:multiLevelType w:val="hybridMultilevel"/>
    <w:tmpl w:val="9954C9AE"/>
    <w:lvl w:ilvl="0" w:tplc="030C5C12">
      <w:start w:val="4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917726C"/>
    <w:multiLevelType w:val="hybridMultilevel"/>
    <w:tmpl w:val="B6F69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CE7D5A"/>
    <w:multiLevelType w:val="hybridMultilevel"/>
    <w:tmpl w:val="B2304A20"/>
    <w:lvl w:ilvl="0" w:tplc="DE504BCE">
      <w:start w:val="8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4735F06"/>
    <w:multiLevelType w:val="hybridMultilevel"/>
    <w:tmpl w:val="F4341CC4"/>
    <w:lvl w:ilvl="0" w:tplc="A15E2A7A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5234E0B"/>
    <w:multiLevelType w:val="hybridMultilevel"/>
    <w:tmpl w:val="AFACF9CA"/>
    <w:lvl w:ilvl="0" w:tplc="5984A886">
      <w:start w:val="3"/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14"/>
    <w:rsid w:val="0002221F"/>
    <w:rsid w:val="00031631"/>
    <w:rsid w:val="0006041E"/>
    <w:rsid w:val="000866B3"/>
    <w:rsid w:val="000A0514"/>
    <w:rsid w:val="0010561B"/>
    <w:rsid w:val="00164BF6"/>
    <w:rsid w:val="001A44ED"/>
    <w:rsid w:val="0026374D"/>
    <w:rsid w:val="002C1FF2"/>
    <w:rsid w:val="002F7126"/>
    <w:rsid w:val="00323BC3"/>
    <w:rsid w:val="00335897"/>
    <w:rsid w:val="00361EA7"/>
    <w:rsid w:val="003A4FF4"/>
    <w:rsid w:val="00421851"/>
    <w:rsid w:val="0043401E"/>
    <w:rsid w:val="00484437"/>
    <w:rsid w:val="004A55F1"/>
    <w:rsid w:val="005F421E"/>
    <w:rsid w:val="006057F6"/>
    <w:rsid w:val="00607300"/>
    <w:rsid w:val="00624A86"/>
    <w:rsid w:val="00690342"/>
    <w:rsid w:val="006C1351"/>
    <w:rsid w:val="006F727C"/>
    <w:rsid w:val="00716CC2"/>
    <w:rsid w:val="007215BB"/>
    <w:rsid w:val="00787B1A"/>
    <w:rsid w:val="007C7C15"/>
    <w:rsid w:val="008155B8"/>
    <w:rsid w:val="008429B7"/>
    <w:rsid w:val="0087024A"/>
    <w:rsid w:val="008A0EB6"/>
    <w:rsid w:val="008E130D"/>
    <w:rsid w:val="00946649"/>
    <w:rsid w:val="00A75DF7"/>
    <w:rsid w:val="00B5229C"/>
    <w:rsid w:val="00CA3D5E"/>
    <w:rsid w:val="00CD2FAC"/>
    <w:rsid w:val="00DA1051"/>
    <w:rsid w:val="00E36F4E"/>
    <w:rsid w:val="00E50507"/>
    <w:rsid w:val="00EA037E"/>
    <w:rsid w:val="00EB45B1"/>
    <w:rsid w:val="00F3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3D2F"/>
  <w15:chartTrackingRefBased/>
  <w15:docId w15:val="{B60E96A3-FED8-4F42-BACB-37374F3B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126"/>
    <w:pPr>
      <w:ind w:leftChars="200" w:left="480"/>
    </w:pPr>
  </w:style>
  <w:style w:type="table" w:styleId="a4">
    <w:name w:val="Table Grid"/>
    <w:basedOn w:val="a1"/>
    <w:uiPriority w:val="39"/>
    <w:rsid w:val="006C1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07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073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施盈琪 (112524031)</dc:creator>
  <cp:keywords/>
  <dc:description/>
  <cp:lastModifiedBy>施盈琪 (112524031)</cp:lastModifiedBy>
  <cp:revision>16</cp:revision>
  <dcterms:created xsi:type="dcterms:W3CDTF">2024-12-02T16:09:00Z</dcterms:created>
  <dcterms:modified xsi:type="dcterms:W3CDTF">2024-12-02T21:31:00Z</dcterms:modified>
</cp:coreProperties>
</file>