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898D" w14:textId="77777777" w:rsidR="00F54F9A" w:rsidRDefault="00000000">
      <w:pPr>
        <w:jc w:val="center"/>
      </w:pPr>
      <w:r>
        <w:rPr>
          <w:b/>
          <w:color w:val="1F3864"/>
          <w:sz w:val="40"/>
        </w:rPr>
        <w:t>Fields on the Rise</w:t>
      </w:r>
    </w:p>
    <w:p w14:paraId="61B4D125" w14:textId="77777777" w:rsidR="00F54F9A" w:rsidRDefault="00000000">
      <w:pPr>
        <w:jc w:val="center"/>
      </w:pPr>
      <w:r>
        <w:rPr>
          <w:i/>
          <w:sz w:val="24"/>
        </w:rPr>
        <w:t>Do Fields of Study Align with Labour-Market Outcomes in an AI-Driven Era?</w:t>
      </w:r>
    </w:p>
    <w:p w14:paraId="70C87100" w14:textId="77777777" w:rsidR="00F54F9A" w:rsidRDefault="00000000">
      <w:pPr>
        <w:jc w:val="center"/>
      </w:pPr>
      <w:r>
        <w:rPr>
          <w:sz w:val="20"/>
        </w:rPr>
        <w:t>37373 Programming for Data Analysis  |  Assessment Task 3 – Project Proposal</w:t>
      </w:r>
    </w:p>
    <w:p w14:paraId="54A3F0CE" w14:textId="77777777" w:rsidR="00F54F9A" w:rsidRDefault="00000000">
      <w:pPr>
        <w:jc w:val="center"/>
      </w:pPr>
      <w:r>
        <w:rPr>
          <w:sz w:val="20"/>
        </w:rPr>
        <w:t>Group 12</w:t>
      </w:r>
    </w:p>
    <w:p w14:paraId="3059E694" w14:textId="77777777" w:rsidR="00F54F9A" w:rsidRDefault="00F54F9A"/>
    <w:p w14:paraId="03EF8A25" w14:textId="77777777" w:rsidR="00F54F9A" w:rsidRDefault="00000000">
      <w:pPr>
        <w:pStyle w:val="Heading1"/>
      </w:pPr>
      <w:r>
        <w:rPr>
          <w:color w:val="1F3864"/>
        </w:rPr>
        <w:t>1. Abstract</w:t>
      </w:r>
    </w:p>
    <w:p w14:paraId="179360C5" w14:textId="77777777" w:rsidR="00F54F9A" w:rsidRDefault="00000000">
      <w:r>
        <w:t>This project investigates whether fields of study that appear promising today remain aligned with labour-market outcomes by the time students graduate.</w:t>
      </w:r>
    </w:p>
    <w:p w14:paraId="0BF4294E" w14:textId="77777777" w:rsidR="00F54F9A" w:rsidRDefault="00000000">
      <w:r>
        <w:t>Many university students experience uncertainty about whether their chosen field will remain valuable in the next 3–4 years. AI discourse creates conflicting signals: some argue technical fields are the future, while others warn automation may reduce those same opportunities.</w:t>
      </w:r>
    </w:p>
    <w:p w14:paraId="30E1509B" w14:textId="77777777" w:rsidR="00F54F9A" w:rsidRDefault="00000000">
      <w:r>
        <w:t>Using two OECD datasets, this project compares education participation (input) with employment outcomes (output) across five broad fields: Humanities, Business, Engineering, Computing/AI, and Health. The goal is to identify which fields are structurally strong, which may be over-valued, and which may be under-recognised.</w:t>
      </w:r>
    </w:p>
    <w:p w14:paraId="4EDE17C9" w14:textId="77777777" w:rsidR="00F54F9A" w:rsidRDefault="00000000">
      <w:r>
        <w:t>The project treats AI and technological change as contextual motivation, not as a measured causal variable. The focus is on alignment.</w:t>
      </w:r>
    </w:p>
    <w:p w14:paraId="39434CD1" w14:textId="77777777" w:rsidR="00F54F9A" w:rsidRDefault="00000000">
      <w:pPr>
        <w:pStyle w:val="Heading1"/>
      </w:pPr>
      <w:r>
        <w:rPr>
          <w:color w:val="1F3864"/>
        </w:rPr>
        <w:t>2. Motivation and Contribution</w:t>
      </w:r>
    </w:p>
    <w:p w14:paraId="65E6BCC0" w14:textId="77777777" w:rsidR="00F54F9A" w:rsidRDefault="00000000">
      <w:pPr>
        <w:pStyle w:val="Heading2"/>
      </w:pPr>
      <w:r>
        <w:t>Motivation</w:t>
      </w:r>
    </w:p>
    <w:p w14:paraId="5FE3EEE2" w14:textId="77777777" w:rsidR="00F54F9A" w:rsidRDefault="00000000">
      <w:r>
        <w:t>University students increasingly face the question: if a field is considered promising today, will it still show strong labour-market outcomes in 3–4 years?</w:t>
      </w:r>
    </w:p>
    <w:p w14:paraId="46504BD6" w14:textId="77777777" w:rsidR="00F54F9A" w:rsidRDefault="00000000">
      <w:r>
        <w:t>This project is motivated by that uncertainty. Rather than tracking why students choose certain fields, it focuses on whether those choices are supported by actual labour-market outcomes.</w:t>
      </w:r>
    </w:p>
    <w:p w14:paraId="117A34A0" w14:textId="77777777" w:rsidR="00F54F9A" w:rsidRDefault="00000000">
      <w:pPr>
        <w:pStyle w:val="Heading2"/>
      </w:pPr>
      <w:r>
        <w:t>Contribution</w:t>
      </w:r>
    </w:p>
    <w:p w14:paraId="18419679" w14:textId="77777777" w:rsidR="00F54F9A" w:rsidRDefault="00000000">
      <w:r>
        <w:t>The project provides evidence-based career insight for students choosing majors, graduates planning pathways, and educators reviewing field demand. Findings help distinguish between fields with strong labour-market alignment, fields that may be over-valued, and fields that may be under-recognised despite strong employment outcomes.</w:t>
      </w:r>
    </w:p>
    <w:p w14:paraId="27366A36" w14:textId="77777777" w:rsidR="00F54F9A" w:rsidRDefault="00000000">
      <w:r>
        <w:t>Technically, the project demonstrates: cleaning and transforming OECD datasets, field classification standardisation, time-series analysis, and alignment visualisation in Python.</w:t>
      </w:r>
    </w:p>
    <w:p w14:paraId="6D9573AE" w14:textId="77777777" w:rsidR="00F54F9A" w:rsidRDefault="00000000">
      <w:pPr>
        <w:pStyle w:val="Heading1"/>
      </w:pPr>
      <w:r>
        <w:rPr>
          <w:color w:val="1F3864"/>
        </w:rPr>
        <w:lastRenderedPageBreak/>
        <w:t>3. Research Questions</w:t>
      </w:r>
    </w:p>
    <w:p w14:paraId="1983C0CA" w14:textId="77777777" w:rsidR="00F54F9A" w:rsidRDefault="00000000">
      <w:pPr>
        <w:pStyle w:val="Heading2"/>
      </w:pPr>
      <w:r>
        <w:t>Main Research Question</w:t>
      </w:r>
    </w:p>
    <w:p w14:paraId="6E87D27B" w14:textId="77777777" w:rsidR="00F54F9A" w:rsidRDefault="00000000">
      <w:r>
        <w:rPr>
          <w:b/>
        </w:rPr>
        <w:t>Do changes in field-of-study participation align with labour-market outcomes across broad fields during a period of rapid technological change?</w:t>
      </w:r>
    </w:p>
    <w:p w14:paraId="6BA2B55D" w14:textId="77777777" w:rsidR="00F54F9A" w:rsidRDefault="00000000">
      <w:pPr>
        <w:pStyle w:val="Heading2"/>
      </w:pPr>
      <w:r>
        <w:t>Sub-questions</w:t>
      </w:r>
    </w:p>
    <w:p w14:paraId="5C149437" w14:textId="77777777" w:rsidR="00F54F9A" w:rsidRDefault="00000000">
      <w:pPr>
        <w:pStyle w:val="ListNumber"/>
      </w:pPr>
      <w:r>
        <w:t>Which broad fields have gained or lost educational participation over time?</w:t>
      </w:r>
    </w:p>
    <w:p w14:paraId="1C86DD52" w14:textId="77777777" w:rsidR="00F54F9A" w:rsidRDefault="00000000">
      <w:pPr>
        <w:pStyle w:val="ListNumber"/>
      </w:pPr>
      <w:r>
        <w:t>Which fields show stronger labour-market outcomes (employment rates)?</w:t>
      </w:r>
    </w:p>
    <w:p w14:paraId="7CE5565F" w14:textId="77777777" w:rsidR="00F54F9A" w:rsidRDefault="00000000">
      <w:pPr>
        <w:pStyle w:val="ListNumber"/>
      </w:pPr>
      <w:r>
        <w:t>Which fields show the greatest mismatch between participation (input) and outcomes (output)?</w:t>
      </w:r>
    </w:p>
    <w:p w14:paraId="052F7493" w14:textId="672C0E8F" w:rsidR="00F54F9A" w:rsidRDefault="00E763C8">
      <w:pPr>
        <w:pStyle w:val="ListNumber"/>
      </w:pPr>
      <w:r>
        <w:t>Do technical fields show stronger participation growth during the recent AI acceleration period compared to other broad fields?</w:t>
      </w:r>
      <w:r>
        <w:t xml:space="preserve"> </w:t>
      </w:r>
      <w:r w:rsidR="00000000">
        <w:t>[Optional Contextual Layer]</w:t>
      </w:r>
    </w:p>
    <w:p w14:paraId="0897DAD6" w14:textId="77777777" w:rsidR="00F54F9A" w:rsidRDefault="00000000">
      <w:pPr>
        <w:pStyle w:val="Heading1"/>
      </w:pPr>
      <w:r>
        <w:rPr>
          <w:color w:val="1F3864"/>
        </w:rPr>
        <w:t>4. Data Strategy</w:t>
      </w:r>
    </w:p>
    <w:p w14:paraId="44B2F665" w14:textId="77777777" w:rsidR="00F54F9A" w:rsidRDefault="00000000">
      <w:pPr>
        <w:pStyle w:val="Heading2"/>
      </w:pPr>
      <w:r>
        <w:t>Unit of Analysis</w:t>
      </w:r>
    </w:p>
    <w:p w14:paraId="20A35271" w14:textId="77777777" w:rsidR="00F54F9A" w:rsidRDefault="00000000">
      <w:r>
        <w:t>The primary unit is year × country × broad field. Each row represents one year, one OECD country, and one broad field of study.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F54F9A" w14:paraId="105E6B05" w14:textId="77777777" w:rsidTr="00F54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9E730C" w14:textId="77777777" w:rsidR="00F54F9A" w:rsidRDefault="00000000">
            <w:r>
              <w:t>Year</w:t>
            </w:r>
          </w:p>
        </w:tc>
        <w:tc>
          <w:tcPr>
            <w:tcW w:w="2268" w:type="dxa"/>
          </w:tcPr>
          <w:p w14:paraId="3DB05D77" w14:textId="77777777" w:rsidR="00F54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</w:t>
            </w:r>
          </w:p>
        </w:tc>
        <w:tc>
          <w:tcPr>
            <w:tcW w:w="2268" w:type="dxa"/>
          </w:tcPr>
          <w:p w14:paraId="31FE6A5C" w14:textId="77777777" w:rsidR="00F54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</w:t>
            </w:r>
          </w:p>
        </w:tc>
        <w:tc>
          <w:tcPr>
            <w:tcW w:w="2268" w:type="dxa"/>
          </w:tcPr>
          <w:p w14:paraId="084313E2" w14:textId="77777777" w:rsidR="00F54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Employment Rate</w:t>
            </w:r>
          </w:p>
        </w:tc>
      </w:tr>
      <w:tr w:rsidR="00F54F9A" w14:paraId="3DA8F7F4" w14:textId="77777777" w:rsidTr="00F54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3C4ED9" w14:textId="77777777" w:rsidR="00F54F9A" w:rsidRDefault="00000000">
            <w:r>
              <w:t>2020</w:t>
            </w:r>
          </w:p>
        </w:tc>
        <w:tc>
          <w:tcPr>
            <w:tcW w:w="2268" w:type="dxa"/>
          </w:tcPr>
          <w:p w14:paraId="51A99EDE" w14:textId="77777777" w:rsidR="00F5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Australia</w:t>
            </w:r>
          </w:p>
        </w:tc>
        <w:tc>
          <w:tcPr>
            <w:tcW w:w="2268" w:type="dxa"/>
          </w:tcPr>
          <w:p w14:paraId="734081CA" w14:textId="77777777" w:rsidR="00F5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Computing</w:t>
            </w:r>
          </w:p>
        </w:tc>
        <w:tc>
          <w:tcPr>
            <w:tcW w:w="2268" w:type="dxa"/>
          </w:tcPr>
          <w:p w14:paraId="0CC005BE" w14:textId="77777777" w:rsidR="00F5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89.2%</w:t>
            </w:r>
          </w:p>
        </w:tc>
      </w:tr>
      <w:tr w:rsidR="00F54F9A" w14:paraId="6C694D6D" w14:textId="77777777" w:rsidTr="00F54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63D32BF" w14:textId="77777777" w:rsidR="00F54F9A" w:rsidRDefault="00000000">
            <w:r>
              <w:t>2021</w:t>
            </w:r>
          </w:p>
        </w:tc>
        <w:tc>
          <w:tcPr>
            <w:tcW w:w="2268" w:type="dxa"/>
          </w:tcPr>
          <w:p w14:paraId="44D07A77" w14:textId="77777777" w:rsidR="00F5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Australia</w:t>
            </w:r>
          </w:p>
        </w:tc>
        <w:tc>
          <w:tcPr>
            <w:tcW w:w="2268" w:type="dxa"/>
          </w:tcPr>
          <w:p w14:paraId="0CF70019" w14:textId="77777777" w:rsidR="00F5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Computing</w:t>
            </w:r>
          </w:p>
        </w:tc>
        <w:tc>
          <w:tcPr>
            <w:tcW w:w="2268" w:type="dxa"/>
          </w:tcPr>
          <w:p w14:paraId="7ACB82E4" w14:textId="77777777" w:rsidR="00F5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90.1%</w:t>
            </w:r>
          </w:p>
        </w:tc>
      </w:tr>
    </w:tbl>
    <w:p w14:paraId="1ECC3E51" w14:textId="77777777" w:rsidR="00F54F9A" w:rsidRDefault="00F54F9A"/>
    <w:p w14:paraId="1C7F7CAC" w14:textId="77777777" w:rsidR="00F54F9A" w:rsidRDefault="00000000">
      <w:r>
        <w:t>Broad fields are grouped into five clusters — Humanities, Business, Engineering, Computing/AI, Health — because detailed degree and occupation labels do not always align directly.</w:t>
      </w:r>
    </w:p>
    <w:p w14:paraId="61DEA4C1" w14:textId="77777777" w:rsidR="00F54F9A" w:rsidRDefault="00000000">
      <w:pPr>
        <w:pStyle w:val="Heading2"/>
      </w:pPr>
      <w:r>
        <w:t>Geographic Scope</w:t>
      </w:r>
    </w:p>
    <w:p w14:paraId="1B7A474C" w14:textId="5F2FBCF5" w:rsidR="00E763C8" w:rsidRDefault="00E763C8">
      <w:r>
        <w:t>The analysis will focus on OECD countries, while Australia may be highlighted in examples for interpretation.</w:t>
      </w:r>
    </w:p>
    <w:p w14:paraId="42085A16" w14:textId="77777777" w:rsidR="00F54F9A" w:rsidRDefault="00000000">
      <w:pPr>
        <w:pStyle w:val="Heading2"/>
      </w:pPr>
      <w:r>
        <w:t>Input vs Output Framework</w:t>
      </w:r>
    </w:p>
    <w:p w14:paraId="5574CCBE" w14:textId="77777777" w:rsidR="00F54F9A" w:rsidRDefault="00000000">
      <w:pPr>
        <w:pStyle w:val="ListBullet"/>
      </w:pPr>
      <w:r>
        <w:t>Input — Education Participation: enrolment share, new entrants, graduate proportions by field.</w:t>
      </w:r>
    </w:p>
    <w:p w14:paraId="7CDF6B30" w14:textId="77777777" w:rsidR="00F54F9A" w:rsidRDefault="00000000">
      <w:pPr>
        <w:pStyle w:val="ListBullet"/>
      </w:pPr>
      <w:r>
        <w:t>Output — Labour-Market Outcome: employment rates by field of study.</w:t>
      </w:r>
    </w:p>
    <w:p w14:paraId="22200C4C" w14:textId="77777777" w:rsidR="00F54F9A" w:rsidRDefault="00000000">
      <w:r>
        <w:t>The core analysis tests whether Input and Output move in the same direction.</w:t>
      </w:r>
    </w:p>
    <w:p w14:paraId="42847CD3" w14:textId="77777777" w:rsidR="00F54F9A" w:rsidRDefault="00000000">
      <w:pPr>
        <w:pStyle w:val="Heading1"/>
      </w:pPr>
      <w:r>
        <w:rPr>
          <w:color w:val="1F3864"/>
        </w:rPr>
        <w:lastRenderedPageBreak/>
        <w:t>5. Dataset Selection</w:t>
      </w:r>
    </w:p>
    <w:p w14:paraId="6FB593D9" w14:textId="77777777" w:rsidR="00F54F9A" w:rsidRDefault="00000000">
      <w:pPr>
        <w:pStyle w:val="Heading2"/>
      </w:pPr>
      <w:r>
        <w:t>Main Dataset 1: OECD – Distribution of Enrolled Students, New Entrants and Graduates by Field of Education</w:t>
      </w:r>
    </w:p>
    <w:p w14:paraId="23F5ECEF" w14:textId="77777777" w:rsidR="00F54F9A" w:rsidRDefault="00000000">
      <w:r>
        <w:t>Education-side dataset. Provides graduate share and enrolment distribution by broad field across OECD countries. Coverage: ~2015–2023.</w:t>
      </w:r>
    </w:p>
    <w:p w14:paraId="2C8F6577" w14:textId="77777777" w:rsidR="00F54F9A" w:rsidRDefault="00000000">
      <w:pPr>
        <w:pStyle w:val="Heading2"/>
      </w:pPr>
      <w:r>
        <w:t>Main Dataset 2: OECD – Employment Rates of Tertiary-Educated Adults by Field of Study</w:t>
      </w:r>
    </w:p>
    <w:p w14:paraId="14345B80" w14:textId="77777777" w:rsidR="00F54F9A" w:rsidRDefault="00000000">
      <w:r>
        <w:t>Labour-outcome dataset. Provides employment rates by broad field across OECD countries. Coverage: ~2017–2024.</w:t>
      </w:r>
    </w:p>
    <w:p w14:paraId="37A70C1A" w14:textId="77777777" w:rsidR="00F54F9A" w:rsidRDefault="00000000">
      <w:pPr>
        <w:pStyle w:val="Heading2"/>
      </w:pPr>
      <w:r>
        <w:t>Why Two OECD Datasets Only</w:t>
      </w:r>
    </w:p>
    <w:p w14:paraId="1E8809AE" w14:textId="77777777" w:rsidR="00F54F9A" w:rsidRDefault="00000000">
      <w:r>
        <w:t>JSA (Jobs and Skills Australia), QILT Graduate Outcomes Survey, and Australian Department of Education data were considered but excluded. JSA is occupation-based, creating field-mapping complexity. GOS is Australia-only with short-term outcomes. Australian Department of Education data uses a separate classification system, reducing OECD comparability.</w:t>
      </w:r>
    </w:p>
    <w:p w14:paraId="63E80F95" w14:textId="77777777" w:rsidR="00F54F9A" w:rsidRDefault="00000000">
      <w:r>
        <w:t>Using two OECD datasets ensures consistent ISCED-F 2013 classification across both datasets, clean merging, and manageable scope.</w:t>
      </w:r>
    </w:p>
    <w:p w14:paraId="58AAA9E2" w14:textId="77777777" w:rsidR="00F54F9A" w:rsidRDefault="00000000">
      <w:pPr>
        <w:pStyle w:val="Heading1"/>
      </w:pPr>
      <w:r>
        <w:rPr>
          <w:color w:val="1F3864"/>
        </w:rPr>
        <w:t>6. Planned Analysis</w:t>
      </w:r>
    </w:p>
    <w:p w14:paraId="26442C61" w14:textId="77777777" w:rsidR="00F54F9A" w:rsidRDefault="00000000">
      <w:pPr>
        <w:pStyle w:val="Heading2"/>
      </w:pPr>
      <w:r>
        <w:t>Stage 1 – Education Participation Trends</w:t>
      </w:r>
    </w:p>
    <w:p w14:paraId="20674095" w14:textId="77777777" w:rsidR="00F54F9A" w:rsidRDefault="00000000">
      <w:r>
        <w:t>Track graduate share by broad field over time. Identify which fields are rising or declining. Visualisations: time-series line charts, bar charts.</w:t>
      </w:r>
    </w:p>
    <w:p w14:paraId="34256893" w14:textId="77777777" w:rsidR="00F54F9A" w:rsidRDefault="00000000">
      <w:pPr>
        <w:pStyle w:val="Heading2"/>
      </w:pPr>
      <w:r>
        <w:t>Stage 2 – Labour-Market Outcome Comparison</w:t>
      </w:r>
    </w:p>
    <w:p w14:paraId="1A299E14" w14:textId="77777777" w:rsidR="00F54F9A" w:rsidRDefault="00000000">
      <w:r>
        <w:t>Compare employment rates across broad fields. Identify which fields perform strongly and whether high-participation fields maintain strong employment outcomes. Visualisations: bar charts, field ranking.</w:t>
      </w:r>
    </w:p>
    <w:p w14:paraId="49A23477" w14:textId="77777777" w:rsidR="00F54F9A" w:rsidRDefault="00000000">
      <w:pPr>
        <w:pStyle w:val="Heading2"/>
      </w:pPr>
      <w:r>
        <w:t>Stage 3 – Alignment Analysis</w:t>
      </w:r>
    </w:p>
    <w:p w14:paraId="6EC392D8" w14:textId="77777777" w:rsidR="00F54F9A" w:rsidRDefault="00000000">
      <w:r>
        <w:t>Quadrant analysis comparing participation (x-axis) and employment rate (y-axis). Median values define the quadrant boundaries, placing each field into one of four categories:</w:t>
      </w:r>
    </w:p>
    <w:p w14:paraId="5FE54B99" w14:textId="77777777" w:rsidR="00F54F9A" w:rsidRDefault="00000000">
      <w:pPr>
        <w:pStyle w:val="ListBullet"/>
      </w:pPr>
      <w:r>
        <w:t>High participation / high employment — structurally aligned</w:t>
      </w:r>
    </w:p>
    <w:p w14:paraId="7A921268" w14:textId="77777777" w:rsidR="00F54F9A" w:rsidRDefault="00000000">
      <w:pPr>
        <w:pStyle w:val="ListBullet"/>
      </w:pPr>
      <w:r>
        <w:t>High participation / low employment — potentially over-valued</w:t>
      </w:r>
    </w:p>
    <w:p w14:paraId="50D91A37" w14:textId="77777777" w:rsidR="00F54F9A" w:rsidRDefault="00000000">
      <w:pPr>
        <w:pStyle w:val="ListBullet"/>
      </w:pPr>
      <w:r>
        <w:t>Low participation / high employment — potentially under-recognised</w:t>
      </w:r>
    </w:p>
    <w:p w14:paraId="33CF822E" w14:textId="77777777" w:rsidR="00F54F9A" w:rsidRDefault="00000000">
      <w:pPr>
        <w:pStyle w:val="ListBullet"/>
      </w:pPr>
      <w:r>
        <w:t>Low participation / low employment — structurally weak</w:t>
      </w:r>
    </w:p>
    <w:p w14:paraId="3AC1DC27" w14:textId="77777777" w:rsidR="00F54F9A" w:rsidRDefault="00000000">
      <w:pPr>
        <w:pStyle w:val="Heading1"/>
      </w:pPr>
      <w:r>
        <w:rPr>
          <w:color w:val="1F3864"/>
        </w:rPr>
        <w:lastRenderedPageBreak/>
        <w:t>7. Technology Context</w:t>
      </w:r>
    </w:p>
    <w:p w14:paraId="3A279BE9" w14:textId="77777777" w:rsidR="00F54F9A" w:rsidRDefault="00000000">
      <w:r>
        <w:t>The project is motivated by a period of rapid AI development. Technology milestones are used as contextual background — not as measured causal variables.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4F9A" w14:paraId="42E78E00" w14:textId="77777777" w:rsidTr="00F54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C950806" w14:textId="77777777" w:rsidR="00F54F9A" w:rsidRDefault="00000000">
            <w:r>
              <w:t>Period</w:t>
            </w:r>
          </w:p>
        </w:tc>
        <w:tc>
          <w:tcPr>
            <w:tcW w:w="3024" w:type="dxa"/>
          </w:tcPr>
          <w:p w14:paraId="1C618182" w14:textId="77777777" w:rsidR="00F54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 Event</w:t>
            </w:r>
          </w:p>
        </w:tc>
        <w:tc>
          <w:tcPr>
            <w:tcW w:w="3024" w:type="dxa"/>
          </w:tcPr>
          <w:p w14:paraId="63B21BF6" w14:textId="77777777" w:rsidR="00F54F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in Project</w:t>
            </w:r>
          </w:p>
        </w:tc>
      </w:tr>
      <w:tr w:rsidR="00F54F9A" w14:paraId="70CFB157" w14:textId="77777777" w:rsidTr="00F54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83F637A" w14:textId="77777777" w:rsidR="00F54F9A" w:rsidRDefault="00000000">
            <w:r>
              <w:t>2012</w:t>
            </w:r>
          </w:p>
        </w:tc>
        <w:tc>
          <w:tcPr>
            <w:tcW w:w="3024" w:type="dxa"/>
          </w:tcPr>
          <w:p w14:paraId="42D8121E" w14:textId="77777777" w:rsidR="00F5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AlexNet — deep learning breakthrough</w:t>
            </w:r>
          </w:p>
        </w:tc>
        <w:tc>
          <w:tcPr>
            <w:tcW w:w="3024" w:type="dxa"/>
          </w:tcPr>
          <w:p w14:paraId="763BD7B8" w14:textId="77777777" w:rsidR="00F5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AI acceleration reference</w:t>
            </w:r>
          </w:p>
        </w:tc>
      </w:tr>
      <w:tr w:rsidR="00F54F9A" w14:paraId="45A2D8B2" w14:textId="77777777" w:rsidTr="00F54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AD34E6A" w14:textId="77777777" w:rsidR="00F54F9A" w:rsidRDefault="00000000">
            <w:r>
              <w:t>2017</w:t>
            </w:r>
          </w:p>
        </w:tc>
        <w:tc>
          <w:tcPr>
            <w:tcW w:w="3024" w:type="dxa"/>
          </w:tcPr>
          <w:p w14:paraId="4774236E" w14:textId="77777777" w:rsidR="00F5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Transformer architecture introduced</w:t>
            </w:r>
          </w:p>
        </w:tc>
        <w:tc>
          <w:tcPr>
            <w:tcW w:w="3024" w:type="dxa"/>
          </w:tcPr>
          <w:p w14:paraId="4D801498" w14:textId="77777777" w:rsidR="00F5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Mid-2010s acceleration marker</w:t>
            </w:r>
          </w:p>
        </w:tc>
      </w:tr>
      <w:tr w:rsidR="00F54F9A" w14:paraId="502F890F" w14:textId="77777777" w:rsidTr="00F54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35FF776" w14:textId="77777777" w:rsidR="00F54F9A" w:rsidRDefault="00000000">
            <w:r>
              <w:t>2020–2022</w:t>
            </w:r>
          </w:p>
        </w:tc>
        <w:tc>
          <w:tcPr>
            <w:tcW w:w="3024" w:type="dxa"/>
          </w:tcPr>
          <w:p w14:paraId="63A538B1" w14:textId="77777777" w:rsidR="00F5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 language models developed rapidly</w:t>
            </w:r>
          </w:p>
        </w:tc>
        <w:tc>
          <w:tcPr>
            <w:tcW w:w="3024" w:type="dxa"/>
          </w:tcPr>
          <w:p w14:paraId="547CBB70" w14:textId="77777777" w:rsidR="00F54F9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Increased job-market uncertainty</w:t>
            </w:r>
          </w:p>
        </w:tc>
      </w:tr>
      <w:tr w:rsidR="00F54F9A" w14:paraId="6A185E4A" w14:textId="77777777" w:rsidTr="00F54F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AA9E854" w14:textId="77777777" w:rsidR="00F54F9A" w:rsidRDefault="00000000">
            <w:r>
              <w:t>2022+</w:t>
            </w:r>
          </w:p>
        </w:tc>
        <w:tc>
          <w:tcPr>
            <w:tcW w:w="3024" w:type="dxa"/>
          </w:tcPr>
          <w:p w14:paraId="7342BD39" w14:textId="77777777" w:rsidR="00F5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ChatGPT made generative AI mainstream</w:t>
            </w:r>
          </w:p>
        </w:tc>
        <w:tc>
          <w:tcPr>
            <w:tcW w:w="3024" w:type="dxa"/>
          </w:tcPr>
          <w:p w14:paraId="62622453" w14:textId="77777777" w:rsidR="00F54F9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 motivation for this project</w:t>
            </w:r>
          </w:p>
        </w:tc>
      </w:tr>
    </w:tbl>
    <w:p w14:paraId="43E62A6E" w14:textId="77777777" w:rsidR="00F54F9A" w:rsidRDefault="00F54F9A"/>
    <w:p w14:paraId="6FF686DD" w14:textId="77777777" w:rsidR="00F54F9A" w:rsidRDefault="00000000">
      <w:r>
        <w:t>These events contextualise why students feel uncertainty about field value. The project does not claim AI caused changes in educational choices — only that alignment patterns are worth examining in this context.</w:t>
      </w:r>
    </w:p>
    <w:p w14:paraId="5FA0C25F" w14:textId="77777777" w:rsidR="00F54F9A" w:rsidRDefault="00000000">
      <w:pPr>
        <w:pStyle w:val="Heading1"/>
      </w:pPr>
      <w:r>
        <w:rPr>
          <w:color w:val="1F3864"/>
        </w:rPr>
        <w:t>8. Technical Challenges</w:t>
      </w:r>
    </w:p>
    <w:p w14:paraId="354D9A8B" w14:textId="77777777" w:rsidR="00F54F9A" w:rsidRDefault="00000000">
      <w:pPr>
        <w:pStyle w:val="Heading2"/>
      </w:pPr>
      <w:r>
        <w:t>1. Field Classification</w:t>
      </w:r>
    </w:p>
    <w:p w14:paraId="7D2E8CC7" w14:textId="77777777" w:rsidR="00F54F9A" w:rsidRDefault="00000000">
      <w:r>
        <w:t>Both OECD datasets use ISCED-F 2013, which simplifies merging. The project still needs to cluster detailed sub-categories into the five broad fields.</w:t>
      </w:r>
    </w:p>
    <w:p w14:paraId="7DDB96AA" w14:textId="77777777" w:rsidR="00F54F9A" w:rsidRDefault="00000000">
      <w:pPr>
        <w:pStyle w:val="Heading2"/>
      </w:pPr>
      <w:r>
        <w:t>2. Technology Measurement</w:t>
      </w:r>
    </w:p>
    <w:p w14:paraId="6C2FF902" w14:textId="77777777" w:rsidR="00F54F9A" w:rsidRDefault="00000000">
      <w:r>
        <w:t>There is no single variable that directly measures AI development. The project addresses this by using a contextual timeline rather than a measured variable.</w:t>
      </w:r>
    </w:p>
    <w:p w14:paraId="0770A84F" w14:textId="77777777" w:rsidR="00F54F9A" w:rsidRDefault="00000000">
      <w:pPr>
        <w:pStyle w:val="Heading2"/>
      </w:pPr>
      <w:r>
        <w:t>3. Causality</w:t>
      </w:r>
    </w:p>
    <w:p w14:paraId="07F58571" w14:textId="77777777" w:rsidR="00F54F9A" w:rsidRDefault="00000000">
      <w:r>
        <w:t>Changes in educational participation around 2016–2017 do not prove AI caused them. All analysis uses descriptive comparison, not causal inference.</w:t>
      </w:r>
    </w:p>
    <w:p w14:paraId="710CF001" w14:textId="77777777" w:rsidR="00F54F9A" w:rsidRDefault="00000000">
      <w:pPr>
        <w:pStyle w:val="Heading2"/>
      </w:pPr>
      <w:r>
        <w:t>4. Scope</w:t>
      </w:r>
    </w:p>
    <w:p w14:paraId="186039CC" w14:textId="77777777" w:rsidR="00F54F9A" w:rsidRDefault="00000000">
      <w:r>
        <w:t>Scope is controlled by limiting the project to two OECD datasets and treating technology context as an optional descriptive layer only.</w:t>
      </w:r>
    </w:p>
    <w:p w14:paraId="3E95FC16" w14:textId="77777777" w:rsidR="00F54F9A" w:rsidRDefault="00000000">
      <w:pPr>
        <w:pStyle w:val="Heading1"/>
      </w:pPr>
      <w:r>
        <w:rPr>
          <w:color w:val="1F3864"/>
        </w:rPr>
        <w:t>9. Expected Contribution</w:t>
      </w:r>
    </w:p>
    <w:p w14:paraId="1AF49B95" w14:textId="77777777" w:rsidR="00F54F9A" w:rsidRDefault="00000000">
      <w:r>
        <w:t>This project provides an evidence-based view of whether fields that appear promising today are structurally aligned with labour-market outcomes. The findings are intended to support more informed decisions by students, graduates, and educators — without identifying a single "best" field.</w:t>
      </w:r>
    </w:p>
    <w:sectPr w:rsidR="00F54F9A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84842">
    <w:abstractNumId w:val="8"/>
  </w:num>
  <w:num w:numId="2" w16cid:durableId="1807115975">
    <w:abstractNumId w:val="6"/>
  </w:num>
  <w:num w:numId="3" w16cid:durableId="258678543">
    <w:abstractNumId w:val="5"/>
  </w:num>
  <w:num w:numId="4" w16cid:durableId="943810131">
    <w:abstractNumId w:val="4"/>
  </w:num>
  <w:num w:numId="5" w16cid:durableId="570114093">
    <w:abstractNumId w:val="7"/>
  </w:num>
  <w:num w:numId="6" w16cid:durableId="106588257">
    <w:abstractNumId w:val="3"/>
  </w:num>
  <w:num w:numId="7" w16cid:durableId="1438525434">
    <w:abstractNumId w:val="2"/>
  </w:num>
  <w:num w:numId="8" w16cid:durableId="452093847">
    <w:abstractNumId w:val="1"/>
  </w:num>
  <w:num w:numId="9" w16cid:durableId="37755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21D"/>
    <w:rsid w:val="00AA1D8D"/>
    <w:rsid w:val="00B31E05"/>
    <w:rsid w:val="00B47730"/>
    <w:rsid w:val="00CB0664"/>
    <w:rsid w:val="00E763C8"/>
    <w:rsid w:val="00F54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C5401"/>
  <w14:defaultImageDpi w14:val="300"/>
  <w15:docId w15:val="{31B2FECA-B8FF-1B4E-BF06-69A350F4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Chaeeun Lee</cp:lastModifiedBy>
  <cp:revision>2</cp:revision>
  <dcterms:created xsi:type="dcterms:W3CDTF">2013-12-23T23:15:00Z</dcterms:created>
  <dcterms:modified xsi:type="dcterms:W3CDTF">2026-04-24T05:52:00Z</dcterms:modified>
  <cp:category/>
</cp:coreProperties>
</file>