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C20" w:rsidRPr="00702C20" w:rsidRDefault="00702C20" w:rsidP="0070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C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702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1</w: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Strategic Alignment Framework for the </w:t>
      </w:r>
      <w:proofErr w:type="spellStart"/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Mandate, Digital Ethiopia 2030, and Institutional Positioning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</w:t>
      </w:r>
      <w:proofErr w:type="gramStart"/>
      <w:r w:rsidRPr="00702C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Mayor </w:t>
      </w: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proofErr w:type="gramStart"/>
      <w:r w:rsidRPr="00702C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Lead Consultant</w:t>
      </w:r>
      <w:r w:rsidRPr="00702C2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Program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5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(Sections 1–3)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6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Purpose of This Document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This Strategic Alignment Framework formally establishes the legal, policy, architectural, and institutional alignment of the </w:t>
      </w: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Center </w:t>
      </w:r>
      <w:proofErr w:type="gram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02C20" w:rsidRPr="00702C20" w:rsidRDefault="00702C20" w:rsidP="00702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The National MESOB Digital Service Integration Model</w:t>
      </w:r>
    </w:p>
    <w:p w:rsidR="00702C20" w:rsidRPr="00702C20" w:rsidRDefault="00702C20" w:rsidP="00702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Federal interoperability standards</w:t>
      </w:r>
    </w:p>
    <w:p w:rsidR="00702C20" w:rsidRPr="00702C20" w:rsidRDefault="00702C20" w:rsidP="00702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The national digital transformation agenda under Digital Ethiopia 2030</w:t>
      </w:r>
    </w:p>
    <w:p w:rsidR="00702C20" w:rsidRPr="00702C20" w:rsidRDefault="00702C20" w:rsidP="00702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Public sector modernization mandates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the foundational strategic justification </w:t>
      </w:r>
      <w:proofErr w:type="gram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02C20" w:rsidRPr="00702C20" w:rsidRDefault="00702C20" w:rsidP="0070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Budget allocation</w:t>
      </w:r>
    </w:p>
    <w:p w:rsidR="00702C20" w:rsidRPr="00702C20" w:rsidRDefault="00702C20" w:rsidP="0070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Procurement approval</w:t>
      </w:r>
    </w:p>
    <w:p w:rsidR="00702C20" w:rsidRPr="00702C20" w:rsidRDefault="00702C20" w:rsidP="0070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Institutional restructuring</w:t>
      </w:r>
    </w:p>
    <w:p w:rsidR="00702C20" w:rsidRPr="00702C20" w:rsidRDefault="00702C20" w:rsidP="0070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Bureau integration compliance</w:t>
      </w:r>
    </w:p>
    <w:p w:rsidR="00702C20" w:rsidRPr="00702C20" w:rsidRDefault="00702C20" w:rsidP="0070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Vendor engagement</w:t>
      </w:r>
    </w:p>
    <w:p w:rsidR="00702C20" w:rsidRPr="00702C20" w:rsidRDefault="00702C20" w:rsidP="0070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Infrastructure investment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It ensures that </w:t>
      </w: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MESOB implementation is not a standalone local project, but a formally aligned extension of the national digital governance framework.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7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1.2 Strategic Importance to </w:t>
      </w:r>
      <w:proofErr w:type="spellStart"/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City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The MESOB One-Stop Service Center represents a structural reform initiative, not merely a digitization exercise.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It addresses five critical municipal challenges:</w:t>
      </w:r>
    </w:p>
    <w:p w:rsidR="00702C20" w:rsidRPr="00702C20" w:rsidRDefault="00702C20" w:rsidP="00702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Fragmented Service Delivery</w:t>
      </w:r>
    </w:p>
    <w:p w:rsidR="00702C20" w:rsidRPr="00702C20" w:rsidRDefault="00702C20" w:rsidP="00702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Manual and Paper-Based Workflows</w:t>
      </w:r>
    </w:p>
    <w:p w:rsidR="00702C20" w:rsidRPr="00702C20" w:rsidRDefault="00702C20" w:rsidP="00702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Revenue Leakage in Land and Tax Systems</w:t>
      </w:r>
    </w:p>
    <w:p w:rsidR="00702C20" w:rsidRPr="00702C20" w:rsidRDefault="00702C20" w:rsidP="00702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Low Transparency in Administrative Transactions</w:t>
      </w:r>
    </w:p>
    <w:p w:rsidR="00702C20" w:rsidRPr="00702C20" w:rsidRDefault="00702C20" w:rsidP="00702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Limited Executive-Level Performance Visibility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Through MESOB, </w:t>
      </w: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City will:</w:t>
      </w:r>
    </w:p>
    <w:p w:rsidR="00702C20" w:rsidRPr="00702C20" w:rsidRDefault="00702C20" w:rsidP="00702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Centralize high-impact services</w:t>
      </w:r>
    </w:p>
    <w:p w:rsidR="00702C20" w:rsidRPr="00702C20" w:rsidRDefault="00702C20" w:rsidP="00702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Digitize approval workflows</w:t>
      </w:r>
    </w:p>
    <w:p w:rsidR="00702C20" w:rsidRPr="00702C20" w:rsidRDefault="00702C20" w:rsidP="00702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Enable secure API-based bureau integration</w:t>
      </w:r>
    </w:p>
    <w:p w:rsidR="00702C20" w:rsidRPr="00702C20" w:rsidRDefault="00702C20" w:rsidP="00702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Improve revenue collection efficiency</w:t>
      </w:r>
    </w:p>
    <w:p w:rsidR="00702C20" w:rsidRPr="00702C20" w:rsidRDefault="00702C20" w:rsidP="00702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Establish measurable service-level performance indicators</w:t>
      </w:r>
    </w:p>
    <w:p w:rsidR="00702C20" w:rsidRPr="00702C20" w:rsidRDefault="00702C20" w:rsidP="00702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Create a scalable Smart City data foundation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The MESOB platform becomes a governance instrument — not just a service desk.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8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Alignment Summary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MESOB aligns with national direction in the following ways: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822"/>
      </w:tblGrid>
      <w:tr w:rsidR="00702C20" w:rsidRPr="00702C20" w:rsidTr="00702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National Direction</w:t>
            </w:r>
          </w:p>
        </w:tc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02C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Hawassa</w:t>
            </w:r>
            <w:proofErr w:type="spellEnd"/>
            <w:r w:rsidRPr="00702C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Implementation Alignment</w:t>
            </w:r>
          </w:p>
        </w:tc>
      </w:tr>
      <w:tr w:rsidR="00702C20" w:rsidRPr="00702C20" w:rsidTr="00702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Gateway-based bureau integration</w:t>
            </w:r>
          </w:p>
        </w:tc>
      </w:tr>
      <w:tr w:rsidR="00702C20" w:rsidRPr="00702C20" w:rsidTr="00702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Identity</w:t>
            </w:r>
          </w:p>
        </w:tc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Authentication-ready architecture</w:t>
            </w:r>
          </w:p>
        </w:tc>
      </w:tr>
      <w:tr w:rsidR="00702C20" w:rsidRPr="00702C20" w:rsidTr="00702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Governance</w:t>
            </w:r>
          </w:p>
        </w:tc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data ownership retained</w:t>
            </w:r>
          </w:p>
        </w:tc>
      </w:tr>
      <w:tr w:rsidR="00702C20" w:rsidRPr="00702C20" w:rsidTr="00702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Service Reform</w:t>
            </w:r>
          </w:p>
        </w:tc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Unified citizen-facing service platform</w:t>
            </w:r>
          </w:p>
        </w:tc>
      </w:tr>
      <w:tr w:rsidR="00702C20" w:rsidRPr="00702C20" w:rsidTr="00702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Government</w:t>
            </w:r>
          </w:p>
        </w:tc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performance dashboard</w:t>
            </w:r>
          </w:p>
        </w:tc>
      </w:tr>
      <w:tr w:rsidR="00702C20" w:rsidRPr="00702C20" w:rsidTr="00702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Revenue Digitization</w:t>
            </w:r>
          </w:p>
        </w:tc>
        <w:tc>
          <w:tcPr>
            <w:tcW w:w="0" w:type="auto"/>
            <w:vAlign w:val="center"/>
            <w:hideMark/>
          </w:tcPr>
          <w:p w:rsidR="00702C20" w:rsidRPr="00702C20" w:rsidRDefault="00702C20" w:rsidP="00702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2C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payment integration</w:t>
            </w:r>
          </w:p>
        </w:tc>
      </w:tr>
    </w:tbl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This alignment ensures:</w:t>
      </w:r>
    </w:p>
    <w:p w:rsidR="00702C20" w:rsidRPr="00702C20" w:rsidRDefault="00702C20" w:rsidP="00702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Eligibility for national coordination support</w:t>
      </w:r>
    </w:p>
    <w:p w:rsidR="00702C20" w:rsidRPr="00702C20" w:rsidRDefault="00702C20" w:rsidP="00702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Future interoperability with federal systems</w:t>
      </w:r>
    </w:p>
    <w:p w:rsidR="00702C20" w:rsidRPr="00702C20" w:rsidRDefault="00702C20" w:rsidP="00702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Regulatory compliance</w:t>
      </w:r>
    </w:p>
    <w:p w:rsidR="00702C20" w:rsidRPr="00702C20" w:rsidRDefault="00702C20" w:rsidP="00702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Technical sustainability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9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NATIONAL MESOB POLICY FRAMEWORK</w: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Origin and Federal Mandate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The national MESOB initiative </w:t>
      </w:r>
      <w:proofErr w:type="gram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was established</w:t>
      </w:r>
      <w:proofErr w:type="gram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:rsidR="00702C20" w:rsidRPr="00702C20" w:rsidRDefault="00702C20" w:rsidP="00702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Break institutional silos</w:t>
      </w:r>
    </w:p>
    <w:p w:rsidR="00702C20" w:rsidRPr="00702C20" w:rsidRDefault="00702C20" w:rsidP="00702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Enable secure data exchange</w:t>
      </w:r>
    </w:p>
    <w:p w:rsidR="00702C20" w:rsidRPr="00702C20" w:rsidRDefault="00702C20" w:rsidP="00702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Reduce redundant citizen document submissions</w:t>
      </w:r>
    </w:p>
    <w:p w:rsidR="00702C20" w:rsidRPr="00702C20" w:rsidRDefault="00702C20" w:rsidP="00702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Modernize public sector service delivery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The architecture model promoted nationally follows: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Requesting Bureau</w:t>
      </w:r>
      <w:r w:rsidRPr="00702C2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702C20">
        <w:rPr>
          <w:rFonts w:ascii="Times New Roman" w:eastAsia="Times New Roman" w:hAnsi="Times New Roman" w:cs="Times New Roman"/>
          <w:kern w:val="0"/>
          <w14:ligatures w14:val="none"/>
        </w:rPr>
        <w:br/>
        <w:t>API Gateway</w:t>
      </w:r>
      <w:r w:rsidRPr="00702C20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702C20">
        <w:rPr>
          <w:rFonts w:ascii="Times New Roman" w:eastAsia="Times New Roman" w:hAnsi="Times New Roman" w:cs="Times New Roman"/>
          <w:kern w:val="0"/>
          <w14:ligatures w14:val="none"/>
        </w:rPr>
        <w:br/>
        <w:t>Data Providing Bureau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:rsidR="00702C20" w:rsidRPr="00702C20" w:rsidRDefault="00702C20" w:rsidP="00702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Decentralized data ownership</w:t>
      </w:r>
    </w:p>
    <w:p w:rsidR="00702C20" w:rsidRPr="00702C20" w:rsidRDefault="00702C20" w:rsidP="00702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Centralized transaction orchestration</w:t>
      </w:r>
    </w:p>
    <w:p w:rsidR="00702C20" w:rsidRPr="00702C20" w:rsidRDefault="00702C20" w:rsidP="00702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Controlled interoperability</w:t>
      </w:r>
    </w:p>
    <w:p w:rsidR="00702C20" w:rsidRPr="00702C20" w:rsidRDefault="00702C20" w:rsidP="00702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Full audit traceability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must mirror this structural logic.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0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2.2 API Gateway / Service Mesh Model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At national level, MESOB uses:</w:t>
      </w:r>
    </w:p>
    <w:p w:rsidR="00702C20" w:rsidRPr="00702C20" w:rsidRDefault="00702C20" w:rsidP="00702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Central API Gateway</w:t>
      </w:r>
    </w:p>
    <w:p w:rsidR="00702C20" w:rsidRPr="00702C20" w:rsidRDefault="00702C20" w:rsidP="00702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Secure service mesh</w:t>
      </w:r>
    </w:p>
    <w:p w:rsidR="00702C20" w:rsidRPr="00702C20" w:rsidRDefault="00702C20" w:rsidP="00702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Token-based authentication</w:t>
      </w:r>
    </w:p>
    <w:p w:rsidR="00702C20" w:rsidRPr="00702C20" w:rsidRDefault="00702C20" w:rsidP="00702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Encrypted data exchange</w:t>
      </w:r>
    </w:p>
    <w:p w:rsidR="00702C20" w:rsidRPr="00702C20" w:rsidRDefault="00702C20" w:rsidP="00702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Controlled endpoint exposure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Core principles:</w:t>
      </w:r>
    </w:p>
    <w:p w:rsidR="00702C20" w:rsidRPr="00702C20" w:rsidRDefault="00702C20" w:rsidP="00702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No direct database sharing</w:t>
      </w:r>
    </w:p>
    <w:p w:rsidR="00702C20" w:rsidRPr="00702C20" w:rsidRDefault="00702C20" w:rsidP="00702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Data requested only through authorized APIs</w:t>
      </w:r>
    </w:p>
    <w:p w:rsidR="00702C20" w:rsidRPr="00702C20" w:rsidRDefault="00702C20" w:rsidP="00702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Each bureau maintains ownership of its own domain data</w:t>
      </w:r>
    </w:p>
    <w:p w:rsidR="00702C20" w:rsidRPr="00702C20" w:rsidRDefault="00702C20" w:rsidP="00702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Every transaction logged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, this means:</w:t>
      </w:r>
    </w:p>
    <w:p w:rsidR="00702C20" w:rsidRPr="00702C20" w:rsidRDefault="00702C20" w:rsidP="00702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Each bureau must expose endpoints</w:t>
      </w:r>
    </w:p>
    <w:p w:rsidR="00702C20" w:rsidRPr="00702C20" w:rsidRDefault="00702C20" w:rsidP="00702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Integration must be standardized</w:t>
      </w:r>
    </w:p>
    <w:p w:rsidR="00702C20" w:rsidRPr="00702C20" w:rsidRDefault="00702C20" w:rsidP="00702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No informal data transfer allowed</w:t>
      </w:r>
    </w:p>
    <w:p w:rsidR="00702C20" w:rsidRPr="00702C20" w:rsidRDefault="00702C20" w:rsidP="00702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Manual data duplication must be eliminated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1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Interoperability Standards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National interoperability mandates:</w:t>
      </w:r>
    </w:p>
    <w:p w:rsidR="00702C20" w:rsidRPr="00702C20" w:rsidRDefault="00702C20" w:rsidP="00702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REST-based API design</w:t>
      </w:r>
    </w:p>
    <w:p w:rsidR="00702C20" w:rsidRPr="00702C20" w:rsidRDefault="00702C20" w:rsidP="00702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Secure authentication tokens</w:t>
      </w:r>
    </w:p>
    <w:p w:rsidR="00702C20" w:rsidRPr="00702C20" w:rsidRDefault="00702C20" w:rsidP="00702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Defined response schema</w:t>
      </w:r>
    </w:p>
    <w:p w:rsidR="00702C20" w:rsidRPr="00702C20" w:rsidRDefault="00702C20" w:rsidP="00702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Standardized data structures</w:t>
      </w:r>
    </w:p>
    <w:p w:rsidR="00702C20" w:rsidRPr="00702C20" w:rsidRDefault="00702C20" w:rsidP="00702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Audit logging requirements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must adopt:</w:t>
      </w:r>
    </w:p>
    <w:p w:rsidR="00702C20" w:rsidRPr="00702C20" w:rsidRDefault="00702C20" w:rsidP="00702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Unified API documentation standards</w:t>
      </w:r>
    </w:p>
    <w:p w:rsidR="00702C20" w:rsidRPr="00702C20" w:rsidRDefault="00702C20" w:rsidP="00702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Bureau compliance certification</w:t>
      </w:r>
    </w:p>
    <w:p w:rsidR="00702C20" w:rsidRPr="00702C20" w:rsidRDefault="00702C20" w:rsidP="00702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Integration testing protocols</w:t>
      </w:r>
    </w:p>
    <w:p w:rsidR="00702C20" w:rsidRPr="00702C20" w:rsidRDefault="00702C20" w:rsidP="00702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SLA-bound response timing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Failure to enforce standards will result in:</w:t>
      </w:r>
    </w:p>
    <w:p w:rsidR="00702C20" w:rsidRPr="00702C20" w:rsidRDefault="00702C20" w:rsidP="00702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Fragmented integration</w:t>
      </w:r>
    </w:p>
    <w:p w:rsidR="00702C20" w:rsidRPr="00702C20" w:rsidRDefault="00702C20" w:rsidP="00702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Security vulnerabilities</w:t>
      </w:r>
    </w:p>
    <w:p w:rsidR="00702C20" w:rsidRPr="00702C20" w:rsidRDefault="00702C20" w:rsidP="00702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Data inconsistency</w:t>
      </w:r>
    </w:p>
    <w:p w:rsidR="00702C20" w:rsidRPr="00702C20" w:rsidRDefault="00702C20" w:rsidP="00702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Institutional conflict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2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Data Governance at National Level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National framework establishes:</w:t>
      </w:r>
    </w:p>
    <w:p w:rsidR="00702C20" w:rsidRPr="00702C20" w:rsidRDefault="00702C20" w:rsidP="00702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Data ownership remains with originating bureau</w:t>
      </w:r>
    </w:p>
    <w:p w:rsidR="00702C20" w:rsidRPr="00702C20" w:rsidRDefault="00702C20" w:rsidP="00702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Data sharing requires formal authorization</w:t>
      </w:r>
    </w:p>
    <w:p w:rsidR="00702C20" w:rsidRPr="00702C20" w:rsidRDefault="00702C20" w:rsidP="00702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Personal data must be protected</w:t>
      </w:r>
    </w:p>
    <w:p w:rsidR="00702C20" w:rsidRPr="00702C20" w:rsidRDefault="00702C20" w:rsidP="00702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Encryption at rest and in transit is mandatory</w:t>
      </w:r>
    </w:p>
    <w:p w:rsidR="00702C20" w:rsidRPr="00702C20" w:rsidRDefault="00702C20" w:rsidP="00702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Audit trail retention required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must replicate:</w:t>
      </w:r>
    </w:p>
    <w:p w:rsidR="00702C20" w:rsidRPr="00702C20" w:rsidRDefault="00702C20" w:rsidP="00702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Data Governance Council</w:t>
      </w:r>
    </w:p>
    <w:p w:rsidR="00702C20" w:rsidRPr="00702C20" w:rsidRDefault="00702C20" w:rsidP="00702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Access control policy</w:t>
      </w:r>
    </w:p>
    <w:p w:rsidR="00702C20" w:rsidRPr="00702C20" w:rsidRDefault="00702C20" w:rsidP="00702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Role-Based Access Control (RBAC)</w:t>
      </w:r>
    </w:p>
    <w:p w:rsidR="00702C20" w:rsidRPr="00702C20" w:rsidRDefault="00702C20" w:rsidP="00702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Data classification policy</w:t>
      </w:r>
    </w:p>
    <w:p w:rsidR="00702C20" w:rsidRPr="00702C20" w:rsidRDefault="00702C20" w:rsidP="00702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Log retention rules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Without this, MESOB becomes operationally risky.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3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Digital Identity Integration Context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The national digital strategy promotes unified identity-based service authentication.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MESOB architecture must therefore be: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Identity-ready.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:rsidR="00702C20" w:rsidRPr="00702C20" w:rsidRDefault="00702C20" w:rsidP="00702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Authentication layer integration capability</w:t>
      </w:r>
    </w:p>
    <w:p w:rsidR="00702C20" w:rsidRPr="00702C20" w:rsidRDefault="00702C20" w:rsidP="00702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Secure identity token validation</w:t>
      </w:r>
    </w:p>
    <w:p w:rsidR="00702C20" w:rsidRPr="00702C20" w:rsidRDefault="00702C20" w:rsidP="00702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Multi-factor authentication support</w:t>
      </w:r>
    </w:p>
    <w:p w:rsidR="00702C20" w:rsidRPr="00702C20" w:rsidRDefault="00702C20" w:rsidP="00702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Future biometric integration readiness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Identity integration is a scalability enabler — not optional.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334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ALIGNMENT WITH DIGITAL ETHIOPIA 2030</w: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Overview of National Digital Transformation Agenda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Digital Ethiopia 2030 establishes a national transformation roadmap built on:</w:t>
      </w:r>
    </w:p>
    <w:p w:rsidR="00702C20" w:rsidRPr="00702C20" w:rsidRDefault="00702C20" w:rsidP="00702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Digital Government</w:t>
      </w:r>
    </w:p>
    <w:p w:rsidR="00702C20" w:rsidRPr="00702C20" w:rsidRDefault="00702C20" w:rsidP="00702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Digital Economy</w:t>
      </w:r>
    </w:p>
    <w:p w:rsidR="00702C20" w:rsidRPr="00702C20" w:rsidRDefault="00702C20" w:rsidP="00702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Digital Infrastructure</w:t>
      </w:r>
    </w:p>
    <w:p w:rsidR="00702C20" w:rsidRPr="00702C20" w:rsidRDefault="00702C20" w:rsidP="00702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Cybersecurity</w:t>
      </w:r>
    </w:p>
    <w:p w:rsidR="00702C20" w:rsidRPr="00702C20" w:rsidRDefault="00702C20" w:rsidP="00702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Innovation Ecosystem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Public sector modernization is a core pillar.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5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Public Sector Digitalization Targets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Digital Ethiopia 2030 aims to:</w:t>
      </w:r>
    </w:p>
    <w:p w:rsidR="00702C20" w:rsidRPr="00702C20" w:rsidRDefault="00702C20" w:rsidP="00702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Digitize key government services</w:t>
      </w:r>
    </w:p>
    <w:p w:rsidR="00702C20" w:rsidRPr="00702C20" w:rsidRDefault="00702C20" w:rsidP="00702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Improve service efficiency</w:t>
      </w:r>
    </w:p>
    <w:p w:rsidR="00702C20" w:rsidRPr="00702C20" w:rsidRDefault="00702C20" w:rsidP="00702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Increase revenue collection transparency</w:t>
      </w:r>
    </w:p>
    <w:p w:rsidR="00702C20" w:rsidRPr="00702C20" w:rsidRDefault="00702C20" w:rsidP="00702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Promote interoperability</w:t>
      </w:r>
    </w:p>
    <w:p w:rsidR="00702C20" w:rsidRPr="00702C20" w:rsidRDefault="00702C20" w:rsidP="00702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Enable data-driven governance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MESOB directly supports these targets.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becomes a regional implementation model.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6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Interoperability and Data Sovereignty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Digital Ethiopia 2030 emphasizes:</w:t>
      </w:r>
    </w:p>
    <w:p w:rsidR="00702C20" w:rsidRPr="00702C20" w:rsidRDefault="00702C20" w:rsidP="00702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Data sovereignty within national boundaries</w:t>
      </w:r>
    </w:p>
    <w:p w:rsidR="00702C20" w:rsidRPr="00702C20" w:rsidRDefault="00702C20" w:rsidP="00702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Secure hosting infrastructure</w:t>
      </w:r>
    </w:p>
    <w:p w:rsidR="00702C20" w:rsidRPr="00702C20" w:rsidRDefault="00702C20" w:rsidP="00702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Reduced reliance on foreign-hosted systems</w:t>
      </w:r>
    </w:p>
    <w:p w:rsidR="00702C20" w:rsidRPr="00702C20" w:rsidRDefault="00702C20" w:rsidP="00702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Government-controlled integration platforms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Hawassa’s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must:</w:t>
      </w:r>
    </w:p>
    <w:p w:rsidR="00702C20" w:rsidRPr="00702C20" w:rsidRDefault="00702C20" w:rsidP="00702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Ensure data residency within Ethiopia</w:t>
      </w:r>
    </w:p>
    <w:p w:rsidR="00702C20" w:rsidRPr="00702C20" w:rsidRDefault="00702C20" w:rsidP="00702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Clarify hosting responsibility</w:t>
      </w:r>
    </w:p>
    <w:p w:rsidR="00702C20" w:rsidRPr="00702C20" w:rsidRDefault="00702C20" w:rsidP="00702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Maintain data ownership rights</w:t>
      </w:r>
    </w:p>
    <w:p w:rsidR="00702C20" w:rsidRPr="00702C20" w:rsidRDefault="00702C20" w:rsidP="00702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Avoid vendor lock-in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7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Smart City Readiness Implications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Digital Ethiopia 2030 promotes:</w:t>
      </w:r>
    </w:p>
    <w:p w:rsidR="00702C20" w:rsidRPr="00702C20" w:rsidRDefault="00702C20" w:rsidP="00702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Urban data analytics</w:t>
      </w:r>
    </w:p>
    <w:p w:rsidR="00702C20" w:rsidRPr="00702C20" w:rsidRDefault="00702C20" w:rsidP="00702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Smart municipal management</w:t>
      </w:r>
    </w:p>
    <w:p w:rsidR="00702C20" w:rsidRPr="00702C20" w:rsidRDefault="00702C20" w:rsidP="00702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Integrated service dashboards</w:t>
      </w:r>
    </w:p>
    <w:p w:rsidR="00702C20" w:rsidRPr="00702C20" w:rsidRDefault="00702C20" w:rsidP="00702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Revenue transparency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MESOB becomes </w:t>
      </w:r>
      <w:proofErr w:type="spellStart"/>
      <w:proofErr w:type="gram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proofErr w:type="gram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02C20" w:rsidRPr="00702C20" w:rsidRDefault="00702C20" w:rsidP="00702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Foundational digital governance platform</w:t>
      </w:r>
    </w:p>
    <w:p w:rsidR="00702C20" w:rsidRPr="00702C20" w:rsidRDefault="00702C20" w:rsidP="00702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Executive analytics engine</w:t>
      </w:r>
    </w:p>
    <w:p w:rsidR="00702C20" w:rsidRPr="00702C20" w:rsidRDefault="00702C20" w:rsidP="00702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Smart City integration backbone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It creates the infrastructure upon which:</w:t>
      </w:r>
    </w:p>
    <w:p w:rsidR="00702C20" w:rsidRPr="00702C20" w:rsidRDefault="00702C20" w:rsidP="00702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GIS visualization</w:t>
      </w:r>
    </w:p>
    <w:p w:rsidR="00702C20" w:rsidRPr="00702C20" w:rsidRDefault="00702C20" w:rsidP="00702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Investment </w:t>
      </w: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heatmaps</w:t>
      </w:r>
      <w:proofErr w:type="spellEnd"/>
    </w:p>
    <w:p w:rsidR="00702C20" w:rsidRPr="00702C20" w:rsidRDefault="00702C20" w:rsidP="00702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Ward-level revenue analytics</w:t>
      </w:r>
    </w:p>
    <w:p w:rsidR="00702C20" w:rsidRPr="00702C20" w:rsidRDefault="00702C20" w:rsidP="00702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Service efficiency benchmarking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can</w:t>
      </w:r>
      <w:proofErr w:type="gram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be layered.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8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PART 1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This concludes:</w:t>
      </w:r>
    </w:p>
    <w:p w:rsidR="00702C20" w:rsidRPr="00702C20" w:rsidRDefault="00702C20" w:rsidP="00702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Section 1: Executive Summary</w:t>
      </w:r>
    </w:p>
    <w:p w:rsidR="00702C20" w:rsidRPr="00702C20" w:rsidRDefault="00702C20" w:rsidP="00702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Section 2: National MESOB Policy Framework</w:t>
      </w:r>
    </w:p>
    <w:p w:rsidR="00702C20" w:rsidRPr="00702C20" w:rsidRDefault="00702C20" w:rsidP="00702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Section 3: Alignment with Digital Ethiopia 2030</w:t>
      </w:r>
    </w:p>
    <w:p w:rsidR="00702C20" w:rsidRPr="00702C20" w:rsidRDefault="00702C20" w:rsidP="00702C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9" style="width:0;height:1.5pt" o:hralign="center" o:hrstd="t" o:hr="t" fillcolor="#a0a0a0" stroked="f"/>
        </w:pic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Reply </w:t>
      </w:r>
      <w:proofErr w:type="gram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1, Part 2.”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We will then generate:</w:t>
      </w:r>
    </w:p>
    <w:p w:rsidR="00702C20" w:rsidRPr="00702C20" w:rsidRDefault="00702C20" w:rsidP="00702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Section 4: </w:t>
      </w:r>
      <w:proofErr w:type="spellStart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02C20">
        <w:rPr>
          <w:rFonts w:ascii="Times New Roman" w:eastAsia="Times New Roman" w:hAnsi="Times New Roman" w:cs="Times New Roman"/>
          <w:kern w:val="0"/>
          <w14:ligatures w14:val="none"/>
        </w:rPr>
        <w:t xml:space="preserve"> Strategic Positioning</w:t>
      </w:r>
    </w:p>
    <w:p w:rsidR="00702C20" w:rsidRPr="00702C20" w:rsidRDefault="00702C20" w:rsidP="00702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Section 5: Institutional &amp; Legal Authority Model</w:t>
      </w:r>
    </w:p>
    <w:p w:rsidR="00702C20" w:rsidRPr="00702C20" w:rsidRDefault="00702C20" w:rsidP="00702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Section 6: Risk of Misalignment</w:t>
      </w:r>
    </w:p>
    <w:p w:rsidR="00702C20" w:rsidRPr="00702C20" w:rsidRDefault="00702C20" w:rsidP="00702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Section 7: Strategic Recommendations</w:t>
      </w:r>
    </w:p>
    <w:p w:rsidR="005059E9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C20">
        <w:rPr>
          <w:rFonts w:ascii="Times New Roman" w:eastAsia="Times New Roman" w:hAnsi="Times New Roman" w:cs="Times New Roman"/>
          <w:kern w:val="0"/>
          <w14:ligatures w14:val="none"/>
        </w:rPr>
        <w:t>All at formal executive submission standard.</w:t>
      </w:r>
    </w:p>
    <w:p w:rsidR="005059E9" w:rsidRDefault="005059E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5059E9" w:rsidRDefault="005059E9" w:rsidP="005059E9">
      <w:pPr>
        <w:pStyle w:val="Heading1"/>
      </w:pPr>
      <w:r>
        <w:rPr>
          <w:rFonts w:ascii="Segoe UI Symbol" w:hAnsi="Segoe UI Symbol" w:cs="Segoe UI Symbol"/>
        </w:rPr>
        <w:lastRenderedPageBreak/>
        <w:t>📘</w:t>
      </w:r>
      <w:r>
        <w:t xml:space="preserve"> DOCUMENT 1</w:t>
      </w:r>
    </w:p>
    <w:p w:rsidR="005059E9" w:rsidRDefault="005059E9" w:rsidP="005059E9">
      <w:pPr>
        <w:pStyle w:val="Heading2"/>
      </w:pPr>
      <w:r>
        <w:t xml:space="preserve">Strategic Alignment Framework for the </w:t>
      </w:r>
      <w:proofErr w:type="spellStart"/>
      <w:r>
        <w:t>Hawassa</w:t>
      </w:r>
      <w:proofErr w:type="spellEnd"/>
      <w:r>
        <w:t xml:space="preserve"> MESOB One-Stop Service Center</w:t>
      </w:r>
    </w:p>
    <w:p w:rsidR="005059E9" w:rsidRDefault="005059E9" w:rsidP="005059E9">
      <w:pPr>
        <w:pStyle w:val="Heading3"/>
      </w:pPr>
      <w:r>
        <w:t>National Mandate, Digital Ethiopia 2030, and Institutional Positioning</w:t>
      </w:r>
    </w:p>
    <w:p w:rsidR="005059E9" w:rsidRDefault="005059E9" w:rsidP="005059E9">
      <w:pPr>
        <w:pStyle w:val="NormalWeb"/>
      </w:pPr>
      <w:r>
        <w:rPr>
          <w:rStyle w:val="Strong"/>
        </w:rPr>
        <w:t>Prepared For</w:t>
      </w:r>
      <w:proofErr w:type="gramStart"/>
      <w:r>
        <w:rPr>
          <w:rStyle w:val="Strong"/>
        </w:rPr>
        <w:t>:</w:t>
      </w:r>
      <w:proofErr w:type="gramEnd"/>
      <w:r>
        <w:br/>
        <w:t xml:space="preserve">H.E. Mayor </w:t>
      </w:r>
      <w:proofErr w:type="spellStart"/>
      <w:r>
        <w:t>Tiratu</w:t>
      </w:r>
      <w:proofErr w:type="spellEnd"/>
      <w:r>
        <w:t xml:space="preserve"> </w:t>
      </w:r>
      <w:proofErr w:type="spellStart"/>
      <w:r>
        <w:t>Beyene</w:t>
      </w:r>
      <w:proofErr w:type="spellEnd"/>
      <w:r>
        <w:br/>
      </w:r>
      <w:proofErr w:type="spellStart"/>
      <w:r>
        <w:t>Hawassa</w:t>
      </w:r>
      <w:proofErr w:type="spellEnd"/>
      <w:r>
        <w:t xml:space="preserve"> City Administration</w:t>
      </w:r>
    </w:p>
    <w:p w:rsidR="005059E9" w:rsidRDefault="005059E9" w:rsidP="005059E9">
      <w:pPr>
        <w:pStyle w:val="NormalWeb"/>
      </w:pPr>
      <w:r>
        <w:rPr>
          <w:rStyle w:val="Strong"/>
        </w:rPr>
        <w:t>Prepared By</w:t>
      </w:r>
      <w:proofErr w:type="gramStart"/>
      <w:r>
        <w:rPr>
          <w:rStyle w:val="Strong"/>
        </w:rPr>
        <w:t>:</w:t>
      </w:r>
      <w:proofErr w:type="gramEnd"/>
      <w:r>
        <w:br/>
        <w:t>Chief Enterprise Architect &amp; Lead Consultant</w:t>
      </w:r>
      <w:r>
        <w:br/>
      </w:r>
      <w:proofErr w:type="spellStart"/>
      <w:r>
        <w:t>Hawassa</w:t>
      </w:r>
      <w:proofErr w:type="spellEnd"/>
      <w:r>
        <w:t xml:space="preserve"> MESOB One-Stop Service Program</w:t>
      </w:r>
    </w:p>
    <w:p w:rsidR="005059E9" w:rsidRDefault="005059E9" w:rsidP="005059E9">
      <w:r>
        <w:pict>
          <v:rect id="_x0000_i1355" style="width:0;height:1.5pt" o:hralign="center" o:hrstd="t" o:hr="t" fillcolor="#a0a0a0" stroked="f"/>
        </w:pict>
      </w:r>
    </w:p>
    <w:p w:rsidR="005059E9" w:rsidRDefault="005059E9" w:rsidP="005059E9">
      <w:pPr>
        <w:pStyle w:val="Heading1"/>
      </w:pPr>
      <w:r>
        <w:t>PART 2</w:t>
      </w:r>
    </w:p>
    <w:p w:rsidR="005059E9" w:rsidRDefault="005059E9" w:rsidP="005059E9">
      <w:pPr>
        <w:pStyle w:val="NormalWeb"/>
      </w:pPr>
      <w:r>
        <w:t>(Sections 4–7)</w:t>
      </w:r>
    </w:p>
    <w:p w:rsidR="005059E9" w:rsidRDefault="005059E9" w:rsidP="005059E9">
      <w:r>
        <w:pict>
          <v:rect id="_x0000_i1356" style="width:0;height:1.5pt" o:hralign="center" o:hrstd="t" o:hr="t" fillcolor="#a0a0a0" stroked="f"/>
        </w:pict>
      </w:r>
    </w:p>
    <w:p w:rsidR="005059E9" w:rsidRDefault="005059E9" w:rsidP="005059E9">
      <w:pPr>
        <w:pStyle w:val="Heading1"/>
      </w:pPr>
      <w:r>
        <w:t>4. HAWASSA STRATEGIC POSITIONING</w:t>
      </w:r>
    </w:p>
    <w:p w:rsidR="005059E9" w:rsidRDefault="005059E9" w:rsidP="005059E9">
      <w:pPr>
        <w:pStyle w:val="Heading2"/>
      </w:pPr>
      <w:r>
        <w:t>4.1 MESOB as a Municipal Reform Instrument</w:t>
      </w:r>
    </w:p>
    <w:p w:rsidR="005059E9" w:rsidRDefault="005059E9" w:rsidP="005059E9">
      <w:pPr>
        <w:pStyle w:val="NormalWeb"/>
      </w:pPr>
      <w:r>
        <w:t xml:space="preserve">The </w:t>
      </w:r>
      <w:proofErr w:type="spellStart"/>
      <w:r>
        <w:t>Hawassa</w:t>
      </w:r>
      <w:proofErr w:type="spellEnd"/>
      <w:r>
        <w:t xml:space="preserve"> MESOB One-Stop Service Center </w:t>
      </w:r>
      <w:proofErr w:type="gramStart"/>
      <w:r>
        <w:t>must be formally positioned</w:t>
      </w:r>
      <w:proofErr w:type="gramEnd"/>
      <w:r>
        <w:t xml:space="preserve"> not as:</w:t>
      </w:r>
    </w:p>
    <w:p w:rsidR="005059E9" w:rsidRDefault="005059E9" w:rsidP="005059E9">
      <w:pPr>
        <w:pStyle w:val="NormalWeb"/>
        <w:numPr>
          <w:ilvl w:val="0"/>
          <w:numId w:val="26"/>
        </w:numPr>
      </w:pPr>
      <w:r>
        <w:t>A standalone ICT project</w:t>
      </w:r>
    </w:p>
    <w:p w:rsidR="005059E9" w:rsidRDefault="005059E9" w:rsidP="005059E9">
      <w:pPr>
        <w:pStyle w:val="NormalWeb"/>
        <w:numPr>
          <w:ilvl w:val="0"/>
          <w:numId w:val="26"/>
        </w:numPr>
      </w:pPr>
      <w:r>
        <w:t>A customer service center</w:t>
      </w:r>
    </w:p>
    <w:p w:rsidR="005059E9" w:rsidRDefault="005059E9" w:rsidP="005059E9">
      <w:pPr>
        <w:pStyle w:val="NormalWeb"/>
        <w:numPr>
          <w:ilvl w:val="0"/>
          <w:numId w:val="26"/>
        </w:numPr>
      </w:pPr>
      <w:r>
        <w:t>A hardware procurement exercise</w:t>
      </w:r>
    </w:p>
    <w:p w:rsidR="005059E9" w:rsidRDefault="005059E9" w:rsidP="005059E9">
      <w:pPr>
        <w:pStyle w:val="NormalWeb"/>
      </w:pPr>
      <w:proofErr w:type="gramStart"/>
      <w:r>
        <w:t>But</w:t>
      </w:r>
      <w:proofErr w:type="gramEnd"/>
      <w:r>
        <w:t xml:space="preserve"> as:</w:t>
      </w:r>
    </w:p>
    <w:p w:rsidR="005059E9" w:rsidRDefault="005059E9" w:rsidP="005059E9">
      <w:pPr>
        <w:pStyle w:val="NormalWeb"/>
      </w:pPr>
      <w:r>
        <w:t>A structural municipal reform platform.</w:t>
      </w:r>
    </w:p>
    <w:p w:rsidR="005059E9" w:rsidRDefault="005059E9" w:rsidP="005059E9">
      <w:pPr>
        <w:pStyle w:val="NormalWeb"/>
      </w:pPr>
      <w:r>
        <w:t>Its function is to transform:</w:t>
      </w:r>
    </w:p>
    <w:p w:rsidR="005059E9" w:rsidRDefault="005059E9" w:rsidP="005059E9">
      <w:pPr>
        <w:pStyle w:val="NormalWeb"/>
        <w:numPr>
          <w:ilvl w:val="0"/>
          <w:numId w:val="27"/>
        </w:numPr>
      </w:pPr>
      <w:r>
        <w:t>How bureaus interact</w:t>
      </w:r>
    </w:p>
    <w:p w:rsidR="005059E9" w:rsidRDefault="005059E9" w:rsidP="005059E9">
      <w:pPr>
        <w:pStyle w:val="NormalWeb"/>
        <w:numPr>
          <w:ilvl w:val="0"/>
          <w:numId w:val="27"/>
        </w:numPr>
      </w:pPr>
      <w:r>
        <w:t>How services are approved</w:t>
      </w:r>
    </w:p>
    <w:p w:rsidR="005059E9" w:rsidRDefault="005059E9" w:rsidP="005059E9">
      <w:pPr>
        <w:pStyle w:val="NormalWeb"/>
        <w:numPr>
          <w:ilvl w:val="0"/>
          <w:numId w:val="27"/>
        </w:numPr>
      </w:pPr>
      <w:r>
        <w:lastRenderedPageBreak/>
        <w:t>How revenue is collected</w:t>
      </w:r>
    </w:p>
    <w:p w:rsidR="005059E9" w:rsidRDefault="005059E9" w:rsidP="005059E9">
      <w:pPr>
        <w:pStyle w:val="NormalWeb"/>
        <w:numPr>
          <w:ilvl w:val="0"/>
          <w:numId w:val="27"/>
        </w:numPr>
      </w:pPr>
      <w:r>
        <w:t>How data is governed</w:t>
      </w:r>
    </w:p>
    <w:p w:rsidR="005059E9" w:rsidRDefault="005059E9" w:rsidP="005059E9">
      <w:pPr>
        <w:pStyle w:val="NormalWeb"/>
        <w:numPr>
          <w:ilvl w:val="0"/>
          <w:numId w:val="27"/>
        </w:numPr>
      </w:pPr>
      <w:r>
        <w:t>How performance is measured</w:t>
      </w:r>
    </w:p>
    <w:p w:rsidR="005059E9" w:rsidRDefault="005059E9" w:rsidP="005059E9">
      <w:pPr>
        <w:pStyle w:val="NormalWeb"/>
      </w:pPr>
      <w:r>
        <w:t>MESOB becomes the execution layer for administrative modernization.</w:t>
      </w:r>
    </w:p>
    <w:p w:rsidR="005059E9" w:rsidRDefault="005059E9" w:rsidP="005059E9">
      <w:pPr>
        <w:pStyle w:val="NormalWeb"/>
      </w:pPr>
      <w:r>
        <w:t>Strategically, it operates across three reform dimensions:</w:t>
      </w:r>
    </w:p>
    <w:p w:rsidR="005059E9" w:rsidRDefault="005059E9" w:rsidP="005059E9">
      <w:pPr>
        <w:pStyle w:val="Heading3"/>
      </w:pPr>
      <w:r>
        <w:t>Administrative Reform</w:t>
      </w:r>
    </w:p>
    <w:p w:rsidR="005059E9" w:rsidRDefault="005059E9" w:rsidP="005059E9">
      <w:pPr>
        <w:pStyle w:val="NormalWeb"/>
        <w:numPr>
          <w:ilvl w:val="0"/>
          <w:numId w:val="28"/>
        </w:numPr>
      </w:pPr>
      <w:r>
        <w:t>Unified front-office delivery</w:t>
      </w:r>
    </w:p>
    <w:p w:rsidR="005059E9" w:rsidRDefault="005059E9" w:rsidP="005059E9">
      <w:pPr>
        <w:pStyle w:val="NormalWeb"/>
        <w:numPr>
          <w:ilvl w:val="0"/>
          <w:numId w:val="28"/>
        </w:numPr>
      </w:pPr>
      <w:r>
        <w:t>Digitized approval workflows</w:t>
      </w:r>
    </w:p>
    <w:p w:rsidR="005059E9" w:rsidRDefault="005059E9" w:rsidP="005059E9">
      <w:pPr>
        <w:pStyle w:val="NormalWeb"/>
        <w:numPr>
          <w:ilvl w:val="0"/>
          <w:numId w:val="28"/>
        </w:numPr>
      </w:pPr>
      <w:r>
        <w:t>SLA-bound service commitments</w:t>
      </w:r>
    </w:p>
    <w:p w:rsidR="005059E9" w:rsidRDefault="005059E9" w:rsidP="005059E9">
      <w:pPr>
        <w:pStyle w:val="Heading3"/>
      </w:pPr>
      <w:r>
        <w:t>Financial Reform</w:t>
      </w:r>
    </w:p>
    <w:p w:rsidR="005059E9" w:rsidRDefault="005059E9" w:rsidP="005059E9">
      <w:pPr>
        <w:pStyle w:val="NormalWeb"/>
        <w:numPr>
          <w:ilvl w:val="0"/>
          <w:numId w:val="29"/>
        </w:numPr>
      </w:pPr>
      <w:r>
        <w:t>Direct digital payment integration</w:t>
      </w:r>
    </w:p>
    <w:p w:rsidR="005059E9" w:rsidRDefault="005059E9" w:rsidP="005059E9">
      <w:pPr>
        <w:pStyle w:val="NormalWeb"/>
        <w:numPr>
          <w:ilvl w:val="0"/>
          <w:numId w:val="29"/>
        </w:numPr>
      </w:pPr>
      <w:r>
        <w:t>Reduction of manual revenue leakage</w:t>
      </w:r>
    </w:p>
    <w:p w:rsidR="005059E9" w:rsidRDefault="005059E9" w:rsidP="005059E9">
      <w:pPr>
        <w:pStyle w:val="NormalWeb"/>
        <w:numPr>
          <w:ilvl w:val="0"/>
          <w:numId w:val="29"/>
        </w:numPr>
      </w:pPr>
      <w:r>
        <w:t>Real-time revenue tracking</w:t>
      </w:r>
    </w:p>
    <w:p w:rsidR="005059E9" w:rsidRDefault="005059E9" w:rsidP="005059E9">
      <w:pPr>
        <w:pStyle w:val="Heading3"/>
      </w:pPr>
      <w:r>
        <w:t>Governance Reform</w:t>
      </w:r>
    </w:p>
    <w:p w:rsidR="005059E9" w:rsidRDefault="005059E9" w:rsidP="005059E9">
      <w:pPr>
        <w:pStyle w:val="NormalWeb"/>
        <w:numPr>
          <w:ilvl w:val="0"/>
          <w:numId w:val="30"/>
        </w:numPr>
      </w:pPr>
      <w:r>
        <w:t>Audit trail preservation</w:t>
      </w:r>
    </w:p>
    <w:p w:rsidR="005059E9" w:rsidRDefault="005059E9" w:rsidP="005059E9">
      <w:pPr>
        <w:pStyle w:val="NormalWeb"/>
        <w:numPr>
          <w:ilvl w:val="0"/>
          <w:numId w:val="30"/>
        </w:numPr>
      </w:pPr>
      <w:r>
        <w:t>Executive-level performance dashboards</w:t>
      </w:r>
    </w:p>
    <w:p w:rsidR="005059E9" w:rsidRDefault="005059E9" w:rsidP="005059E9">
      <w:pPr>
        <w:pStyle w:val="NormalWeb"/>
        <w:numPr>
          <w:ilvl w:val="0"/>
          <w:numId w:val="30"/>
        </w:numPr>
      </w:pPr>
      <w:r>
        <w:t>Cross-bureau accountability</w:t>
      </w:r>
    </w:p>
    <w:p w:rsidR="005059E9" w:rsidRDefault="005059E9" w:rsidP="005059E9">
      <w:pPr>
        <w:pStyle w:val="NormalWeb"/>
      </w:pPr>
      <w:r>
        <w:t>This positions MESOB as a mayoral reform instrument.</w:t>
      </w:r>
    </w:p>
    <w:p w:rsidR="005059E9" w:rsidRDefault="005059E9" w:rsidP="005059E9">
      <w:r>
        <w:pict>
          <v:rect id="_x0000_i1357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4.2 Revenue Modernization Alignment</w:t>
      </w:r>
    </w:p>
    <w:p w:rsidR="005059E9" w:rsidRDefault="005059E9" w:rsidP="005059E9">
      <w:pPr>
        <w:pStyle w:val="NormalWeb"/>
      </w:pPr>
      <w:proofErr w:type="spellStart"/>
      <w:r>
        <w:t>Hawassa’s</w:t>
      </w:r>
      <w:proofErr w:type="spellEnd"/>
      <w:r>
        <w:t xml:space="preserve"> land, tax, trade, and investment services represent the core revenue backbone of the city.</w:t>
      </w:r>
    </w:p>
    <w:p w:rsidR="005059E9" w:rsidRDefault="005059E9" w:rsidP="005059E9">
      <w:pPr>
        <w:pStyle w:val="NormalWeb"/>
      </w:pPr>
      <w:r>
        <w:t>Current risks include:</w:t>
      </w:r>
    </w:p>
    <w:p w:rsidR="005059E9" w:rsidRDefault="005059E9" w:rsidP="005059E9">
      <w:pPr>
        <w:pStyle w:val="NormalWeb"/>
        <w:numPr>
          <w:ilvl w:val="0"/>
          <w:numId w:val="31"/>
        </w:numPr>
      </w:pPr>
      <w:r>
        <w:t>Delayed payment cycles</w:t>
      </w:r>
    </w:p>
    <w:p w:rsidR="005059E9" w:rsidRDefault="005059E9" w:rsidP="005059E9">
      <w:pPr>
        <w:pStyle w:val="NormalWeb"/>
        <w:numPr>
          <w:ilvl w:val="0"/>
          <w:numId w:val="31"/>
        </w:numPr>
      </w:pPr>
      <w:r>
        <w:t>Manual reconciliation</w:t>
      </w:r>
    </w:p>
    <w:p w:rsidR="005059E9" w:rsidRDefault="005059E9" w:rsidP="005059E9">
      <w:pPr>
        <w:pStyle w:val="NormalWeb"/>
        <w:numPr>
          <w:ilvl w:val="0"/>
          <w:numId w:val="31"/>
        </w:numPr>
      </w:pPr>
      <w:r>
        <w:t>Under-reporting</w:t>
      </w:r>
    </w:p>
    <w:p w:rsidR="005059E9" w:rsidRDefault="005059E9" w:rsidP="005059E9">
      <w:pPr>
        <w:pStyle w:val="NormalWeb"/>
        <w:numPr>
          <w:ilvl w:val="0"/>
          <w:numId w:val="31"/>
        </w:numPr>
      </w:pPr>
      <w:r>
        <w:t>Duplicate data entry</w:t>
      </w:r>
    </w:p>
    <w:p w:rsidR="005059E9" w:rsidRDefault="005059E9" w:rsidP="005059E9">
      <w:pPr>
        <w:pStyle w:val="NormalWeb"/>
        <w:numPr>
          <w:ilvl w:val="0"/>
          <w:numId w:val="31"/>
        </w:numPr>
      </w:pPr>
      <w:r>
        <w:t>Limited executive visibility</w:t>
      </w:r>
    </w:p>
    <w:p w:rsidR="005059E9" w:rsidRDefault="005059E9" w:rsidP="005059E9">
      <w:pPr>
        <w:pStyle w:val="NormalWeb"/>
      </w:pPr>
      <w:r>
        <w:t>MESOB enables:</w:t>
      </w:r>
    </w:p>
    <w:p w:rsidR="005059E9" w:rsidRDefault="005059E9" w:rsidP="005059E9">
      <w:pPr>
        <w:pStyle w:val="NormalWeb"/>
        <w:numPr>
          <w:ilvl w:val="0"/>
          <w:numId w:val="32"/>
        </w:numPr>
      </w:pPr>
      <w:r>
        <w:lastRenderedPageBreak/>
        <w:t>Digital payment integration</w:t>
      </w:r>
    </w:p>
    <w:p w:rsidR="005059E9" w:rsidRDefault="005059E9" w:rsidP="005059E9">
      <w:pPr>
        <w:pStyle w:val="NormalWeb"/>
        <w:numPr>
          <w:ilvl w:val="0"/>
          <w:numId w:val="32"/>
        </w:numPr>
      </w:pPr>
      <w:r>
        <w:t>Automatic receipt issuance</w:t>
      </w:r>
    </w:p>
    <w:p w:rsidR="005059E9" w:rsidRDefault="005059E9" w:rsidP="005059E9">
      <w:pPr>
        <w:pStyle w:val="NormalWeb"/>
        <w:numPr>
          <w:ilvl w:val="0"/>
          <w:numId w:val="32"/>
        </w:numPr>
      </w:pPr>
      <w:r>
        <w:t>SLA monitoring</w:t>
      </w:r>
    </w:p>
    <w:p w:rsidR="005059E9" w:rsidRDefault="005059E9" w:rsidP="005059E9">
      <w:pPr>
        <w:pStyle w:val="NormalWeb"/>
        <w:numPr>
          <w:ilvl w:val="0"/>
          <w:numId w:val="32"/>
        </w:numPr>
      </w:pPr>
      <w:r>
        <w:t>Revenue dashboards</w:t>
      </w:r>
    </w:p>
    <w:p w:rsidR="005059E9" w:rsidRDefault="005059E9" w:rsidP="005059E9">
      <w:pPr>
        <w:pStyle w:val="NormalWeb"/>
        <w:numPr>
          <w:ilvl w:val="0"/>
          <w:numId w:val="32"/>
        </w:numPr>
      </w:pPr>
      <w:r>
        <w:t>Monthly performance comparison</w:t>
      </w:r>
    </w:p>
    <w:p w:rsidR="005059E9" w:rsidRDefault="005059E9" w:rsidP="005059E9">
      <w:pPr>
        <w:pStyle w:val="NormalWeb"/>
      </w:pPr>
      <w:r>
        <w:t>Strategically, MESOB becomes:</w:t>
      </w:r>
    </w:p>
    <w:p w:rsidR="005059E9" w:rsidRDefault="005059E9" w:rsidP="005059E9">
      <w:pPr>
        <w:pStyle w:val="NormalWeb"/>
      </w:pPr>
      <w:r>
        <w:t>A revenue assurance and optimization engine.</w:t>
      </w:r>
    </w:p>
    <w:p w:rsidR="005059E9" w:rsidRDefault="005059E9" w:rsidP="005059E9">
      <w:pPr>
        <w:pStyle w:val="NormalWeb"/>
      </w:pPr>
      <w:r>
        <w:t>This directly supports the economic objectives outlined in Digital Ethiopia 2030.</w:t>
      </w:r>
    </w:p>
    <w:p w:rsidR="005059E9" w:rsidRDefault="005059E9" w:rsidP="005059E9">
      <w:r>
        <w:pict>
          <v:rect id="_x0000_i1358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4.3 Land Administration Transparency</w:t>
      </w:r>
    </w:p>
    <w:p w:rsidR="005059E9" w:rsidRDefault="005059E9" w:rsidP="005059E9">
      <w:pPr>
        <w:pStyle w:val="NormalWeb"/>
      </w:pPr>
      <w:r>
        <w:t>Land services carry:</w:t>
      </w:r>
    </w:p>
    <w:p w:rsidR="005059E9" w:rsidRDefault="005059E9" w:rsidP="005059E9">
      <w:pPr>
        <w:pStyle w:val="NormalWeb"/>
        <w:numPr>
          <w:ilvl w:val="0"/>
          <w:numId w:val="33"/>
        </w:numPr>
      </w:pPr>
      <w:r>
        <w:t>High transaction value</w:t>
      </w:r>
    </w:p>
    <w:p w:rsidR="005059E9" w:rsidRDefault="005059E9" w:rsidP="005059E9">
      <w:pPr>
        <w:pStyle w:val="NormalWeb"/>
        <w:numPr>
          <w:ilvl w:val="0"/>
          <w:numId w:val="33"/>
        </w:numPr>
      </w:pPr>
      <w:r>
        <w:t>High citizen friction</w:t>
      </w:r>
    </w:p>
    <w:p w:rsidR="005059E9" w:rsidRDefault="005059E9" w:rsidP="005059E9">
      <w:pPr>
        <w:pStyle w:val="NormalWeb"/>
        <w:numPr>
          <w:ilvl w:val="0"/>
          <w:numId w:val="33"/>
        </w:numPr>
      </w:pPr>
      <w:r>
        <w:t>High corruption risk</w:t>
      </w:r>
    </w:p>
    <w:p w:rsidR="005059E9" w:rsidRDefault="005059E9" w:rsidP="005059E9">
      <w:pPr>
        <w:pStyle w:val="NormalWeb"/>
        <w:numPr>
          <w:ilvl w:val="0"/>
          <w:numId w:val="33"/>
        </w:numPr>
      </w:pPr>
      <w:r>
        <w:t>High public scrutiny</w:t>
      </w:r>
    </w:p>
    <w:p w:rsidR="005059E9" w:rsidRDefault="005059E9" w:rsidP="005059E9">
      <w:pPr>
        <w:pStyle w:val="NormalWeb"/>
      </w:pPr>
      <w:r>
        <w:t>MESOB enables:</w:t>
      </w:r>
    </w:p>
    <w:p w:rsidR="005059E9" w:rsidRDefault="005059E9" w:rsidP="005059E9">
      <w:pPr>
        <w:pStyle w:val="NormalWeb"/>
        <w:numPr>
          <w:ilvl w:val="0"/>
          <w:numId w:val="34"/>
        </w:numPr>
      </w:pPr>
      <w:r>
        <w:t>Digital submission of requests</w:t>
      </w:r>
    </w:p>
    <w:p w:rsidR="005059E9" w:rsidRDefault="005059E9" w:rsidP="005059E9">
      <w:pPr>
        <w:pStyle w:val="NormalWeb"/>
        <w:numPr>
          <w:ilvl w:val="0"/>
          <w:numId w:val="34"/>
        </w:numPr>
      </w:pPr>
      <w:r>
        <w:t>Timestamped workflow tracking</w:t>
      </w:r>
    </w:p>
    <w:p w:rsidR="005059E9" w:rsidRDefault="005059E9" w:rsidP="005059E9">
      <w:pPr>
        <w:pStyle w:val="NormalWeb"/>
        <w:numPr>
          <w:ilvl w:val="0"/>
          <w:numId w:val="34"/>
        </w:numPr>
      </w:pPr>
      <w:r>
        <w:t>Defined approval stages</w:t>
      </w:r>
    </w:p>
    <w:p w:rsidR="005059E9" w:rsidRDefault="005059E9" w:rsidP="005059E9">
      <w:pPr>
        <w:pStyle w:val="NormalWeb"/>
        <w:numPr>
          <w:ilvl w:val="0"/>
          <w:numId w:val="34"/>
        </w:numPr>
      </w:pPr>
      <w:r>
        <w:t>Document digitization</w:t>
      </w:r>
    </w:p>
    <w:p w:rsidR="005059E9" w:rsidRDefault="005059E9" w:rsidP="005059E9">
      <w:pPr>
        <w:pStyle w:val="NormalWeb"/>
        <w:numPr>
          <w:ilvl w:val="0"/>
          <w:numId w:val="34"/>
        </w:numPr>
      </w:pPr>
      <w:r>
        <w:t>Audit logs</w:t>
      </w:r>
    </w:p>
    <w:p w:rsidR="005059E9" w:rsidRDefault="005059E9" w:rsidP="005059E9">
      <w:pPr>
        <w:pStyle w:val="NormalWeb"/>
      </w:pPr>
      <w:r>
        <w:t>This reduces:</w:t>
      </w:r>
    </w:p>
    <w:p w:rsidR="005059E9" w:rsidRDefault="005059E9" w:rsidP="005059E9">
      <w:pPr>
        <w:pStyle w:val="NormalWeb"/>
        <w:numPr>
          <w:ilvl w:val="0"/>
          <w:numId w:val="35"/>
        </w:numPr>
      </w:pPr>
      <w:r>
        <w:t>Informal decision-making</w:t>
      </w:r>
    </w:p>
    <w:p w:rsidR="005059E9" w:rsidRDefault="005059E9" w:rsidP="005059E9">
      <w:pPr>
        <w:pStyle w:val="NormalWeb"/>
        <w:numPr>
          <w:ilvl w:val="0"/>
          <w:numId w:val="35"/>
        </w:numPr>
      </w:pPr>
      <w:r>
        <w:t>Discretionary delays</w:t>
      </w:r>
    </w:p>
    <w:p w:rsidR="005059E9" w:rsidRDefault="005059E9" w:rsidP="005059E9">
      <w:pPr>
        <w:pStyle w:val="NormalWeb"/>
        <w:numPr>
          <w:ilvl w:val="0"/>
          <w:numId w:val="35"/>
        </w:numPr>
      </w:pPr>
      <w:r>
        <w:t>Opaque processes</w:t>
      </w:r>
    </w:p>
    <w:p w:rsidR="005059E9" w:rsidRDefault="005059E9" w:rsidP="005059E9">
      <w:pPr>
        <w:pStyle w:val="NormalWeb"/>
      </w:pPr>
      <w:r>
        <w:t>Strategically, MESOB enhances land governance credibility.</w:t>
      </w:r>
    </w:p>
    <w:p w:rsidR="005059E9" w:rsidRDefault="005059E9" w:rsidP="005059E9">
      <w:r>
        <w:pict>
          <v:rect id="_x0000_i1359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4.4 Smart City Foundation Layer</w:t>
      </w:r>
    </w:p>
    <w:p w:rsidR="005059E9" w:rsidRDefault="005059E9" w:rsidP="005059E9">
      <w:pPr>
        <w:pStyle w:val="NormalWeb"/>
      </w:pPr>
      <w:proofErr w:type="spellStart"/>
      <w:r>
        <w:t>Hawassa’s</w:t>
      </w:r>
      <w:proofErr w:type="spellEnd"/>
      <w:r>
        <w:t xml:space="preserve"> long-term development vision includes:</w:t>
      </w:r>
    </w:p>
    <w:p w:rsidR="005059E9" w:rsidRDefault="005059E9" w:rsidP="005059E9">
      <w:pPr>
        <w:pStyle w:val="NormalWeb"/>
        <w:numPr>
          <w:ilvl w:val="0"/>
          <w:numId w:val="36"/>
        </w:numPr>
      </w:pPr>
      <w:r>
        <w:lastRenderedPageBreak/>
        <w:t>Investment growth</w:t>
      </w:r>
    </w:p>
    <w:p w:rsidR="005059E9" w:rsidRDefault="005059E9" w:rsidP="005059E9">
      <w:pPr>
        <w:pStyle w:val="NormalWeb"/>
        <w:numPr>
          <w:ilvl w:val="0"/>
          <w:numId w:val="36"/>
        </w:numPr>
      </w:pPr>
      <w:r>
        <w:t>Urban planning modernization</w:t>
      </w:r>
    </w:p>
    <w:p w:rsidR="005059E9" w:rsidRDefault="005059E9" w:rsidP="005059E9">
      <w:pPr>
        <w:pStyle w:val="NormalWeb"/>
        <w:numPr>
          <w:ilvl w:val="0"/>
          <w:numId w:val="36"/>
        </w:numPr>
      </w:pPr>
      <w:r>
        <w:t>Data-driven decision-making</w:t>
      </w:r>
    </w:p>
    <w:p w:rsidR="005059E9" w:rsidRDefault="005059E9" w:rsidP="005059E9">
      <w:pPr>
        <w:pStyle w:val="NormalWeb"/>
        <w:numPr>
          <w:ilvl w:val="0"/>
          <w:numId w:val="36"/>
        </w:numPr>
      </w:pPr>
      <w:r>
        <w:t>Service transparency</w:t>
      </w:r>
    </w:p>
    <w:p w:rsidR="005059E9" w:rsidRDefault="005059E9" w:rsidP="005059E9">
      <w:pPr>
        <w:pStyle w:val="NormalWeb"/>
      </w:pPr>
      <w:r>
        <w:t>MESOB provides:</w:t>
      </w:r>
    </w:p>
    <w:p w:rsidR="005059E9" w:rsidRDefault="005059E9" w:rsidP="005059E9">
      <w:pPr>
        <w:pStyle w:val="NormalWeb"/>
        <w:numPr>
          <w:ilvl w:val="0"/>
          <w:numId w:val="37"/>
        </w:numPr>
      </w:pPr>
      <w:r>
        <w:t>Structured transaction data</w:t>
      </w:r>
    </w:p>
    <w:p w:rsidR="005059E9" w:rsidRDefault="005059E9" w:rsidP="005059E9">
      <w:pPr>
        <w:pStyle w:val="NormalWeb"/>
        <w:numPr>
          <w:ilvl w:val="0"/>
          <w:numId w:val="37"/>
        </w:numPr>
      </w:pPr>
      <w:r>
        <w:t>Service volume analytics</w:t>
      </w:r>
    </w:p>
    <w:p w:rsidR="005059E9" w:rsidRDefault="005059E9" w:rsidP="005059E9">
      <w:pPr>
        <w:pStyle w:val="NormalWeb"/>
        <w:numPr>
          <w:ilvl w:val="0"/>
          <w:numId w:val="37"/>
        </w:numPr>
      </w:pPr>
      <w:r>
        <w:t>Revenue heat mapping</w:t>
      </w:r>
    </w:p>
    <w:p w:rsidR="005059E9" w:rsidRDefault="005059E9" w:rsidP="005059E9">
      <w:pPr>
        <w:pStyle w:val="NormalWeb"/>
        <w:numPr>
          <w:ilvl w:val="0"/>
          <w:numId w:val="37"/>
        </w:numPr>
      </w:pPr>
      <w:r>
        <w:t>Ward-level performance indicators</w:t>
      </w:r>
    </w:p>
    <w:p w:rsidR="005059E9" w:rsidRDefault="005059E9" w:rsidP="005059E9">
      <w:pPr>
        <w:pStyle w:val="NormalWeb"/>
      </w:pPr>
      <w:r>
        <w:t>Without MESOB, Smart City initiatives lack foundational integration architecture.</w:t>
      </w:r>
    </w:p>
    <w:p w:rsidR="005059E9" w:rsidRDefault="005059E9" w:rsidP="005059E9">
      <w:pPr>
        <w:pStyle w:val="NormalWeb"/>
      </w:pPr>
      <w:r>
        <w:t>MESOB is therefore:</w:t>
      </w:r>
    </w:p>
    <w:p w:rsidR="005059E9" w:rsidRDefault="005059E9" w:rsidP="005059E9">
      <w:pPr>
        <w:pStyle w:val="NormalWeb"/>
      </w:pPr>
      <w:r>
        <w:t>The municipal digital spine.</w:t>
      </w:r>
    </w:p>
    <w:p w:rsidR="005059E9" w:rsidRDefault="005059E9" w:rsidP="005059E9">
      <w:r>
        <w:pict>
          <v:rect id="_x0000_i1360" style="width:0;height:1.5pt" o:hralign="center" o:hrstd="t" o:hr="t" fillcolor="#a0a0a0" stroked="f"/>
        </w:pict>
      </w:r>
    </w:p>
    <w:p w:rsidR="005059E9" w:rsidRDefault="005059E9" w:rsidP="005059E9">
      <w:pPr>
        <w:pStyle w:val="Heading1"/>
      </w:pPr>
      <w:r>
        <w:t>5. INSTITUTIONAL &amp; LEGAL AUTHORITY MODEL</w:t>
      </w:r>
    </w:p>
    <w:p w:rsidR="005059E9" w:rsidRDefault="005059E9" w:rsidP="005059E9">
      <w:pPr>
        <w:pStyle w:val="NormalWeb"/>
      </w:pPr>
      <w:r>
        <w:t xml:space="preserve">For MESOB to function effectively, </w:t>
      </w:r>
      <w:proofErr w:type="gramStart"/>
      <w:r>
        <w:t>it must be supported by formal legal and institutional authority</w:t>
      </w:r>
      <w:proofErr w:type="gramEnd"/>
      <w:r>
        <w:t>.</w:t>
      </w:r>
    </w:p>
    <w:p w:rsidR="005059E9" w:rsidRDefault="005059E9" w:rsidP="005059E9">
      <w:r>
        <w:pict>
          <v:rect id="_x0000_i1361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5.1 Required Mayoral Executive Directive</w:t>
      </w:r>
    </w:p>
    <w:p w:rsidR="005059E9" w:rsidRDefault="005059E9" w:rsidP="005059E9">
      <w:pPr>
        <w:pStyle w:val="NormalWeb"/>
      </w:pPr>
      <w:r>
        <w:t>A formal Executive Directive should:</w:t>
      </w:r>
    </w:p>
    <w:p w:rsidR="005059E9" w:rsidRDefault="005059E9" w:rsidP="005059E9">
      <w:pPr>
        <w:pStyle w:val="NormalWeb"/>
        <w:numPr>
          <w:ilvl w:val="0"/>
          <w:numId w:val="38"/>
        </w:numPr>
      </w:pPr>
      <w:r>
        <w:t>Recognize MESOB as the official integrated service channel</w:t>
      </w:r>
    </w:p>
    <w:p w:rsidR="005059E9" w:rsidRDefault="005059E9" w:rsidP="005059E9">
      <w:pPr>
        <w:pStyle w:val="NormalWeb"/>
        <w:numPr>
          <w:ilvl w:val="0"/>
          <w:numId w:val="38"/>
        </w:numPr>
      </w:pPr>
      <w:r>
        <w:t>Mandate bureau participation in API-based integration</w:t>
      </w:r>
    </w:p>
    <w:p w:rsidR="005059E9" w:rsidRDefault="005059E9" w:rsidP="005059E9">
      <w:pPr>
        <w:pStyle w:val="NormalWeb"/>
        <w:numPr>
          <w:ilvl w:val="0"/>
          <w:numId w:val="38"/>
        </w:numPr>
      </w:pPr>
      <w:r>
        <w:t>Grant authority to Steering Committee</w:t>
      </w:r>
    </w:p>
    <w:p w:rsidR="005059E9" w:rsidRDefault="005059E9" w:rsidP="005059E9">
      <w:pPr>
        <w:pStyle w:val="NormalWeb"/>
        <w:numPr>
          <w:ilvl w:val="0"/>
          <w:numId w:val="38"/>
        </w:numPr>
      </w:pPr>
      <w:r>
        <w:t>Establish digital submissions as legally valid</w:t>
      </w:r>
    </w:p>
    <w:p w:rsidR="005059E9" w:rsidRDefault="005059E9" w:rsidP="005059E9">
      <w:pPr>
        <w:pStyle w:val="NormalWeb"/>
        <w:numPr>
          <w:ilvl w:val="0"/>
          <w:numId w:val="38"/>
        </w:numPr>
      </w:pPr>
      <w:r>
        <w:t>Require SLA compliance</w:t>
      </w:r>
    </w:p>
    <w:p w:rsidR="005059E9" w:rsidRDefault="005059E9" w:rsidP="005059E9">
      <w:pPr>
        <w:pStyle w:val="NormalWeb"/>
      </w:pPr>
      <w:r>
        <w:t>Without this directive:</w:t>
      </w:r>
    </w:p>
    <w:p w:rsidR="005059E9" w:rsidRDefault="005059E9" w:rsidP="005059E9">
      <w:pPr>
        <w:pStyle w:val="NormalWeb"/>
        <w:numPr>
          <w:ilvl w:val="0"/>
          <w:numId w:val="39"/>
        </w:numPr>
      </w:pPr>
      <w:r>
        <w:t>Bureau participation becomes optional</w:t>
      </w:r>
    </w:p>
    <w:p w:rsidR="005059E9" w:rsidRDefault="005059E9" w:rsidP="005059E9">
      <w:pPr>
        <w:pStyle w:val="NormalWeb"/>
        <w:numPr>
          <w:ilvl w:val="0"/>
          <w:numId w:val="39"/>
        </w:numPr>
      </w:pPr>
      <w:r>
        <w:t>Integration delays increase</w:t>
      </w:r>
    </w:p>
    <w:p w:rsidR="005059E9" w:rsidRDefault="005059E9" w:rsidP="005059E9">
      <w:pPr>
        <w:pStyle w:val="NormalWeb"/>
        <w:numPr>
          <w:ilvl w:val="0"/>
          <w:numId w:val="39"/>
        </w:numPr>
      </w:pPr>
      <w:r>
        <w:t>Legal disputes may arise</w:t>
      </w:r>
    </w:p>
    <w:p w:rsidR="005059E9" w:rsidRDefault="005059E9" w:rsidP="005059E9">
      <w:pPr>
        <w:pStyle w:val="NormalWeb"/>
        <w:numPr>
          <w:ilvl w:val="0"/>
          <w:numId w:val="39"/>
        </w:numPr>
      </w:pPr>
      <w:r>
        <w:lastRenderedPageBreak/>
        <w:t>Institutional resistance may occur</w:t>
      </w:r>
    </w:p>
    <w:p w:rsidR="005059E9" w:rsidRDefault="005059E9" w:rsidP="005059E9">
      <w:r>
        <w:pict>
          <v:rect id="_x0000_i1362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5.2 Steering Committee Mandate</w:t>
      </w:r>
    </w:p>
    <w:p w:rsidR="005059E9" w:rsidRDefault="005059E9" w:rsidP="005059E9">
      <w:pPr>
        <w:pStyle w:val="NormalWeb"/>
      </w:pPr>
      <w:r>
        <w:t>The Steering Committee should:</w:t>
      </w:r>
    </w:p>
    <w:p w:rsidR="005059E9" w:rsidRDefault="005059E9" w:rsidP="005059E9">
      <w:pPr>
        <w:pStyle w:val="NormalWeb"/>
        <w:numPr>
          <w:ilvl w:val="0"/>
          <w:numId w:val="40"/>
        </w:numPr>
      </w:pPr>
      <w:r>
        <w:t>Be chaired by a mayoral appointee</w:t>
      </w:r>
    </w:p>
    <w:p w:rsidR="005059E9" w:rsidRDefault="005059E9" w:rsidP="005059E9">
      <w:pPr>
        <w:pStyle w:val="NormalWeb"/>
        <w:numPr>
          <w:ilvl w:val="0"/>
          <w:numId w:val="40"/>
        </w:numPr>
      </w:pPr>
      <w:r>
        <w:t>Include key bureau heads</w:t>
      </w:r>
    </w:p>
    <w:p w:rsidR="005059E9" w:rsidRDefault="005059E9" w:rsidP="005059E9">
      <w:pPr>
        <w:pStyle w:val="NormalWeb"/>
        <w:numPr>
          <w:ilvl w:val="0"/>
          <w:numId w:val="40"/>
        </w:numPr>
      </w:pPr>
      <w:r>
        <w:t>Oversee integration progress</w:t>
      </w:r>
    </w:p>
    <w:p w:rsidR="005059E9" w:rsidRDefault="005059E9" w:rsidP="005059E9">
      <w:pPr>
        <w:pStyle w:val="NormalWeb"/>
        <w:numPr>
          <w:ilvl w:val="0"/>
          <w:numId w:val="40"/>
        </w:numPr>
      </w:pPr>
      <w:r>
        <w:t>Approve SLA frameworks</w:t>
      </w:r>
    </w:p>
    <w:p w:rsidR="005059E9" w:rsidRDefault="005059E9" w:rsidP="005059E9">
      <w:pPr>
        <w:pStyle w:val="NormalWeb"/>
        <w:numPr>
          <w:ilvl w:val="0"/>
          <w:numId w:val="40"/>
        </w:numPr>
      </w:pPr>
      <w:r>
        <w:t>Resolve cross-bureau disputes</w:t>
      </w:r>
    </w:p>
    <w:p w:rsidR="005059E9" w:rsidRDefault="005059E9" w:rsidP="005059E9">
      <w:pPr>
        <w:pStyle w:val="NormalWeb"/>
      </w:pPr>
      <w:r>
        <w:t>Responsibilities:</w:t>
      </w:r>
    </w:p>
    <w:p w:rsidR="005059E9" w:rsidRDefault="005059E9" w:rsidP="005059E9">
      <w:pPr>
        <w:pStyle w:val="NormalWeb"/>
        <w:numPr>
          <w:ilvl w:val="0"/>
          <w:numId w:val="41"/>
        </w:numPr>
      </w:pPr>
      <w:r>
        <w:t>Monthly progress review</w:t>
      </w:r>
    </w:p>
    <w:p w:rsidR="005059E9" w:rsidRDefault="005059E9" w:rsidP="005059E9">
      <w:pPr>
        <w:pStyle w:val="NormalWeb"/>
        <w:numPr>
          <w:ilvl w:val="0"/>
          <w:numId w:val="41"/>
        </w:numPr>
      </w:pPr>
      <w:r>
        <w:t>Risk mitigation oversight</w:t>
      </w:r>
    </w:p>
    <w:p w:rsidR="005059E9" w:rsidRDefault="005059E9" w:rsidP="005059E9">
      <w:pPr>
        <w:pStyle w:val="NormalWeb"/>
        <w:numPr>
          <w:ilvl w:val="0"/>
          <w:numId w:val="41"/>
        </w:numPr>
      </w:pPr>
      <w:r>
        <w:t>Vendor performance review</w:t>
      </w:r>
    </w:p>
    <w:p w:rsidR="005059E9" w:rsidRDefault="005059E9" w:rsidP="005059E9">
      <w:pPr>
        <w:pStyle w:val="NormalWeb"/>
        <w:numPr>
          <w:ilvl w:val="0"/>
          <w:numId w:val="41"/>
        </w:numPr>
      </w:pPr>
      <w:r>
        <w:t>Budget monitoring</w:t>
      </w:r>
    </w:p>
    <w:p w:rsidR="005059E9" w:rsidRDefault="005059E9" w:rsidP="005059E9">
      <w:pPr>
        <w:pStyle w:val="NormalWeb"/>
      </w:pPr>
      <w:r>
        <w:t>This ensures political alignment with operational execution.</w:t>
      </w:r>
    </w:p>
    <w:p w:rsidR="005059E9" w:rsidRDefault="005059E9" w:rsidP="005059E9">
      <w:r>
        <w:pict>
          <v:rect id="_x0000_i1363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5.3 Bureau Compliance Obligations</w:t>
      </w:r>
    </w:p>
    <w:p w:rsidR="005059E9" w:rsidRDefault="005059E9" w:rsidP="005059E9">
      <w:pPr>
        <w:pStyle w:val="NormalWeb"/>
      </w:pPr>
      <w:r>
        <w:t xml:space="preserve">Each bureau must formally commit </w:t>
      </w:r>
      <w:proofErr w:type="gramStart"/>
      <w:r>
        <w:t>to</w:t>
      </w:r>
      <w:proofErr w:type="gramEnd"/>
      <w:r>
        <w:t>:</w:t>
      </w:r>
    </w:p>
    <w:p w:rsidR="005059E9" w:rsidRDefault="005059E9" w:rsidP="005059E9">
      <w:pPr>
        <w:pStyle w:val="NormalWeb"/>
        <w:numPr>
          <w:ilvl w:val="0"/>
          <w:numId w:val="42"/>
        </w:numPr>
      </w:pPr>
      <w:r>
        <w:t>Providing process documentation</w:t>
      </w:r>
    </w:p>
    <w:p w:rsidR="005059E9" w:rsidRDefault="005059E9" w:rsidP="005059E9">
      <w:pPr>
        <w:pStyle w:val="NormalWeb"/>
        <w:numPr>
          <w:ilvl w:val="0"/>
          <w:numId w:val="42"/>
        </w:numPr>
      </w:pPr>
      <w:r>
        <w:t>Identifying data owners</w:t>
      </w:r>
    </w:p>
    <w:p w:rsidR="005059E9" w:rsidRDefault="005059E9" w:rsidP="005059E9">
      <w:pPr>
        <w:pStyle w:val="NormalWeb"/>
        <w:numPr>
          <w:ilvl w:val="0"/>
          <w:numId w:val="42"/>
        </w:numPr>
      </w:pPr>
      <w:r>
        <w:t>Assigning technical focal persons</w:t>
      </w:r>
    </w:p>
    <w:p w:rsidR="005059E9" w:rsidRDefault="005059E9" w:rsidP="005059E9">
      <w:pPr>
        <w:pStyle w:val="NormalWeb"/>
        <w:numPr>
          <w:ilvl w:val="0"/>
          <w:numId w:val="42"/>
        </w:numPr>
      </w:pPr>
      <w:r>
        <w:t>Developing or exposing required API endpoints</w:t>
      </w:r>
    </w:p>
    <w:p w:rsidR="005059E9" w:rsidRDefault="005059E9" w:rsidP="005059E9">
      <w:pPr>
        <w:pStyle w:val="NormalWeb"/>
        <w:numPr>
          <w:ilvl w:val="0"/>
          <w:numId w:val="42"/>
        </w:numPr>
      </w:pPr>
      <w:r>
        <w:t>Signing SLA commitments</w:t>
      </w:r>
    </w:p>
    <w:p w:rsidR="005059E9" w:rsidRDefault="005059E9" w:rsidP="005059E9">
      <w:pPr>
        <w:pStyle w:val="NormalWeb"/>
      </w:pPr>
      <w:r>
        <w:t>Bureaus with existing IT systems must:</w:t>
      </w:r>
    </w:p>
    <w:p w:rsidR="005059E9" w:rsidRDefault="005059E9" w:rsidP="005059E9">
      <w:pPr>
        <w:pStyle w:val="NormalWeb"/>
        <w:numPr>
          <w:ilvl w:val="0"/>
          <w:numId w:val="43"/>
        </w:numPr>
      </w:pPr>
      <w:r>
        <w:t>Develop secure REST APIs</w:t>
      </w:r>
    </w:p>
    <w:p w:rsidR="005059E9" w:rsidRDefault="005059E9" w:rsidP="005059E9">
      <w:pPr>
        <w:pStyle w:val="NormalWeb"/>
        <w:numPr>
          <w:ilvl w:val="0"/>
          <w:numId w:val="43"/>
        </w:numPr>
      </w:pPr>
      <w:r>
        <w:t>Provide documentation</w:t>
      </w:r>
    </w:p>
    <w:p w:rsidR="005059E9" w:rsidRDefault="005059E9" w:rsidP="005059E9">
      <w:pPr>
        <w:pStyle w:val="NormalWeb"/>
        <w:numPr>
          <w:ilvl w:val="0"/>
          <w:numId w:val="43"/>
        </w:numPr>
      </w:pPr>
      <w:r>
        <w:t>Participate in integration testing</w:t>
      </w:r>
    </w:p>
    <w:p w:rsidR="005059E9" w:rsidRDefault="005059E9" w:rsidP="005059E9">
      <w:pPr>
        <w:pStyle w:val="NormalWeb"/>
      </w:pPr>
      <w:r>
        <w:t>Bureaus without systems must:</w:t>
      </w:r>
    </w:p>
    <w:p w:rsidR="005059E9" w:rsidRDefault="005059E9" w:rsidP="005059E9">
      <w:pPr>
        <w:pStyle w:val="NormalWeb"/>
        <w:numPr>
          <w:ilvl w:val="0"/>
          <w:numId w:val="44"/>
        </w:numPr>
      </w:pPr>
      <w:r>
        <w:t>Document manual processes</w:t>
      </w:r>
    </w:p>
    <w:p w:rsidR="005059E9" w:rsidRDefault="005059E9" w:rsidP="005059E9">
      <w:pPr>
        <w:pStyle w:val="NormalWeb"/>
        <w:numPr>
          <w:ilvl w:val="0"/>
          <w:numId w:val="44"/>
        </w:numPr>
      </w:pPr>
      <w:r>
        <w:t>Define data structures</w:t>
      </w:r>
    </w:p>
    <w:p w:rsidR="005059E9" w:rsidRDefault="005059E9" w:rsidP="005059E9">
      <w:pPr>
        <w:pStyle w:val="NormalWeb"/>
        <w:numPr>
          <w:ilvl w:val="0"/>
          <w:numId w:val="44"/>
        </w:numPr>
      </w:pPr>
      <w:r>
        <w:lastRenderedPageBreak/>
        <w:t>Coordinate endpoint development (either internally or via vendor agreement)</w:t>
      </w:r>
    </w:p>
    <w:p w:rsidR="005059E9" w:rsidRDefault="005059E9" w:rsidP="005059E9">
      <w:pPr>
        <w:pStyle w:val="NormalWeb"/>
      </w:pPr>
      <w:r>
        <w:t xml:space="preserve">Compliance </w:t>
      </w:r>
      <w:proofErr w:type="gramStart"/>
      <w:r>
        <w:t>must be documented and signed</w:t>
      </w:r>
      <w:proofErr w:type="gramEnd"/>
      <w:r>
        <w:t>.</w:t>
      </w:r>
    </w:p>
    <w:p w:rsidR="005059E9" w:rsidRDefault="005059E9" w:rsidP="005059E9">
      <w:r>
        <w:pict>
          <v:rect id="_x0000_i1364" style="width:0;height:1.5pt" o:hralign="center" o:hrstd="t" o:hr="t" fillcolor="#a0a0a0" stroked="f"/>
        </w:pict>
      </w:r>
    </w:p>
    <w:p w:rsidR="005059E9" w:rsidRDefault="005059E9" w:rsidP="005059E9">
      <w:pPr>
        <w:pStyle w:val="Heading1"/>
      </w:pPr>
      <w:r>
        <w:t>6. RISK OF MISALIGNMENT</w:t>
      </w:r>
    </w:p>
    <w:p w:rsidR="005059E9" w:rsidRDefault="005059E9" w:rsidP="005059E9">
      <w:pPr>
        <w:pStyle w:val="NormalWeb"/>
      </w:pPr>
      <w:r>
        <w:t>Failure to maintain strategic alignment introduces significant risk.</w:t>
      </w:r>
    </w:p>
    <w:p w:rsidR="005059E9" w:rsidRDefault="005059E9" w:rsidP="005059E9">
      <w:r>
        <w:pict>
          <v:rect id="_x0000_i1365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6.1 Political Risk</w:t>
      </w:r>
    </w:p>
    <w:p w:rsidR="005059E9" w:rsidRDefault="005059E9" w:rsidP="005059E9">
      <w:pPr>
        <w:pStyle w:val="NormalWeb"/>
      </w:pPr>
      <w:r>
        <w:t xml:space="preserve">If MESOB </w:t>
      </w:r>
      <w:proofErr w:type="gramStart"/>
      <w:r>
        <w:t>is perceived</w:t>
      </w:r>
      <w:proofErr w:type="gramEnd"/>
      <w:r>
        <w:t xml:space="preserve"> as:</w:t>
      </w:r>
    </w:p>
    <w:p w:rsidR="005059E9" w:rsidRDefault="005059E9" w:rsidP="005059E9">
      <w:pPr>
        <w:pStyle w:val="NormalWeb"/>
        <w:numPr>
          <w:ilvl w:val="0"/>
          <w:numId w:val="45"/>
        </w:numPr>
      </w:pPr>
      <w:r>
        <w:t>An IT experiment</w:t>
      </w:r>
    </w:p>
    <w:p w:rsidR="005059E9" w:rsidRDefault="005059E9" w:rsidP="005059E9">
      <w:pPr>
        <w:pStyle w:val="NormalWeb"/>
        <w:numPr>
          <w:ilvl w:val="0"/>
          <w:numId w:val="45"/>
        </w:numPr>
      </w:pPr>
      <w:r>
        <w:t>A vendor-driven initiative</w:t>
      </w:r>
    </w:p>
    <w:p w:rsidR="005059E9" w:rsidRDefault="005059E9" w:rsidP="005059E9">
      <w:pPr>
        <w:pStyle w:val="NormalWeb"/>
        <w:numPr>
          <w:ilvl w:val="0"/>
          <w:numId w:val="45"/>
        </w:numPr>
      </w:pPr>
      <w:r>
        <w:t>A temporary project</w:t>
      </w:r>
    </w:p>
    <w:p w:rsidR="005059E9" w:rsidRDefault="005059E9" w:rsidP="005059E9">
      <w:pPr>
        <w:pStyle w:val="NormalWeb"/>
      </w:pPr>
      <w:r>
        <w:t>It will lose reform momentum.</w:t>
      </w:r>
    </w:p>
    <w:p w:rsidR="005059E9" w:rsidRDefault="005059E9" w:rsidP="005059E9">
      <w:pPr>
        <w:pStyle w:val="NormalWeb"/>
      </w:pPr>
      <w:r>
        <w:t>Strong executive ownership is essential.</w:t>
      </w:r>
    </w:p>
    <w:p w:rsidR="005059E9" w:rsidRDefault="005059E9" w:rsidP="005059E9">
      <w:r>
        <w:pict>
          <v:rect id="_x0000_i1366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6.2 Technical Fragmentation Risk</w:t>
      </w:r>
    </w:p>
    <w:p w:rsidR="005059E9" w:rsidRDefault="005059E9" w:rsidP="005059E9">
      <w:pPr>
        <w:pStyle w:val="NormalWeb"/>
      </w:pPr>
      <w:r>
        <w:t>Without adherence to national API and interoperability standards:</w:t>
      </w:r>
    </w:p>
    <w:p w:rsidR="005059E9" w:rsidRDefault="005059E9" w:rsidP="005059E9">
      <w:pPr>
        <w:pStyle w:val="NormalWeb"/>
        <w:numPr>
          <w:ilvl w:val="0"/>
          <w:numId w:val="46"/>
        </w:numPr>
      </w:pPr>
      <w:r>
        <w:t>Bureaus may implement incompatible systems</w:t>
      </w:r>
    </w:p>
    <w:p w:rsidR="005059E9" w:rsidRDefault="005059E9" w:rsidP="005059E9">
      <w:pPr>
        <w:pStyle w:val="NormalWeb"/>
        <w:numPr>
          <w:ilvl w:val="0"/>
          <w:numId w:val="46"/>
        </w:numPr>
      </w:pPr>
      <w:r>
        <w:t>Integration may fail</w:t>
      </w:r>
    </w:p>
    <w:p w:rsidR="005059E9" w:rsidRDefault="005059E9" w:rsidP="005059E9">
      <w:pPr>
        <w:pStyle w:val="NormalWeb"/>
        <w:numPr>
          <w:ilvl w:val="0"/>
          <w:numId w:val="46"/>
        </w:numPr>
      </w:pPr>
      <w:r>
        <w:t>Security gaps may emerge</w:t>
      </w:r>
    </w:p>
    <w:p w:rsidR="005059E9" w:rsidRDefault="005059E9" w:rsidP="005059E9">
      <w:pPr>
        <w:pStyle w:val="NormalWeb"/>
        <w:numPr>
          <w:ilvl w:val="0"/>
          <w:numId w:val="46"/>
        </w:numPr>
      </w:pPr>
      <w:r>
        <w:t>Future federal integration becomes difficult</w:t>
      </w:r>
    </w:p>
    <w:p w:rsidR="005059E9" w:rsidRDefault="005059E9" w:rsidP="005059E9">
      <w:pPr>
        <w:pStyle w:val="NormalWeb"/>
      </w:pPr>
      <w:r>
        <w:t>Technical governance discipline is mandatory.</w:t>
      </w:r>
    </w:p>
    <w:p w:rsidR="005059E9" w:rsidRDefault="005059E9" w:rsidP="005059E9">
      <w:r>
        <w:pict>
          <v:rect id="_x0000_i1367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6.3 Vendor Lock-In Risk</w:t>
      </w:r>
    </w:p>
    <w:p w:rsidR="005059E9" w:rsidRDefault="005059E9" w:rsidP="005059E9">
      <w:pPr>
        <w:pStyle w:val="NormalWeb"/>
      </w:pPr>
      <w:r>
        <w:t xml:space="preserve">If </w:t>
      </w:r>
      <w:proofErr w:type="gramStart"/>
      <w:r>
        <w:t xml:space="preserve">architecture ownership is not retained by </w:t>
      </w:r>
      <w:proofErr w:type="spellStart"/>
      <w:r>
        <w:t>Hawassa</w:t>
      </w:r>
      <w:proofErr w:type="spellEnd"/>
      <w:proofErr w:type="gramEnd"/>
      <w:r>
        <w:t>:</w:t>
      </w:r>
    </w:p>
    <w:p w:rsidR="005059E9" w:rsidRDefault="005059E9" w:rsidP="005059E9">
      <w:pPr>
        <w:pStyle w:val="NormalWeb"/>
        <w:numPr>
          <w:ilvl w:val="0"/>
          <w:numId w:val="47"/>
        </w:numPr>
      </w:pPr>
      <w:r>
        <w:lastRenderedPageBreak/>
        <w:t>Platform dependency increases</w:t>
      </w:r>
    </w:p>
    <w:p w:rsidR="005059E9" w:rsidRDefault="005059E9" w:rsidP="005059E9">
      <w:pPr>
        <w:pStyle w:val="NormalWeb"/>
        <w:numPr>
          <w:ilvl w:val="0"/>
          <w:numId w:val="47"/>
        </w:numPr>
      </w:pPr>
      <w:r>
        <w:t>Upgrade costs escalate</w:t>
      </w:r>
    </w:p>
    <w:p w:rsidR="005059E9" w:rsidRDefault="005059E9" w:rsidP="005059E9">
      <w:pPr>
        <w:pStyle w:val="NormalWeb"/>
        <w:numPr>
          <w:ilvl w:val="0"/>
          <w:numId w:val="47"/>
        </w:numPr>
      </w:pPr>
      <w:r>
        <w:t>Data portability becomes restricted</w:t>
      </w:r>
    </w:p>
    <w:p w:rsidR="005059E9" w:rsidRDefault="005059E9" w:rsidP="005059E9">
      <w:pPr>
        <w:pStyle w:val="NormalWeb"/>
        <w:numPr>
          <w:ilvl w:val="0"/>
          <w:numId w:val="47"/>
        </w:numPr>
      </w:pPr>
      <w:r>
        <w:t>Long-term sustainability is compromised</w:t>
      </w:r>
    </w:p>
    <w:p w:rsidR="005059E9" w:rsidRDefault="005059E9" w:rsidP="005059E9">
      <w:pPr>
        <w:pStyle w:val="NormalWeb"/>
      </w:pPr>
      <w:r>
        <w:t xml:space="preserve">Clear contractual boundaries </w:t>
      </w:r>
      <w:proofErr w:type="gramStart"/>
      <w:r>
        <w:t>must be enforced</w:t>
      </w:r>
      <w:proofErr w:type="gramEnd"/>
      <w:r>
        <w:t>.</w:t>
      </w:r>
    </w:p>
    <w:p w:rsidR="005059E9" w:rsidRDefault="005059E9" w:rsidP="005059E9">
      <w:r>
        <w:pict>
          <v:rect id="_x0000_i1368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6.4 Institutional Resistance Risk</w:t>
      </w:r>
    </w:p>
    <w:p w:rsidR="005059E9" w:rsidRDefault="005059E9" w:rsidP="005059E9">
      <w:pPr>
        <w:pStyle w:val="NormalWeb"/>
      </w:pPr>
      <w:r>
        <w:t>Some bureaus may:</w:t>
      </w:r>
    </w:p>
    <w:p w:rsidR="005059E9" w:rsidRDefault="005059E9" w:rsidP="005059E9">
      <w:pPr>
        <w:pStyle w:val="NormalWeb"/>
        <w:numPr>
          <w:ilvl w:val="0"/>
          <w:numId w:val="48"/>
        </w:numPr>
      </w:pPr>
      <w:r>
        <w:t>Delay integration</w:t>
      </w:r>
    </w:p>
    <w:p w:rsidR="005059E9" w:rsidRDefault="005059E9" w:rsidP="005059E9">
      <w:pPr>
        <w:pStyle w:val="NormalWeb"/>
        <w:numPr>
          <w:ilvl w:val="0"/>
          <w:numId w:val="48"/>
        </w:numPr>
      </w:pPr>
      <w:r>
        <w:t>Restrict data access</w:t>
      </w:r>
    </w:p>
    <w:p w:rsidR="005059E9" w:rsidRDefault="005059E9" w:rsidP="005059E9">
      <w:pPr>
        <w:pStyle w:val="NormalWeb"/>
        <w:numPr>
          <w:ilvl w:val="0"/>
          <w:numId w:val="48"/>
        </w:numPr>
      </w:pPr>
      <w:r>
        <w:t>Maintain parallel manual workflows</w:t>
      </w:r>
    </w:p>
    <w:p w:rsidR="005059E9" w:rsidRDefault="005059E9" w:rsidP="005059E9">
      <w:pPr>
        <w:pStyle w:val="NormalWeb"/>
      </w:pPr>
      <w:r>
        <w:t>Mitigation requires:</w:t>
      </w:r>
    </w:p>
    <w:p w:rsidR="005059E9" w:rsidRDefault="005059E9" w:rsidP="005059E9">
      <w:pPr>
        <w:pStyle w:val="NormalWeb"/>
        <w:numPr>
          <w:ilvl w:val="0"/>
          <w:numId w:val="49"/>
        </w:numPr>
      </w:pPr>
      <w:r>
        <w:t>Executive directive</w:t>
      </w:r>
    </w:p>
    <w:p w:rsidR="005059E9" w:rsidRDefault="005059E9" w:rsidP="005059E9">
      <w:pPr>
        <w:pStyle w:val="NormalWeb"/>
        <w:numPr>
          <w:ilvl w:val="0"/>
          <w:numId w:val="49"/>
        </w:numPr>
      </w:pPr>
      <w:r>
        <w:t>SLA enforcement</w:t>
      </w:r>
    </w:p>
    <w:p w:rsidR="005059E9" w:rsidRDefault="005059E9" w:rsidP="005059E9">
      <w:pPr>
        <w:pStyle w:val="NormalWeb"/>
        <w:numPr>
          <w:ilvl w:val="0"/>
          <w:numId w:val="49"/>
        </w:numPr>
      </w:pPr>
      <w:r>
        <w:t>Performance visibility</w:t>
      </w:r>
    </w:p>
    <w:p w:rsidR="005059E9" w:rsidRDefault="005059E9" w:rsidP="005059E9">
      <w:r>
        <w:pict>
          <v:rect id="_x0000_i1369" style="width:0;height:1.5pt" o:hralign="center" o:hrstd="t" o:hr="t" fillcolor="#a0a0a0" stroked="f"/>
        </w:pict>
      </w:r>
    </w:p>
    <w:p w:rsidR="005059E9" w:rsidRDefault="005059E9" w:rsidP="005059E9">
      <w:pPr>
        <w:pStyle w:val="Heading1"/>
      </w:pPr>
      <w:r>
        <w:t>7. STRATEGIC RECOMMENDATIONS</w:t>
      </w:r>
    </w:p>
    <w:p w:rsidR="005059E9" w:rsidRDefault="005059E9" w:rsidP="005059E9">
      <w:pPr>
        <w:pStyle w:val="NormalWeb"/>
      </w:pPr>
      <w:r>
        <w:t xml:space="preserve">Based on the alignment analysis, the following actions </w:t>
      </w:r>
      <w:proofErr w:type="gramStart"/>
      <w:r>
        <w:t>are recommended</w:t>
      </w:r>
      <w:proofErr w:type="gramEnd"/>
      <w:r>
        <w:t>:</w:t>
      </w:r>
    </w:p>
    <w:p w:rsidR="005059E9" w:rsidRDefault="005059E9" w:rsidP="005059E9">
      <w:r>
        <w:pict>
          <v:rect id="_x0000_i1370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7.1 Immediate Actions</w:t>
      </w:r>
    </w:p>
    <w:p w:rsidR="005059E9" w:rsidRDefault="005059E9" w:rsidP="005059E9">
      <w:pPr>
        <w:pStyle w:val="NormalWeb"/>
        <w:numPr>
          <w:ilvl w:val="0"/>
          <w:numId w:val="50"/>
        </w:numPr>
      </w:pPr>
      <w:r>
        <w:t>Issue formal mayoral directive recognizing MESOB authority</w:t>
      </w:r>
    </w:p>
    <w:p w:rsidR="005059E9" w:rsidRDefault="005059E9" w:rsidP="005059E9">
      <w:pPr>
        <w:pStyle w:val="NormalWeb"/>
        <w:numPr>
          <w:ilvl w:val="0"/>
          <w:numId w:val="50"/>
        </w:numPr>
      </w:pPr>
      <w:r>
        <w:t>Establish Steering Committee with defined charter</w:t>
      </w:r>
    </w:p>
    <w:p w:rsidR="005059E9" w:rsidRDefault="005059E9" w:rsidP="005059E9">
      <w:pPr>
        <w:pStyle w:val="NormalWeb"/>
        <w:numPr>
          <w:ilvl w:val="0"/>
          <w:numId w:val="50"/>
        </w:numPr>
      </w:pPr>
      <w:r>
        <w:t>Approve phased service prioritization</w:t>
      </w:r>
    </w:p>
    <w:p w:rsidR="005059E9" w:rsidRDefault="005059E9" w:rsidP="005059E9">
      <w:pPr>
        <w:pStyle w:val="NormalWeb"/>
        <w:numPr>
          <w:ilvl w:val="0"/>
          <w:numId w:val="50"/>
        </w:numPr>
      </w:pPr>
      <w:r>
        <w:t>Initiate procurement transparency</w:t>
      </w:r>
    </w:p>
    <w:p w:rsidR="005059E9" w:rsidRDefault="005059E9" w:rsidP="005059E9">
      <w:r>
        <w:pict>
          <v:rect id="_x0000_i1371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7.2 Structural Safeguards</w:t>
      </w:r>
    </w:p>
    <w:p w:rsidR="005059E9" w:rsidRDefault="005059E9" w:rsidP="005059E9">
      <w:pPr>
        <w:pStyle w:val="NormalWeb"/>
        <w:numPr>
          <w:ilvl w:val="0"/>
          <w:numId w:val="51"/>
        </w:numPr>
      </w:pPr>
      <w:r>
        <w:t>Maintain city ownership of architecture design</w:t>
      </w:r>
    </w:p>
    <w:p w:rsidR="005059E9" w:rsidRDefault="005059E9" w:rsidP="005059E9">
      <w:pPr>
        <w:pStyle w:val="NormalWeb"/>
        <w:numPr>
          <w:ilvl w:val="0"/>
          <w:numId w:val="51"/>
        </w:numPr>
      </w:pPr>
      <w:r>
        <w:lastRenderedPageBreak/>
        <w:t>Enforce data governance framework</w:t>
      </w:r>
    </w:p>
    <w:p w:rsidR="005059E9" w:rsidRDefault="005059E9" w:rsidP="005059E9">
      <w:pPr>
        <w:pStyle w:val="NormalWeb"/>
        <w:numPr>
          <w:ilvl w:val="0"/>
          <w:numId w:val="51"/>
        </w:numPr>
      </w:pPr>
      <w:r>
        <w:t>Formalize bureau integration agreements</w:t>
      </w:r>
    </w:p>
    <w:p w:rsidR="005059E9" w:rsidRDefault="005059E9" w:rsidP="005059E9">
      <w:pPr>
        <w:pStyle w:val="NormalWeb"/>
        <w:numPr>
          <w:ilvl w:val="0"/>
          <w:numId w:val="51"/>
        </w:numPr>
      </w:pPr>
      <w:r>
        <w:t>Define API development responsibility clearly</w:t>
      </w:r>
    </w:p>
    <w:p w:rsidR="005059E9" w:rsidRDefault="005059E9" w:rsidP="005059E9">
      <w:r>
        <w:pict>
          <v:rect id="_x0000_i1372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7.3 Procurement Discipline</w:t>
      </w:r>
    </w:p>
    <w:p w:rsidR="005059E9" w:rsidRDefault="005059E9" w:rsidP="005059E9">
      <w:pPr>
        <w:pStyle w:val="NormalWeb"/>
        <w:numPr>
          <w:ilvl w:val="0"/>
          <w:numId w:val="52"/>
        </w:numPr>
      </w:pPr>
      <w:r>
        <w:t>Align infrastructure procurement strictly with Phase 1 needs</w:t>
      </w:r>
    </w:p>
    <w:p w:rsidR="005059E9" w:rsidRDefault="005059E9" w:rsidP="005059E9">
      <w:pPr>
        <w:pStyle w:val="NormalWeb"/>
        <w:numPr>
          <w:ilvl w:val="0"/>
          <w:numId w:val="52"/>
        </w:numPr>
      </w:pPr>
      <w:r>
        <w:t>Avoid over-scoping beyond operational readiness</w:t>
      </w:r>
    </w:p>
    <w:p w:rsidR="005059E9" w:rsidRDefault="005059E9" w:rsidP="005059E9">
      <w:pPr>
        <w:pStyle w:val="NormalWeb"/>
        <w:numPr>
          <w:ilvl w:val="0"/>
          <w:numId w:val="52"/>
        </w:numPr>
      </w:pPr>
      <w:r>
        <w:t>Require vendor scope clarity</w:t>
      </w:r>
    </w:p>
    <w:p w:rsidR="005059E9" w:rsidRDefault="005059E9" w:rsidP="005059E9">
      <w:pPr>
        <w:pStyle w:val="NormalWeb"/>
        <w:numPr>
          <w:ilvl w:val="0"/>
          <w:numId w:val="52"/>
        </w:numPr>
      </w:pPr>
      <w:r>
        <w:t>Embed SLA and exit clauses</w:t>
      </w:r>
    </w:p>
    <w:p w:rsidR="005059E9" w:rsidRDefault="005059E9" w:rsidP="005059E9">
      <w:r>
        <w:pict>
          <v:rect id="_x0000_i1373" style="width:0;height:1.5pt" o:hralign="center" o:hrstd="t" o:hr="t" fillcolor="#a0a0a0" stroked="f"/>
        </w:pict>
      </w:r>
    </w:p>
    <w:p w:rsidR="005059E9" w:rsidRDefault="005059E9" w:rsidP="005059E9">
      <w:pPr>
        <w:pStyle w:val="Heading2"/>
      </w:pPr>
      <w:r>
        <w:t>7.4 Long-Term Institutionalization</w:t>
      </w:r>
    </w:p>
    <w:p w:rsidR="005059E9" w:rsidRDefault="005059E9" w:rsidP="005059E9">
      <w:pPr>
        <w:pStyle w:val="NormalWeb"/>
        <w:numPr>
          <w:ilvl w:val="0"/>
          <w:numId w:val="53"/>
        </w:numPr>
      </w:pPr>
      <w:r>
        <w:t>Codify MESOB governance through city regulation</w:t>
      </w:r>
    </w:p>
    <w:p w:rsidR="005059E9" w:rsidRDefault="005059E9" w:rsidP="005059E9">
      <w:pPr>
        <w:pStyle w:val="NormalWeb"/>
        <w:numPr>
          <w:ilvl w:val="0"/>
          <w:numId w:val="53"/>
        </w:numPr>
      </w:pPr>
      <w:r>
        <w:t>Create permanent MESOB operational unit</w:t>
      </w:r>
    </w:p>
    <w:p w:rsidR="005059E9" w:rsidRDefault="005059E9" w:rsidP="005059E9">
      <w:pPr>
        <w:pStyle w:val="NormalWeb"/>
        <w:numPr>
          <w:ilvl w:val="0"/>
          <w:numId w:val="53"/>
        </w:numPr>
      </w:pPr>
      <w:r>
        <w:t>Establish annual digital service performance reporting</w:t>
      </w:r>
    </w:p>
    <w:p w:rsidR="005059E9" w:rsidRDefault="005059E9" w:rsidP="005059E9">
      <w:pPr>
        <w:pStyle w:val="NormalWeb"/>
        <w:numPr>
          <w:ilvl w:val="0"/>
          <w:numId w:val="53"/>
        </w:numPr>
      </w:pPr>
      <w:r>
        <w:t>Integrate dashboard reporting into executive meetings</w:t>
      </w:r>
    </w:p>
    <w:p w:rsidR="005059E9" w:rsidRDefault="005059E9" w:rsidP="005059E9">
      <w:r>
        <w:pict>
          <v:rect id="_x0000_i1374" style="width:0;height:1.5pt" o:hralign="center" o:hrstd="t" o:hr="t" fillcolor="#a0a0a0" stroked="f"/>
        </w:pict>
      </w:r>
    </w:p>
    <w:p w:rsidR="005059E9" w:rsidRDefault="005059E9" w:rsidP="005059E9">
      <w:pPr>
        <w:pStyle w:val="Heading1"/>
      </w:pPr>
      <w:r>
        <w:t>CONCLUSION</w:t>
      </w:r>
    </w:p>
    <w:p w:rsidR="005059E9" w:rsidRDefault="005059E9" w:rsidP="005059E9">
      <w:pPr>
        <w:pStyle w:val="NormalWeb"/>
      </w:pPr>
      <w:r>
        <w:t xml:space="preserve">The </w:t>
      </w:r>
      <w:proofErr w:type="spellStart"/>
      <w:r>
        <w:t>Hawassa</w:t>
      </w:r>
      <w:proofErr w:type="spellEnd"/>
      <w:r>
        <w:t xml:space="preserve"> MESOB One-Stop Service Center </w:t>
      </w:r>
      <w:proofErr w:type="gramStart"/>
      <w:r>
        <w:t>is strategically aligned with</w:t>
      </w:r>
      <w:proofErr w:type="gramEnd"/>
      <w:r>
        <w:t>:</w:t>
      </w:r>
    </w:p>
    <w:p w:rsidR="005059E9" w:rsidRDefault="005059E9" w:rsidP="005059E9">
      <w:pPr>
        <w:pStyle w:val="NormalWeb"/>
        <w:numPr>
          <w:ilvl w:val="0"/>
          <w:numId w:val="54"/>
        </w:numPr>
      </w:pPr>
      <w:r>
        <w:t>National interoperability frameworks</w:t>
      </w:r>
    </w:p>
    <w:p w:rsidR="005059E9" w:rsidRDefault="005059E9" w:rsidP="005059E9">
      <w:pPr>
        <w:pStyle w:val="NormalWeb"/>
        <w:numPr>
          <w:ilvl w:val="0"/>
          <w:numId w:val="54"/>
        </w:numPr>
      </w:pPr>
      <w:r>
        <w:t>Public sector digital reform</w:t>
      </w:r>
    </w:p>
    <w:p w:rsidR="005059E9" w:rsidRDefault="005059E9" w:rsidP="005059E9">
      <w:pPr>
        <w:pStyle w:val="NormalWeb"/>
        <w:numPr>
          <w:ilvl w:val="0"/>
          <w:numId w:val="54"/>
        </w:numPr>
      </w:pPr>
      <w:r>
        <w:t>Revenue modernization objectives</w:t>
      </w:r>
    </w:p>
    <w:p w:rsidR="005059E9" w:rsidRDefault="005059E9" w:rsidP="005059E9">
      <w:pPr>
        <w:pStyle w:val="NormalWeb"/>
        <w:numPr>
          <w:ilvl w:val="0"/>
          <w:numId w:val="54"/>
        </w:numPr>
      </w:pPr>
      <w:r>
        <w:t>Smart City ambitions</w:t>
      </w:r>
    </w:p>
    <w:p w:rsidR="005059E9" w:rsidRDefault="005059E9" w:rsidP="005059E9">
      <w:pPr>
        <w:pStyle w:val="NormalWeb"/>
      </w:pPr>
      <w:r>
        <w:t>However, success depends on:</w:t>
      </w:r>
    </w:p>
    <w:p w:rsidR="005059E9" w:rsidRDefault="005059E9" w:rsidP="005059E9">
      <w:pPr>
        <w:pStyle w:val="NormalWeb"/>
        <w:numPr>
          <w:ilvl w:val="0"/>
          <w:numId w:val="55"/>
        </w:numPr>
      </w:pPr>
      <w:r>
        <w:t>Clear legal authority</w:t>
      </w:r>
    </w:p>
    <w:p w:rsidR="005059E9" w:rsidRDefault="005059E9" w:rsidP="005059E9">
      <w:pPr>
        <w:pStyle w:val="NormalWeb"/>
        <w:numPr>
          <w:ilvl w:val="0"/>
          <w:numId w:val="55"/>
        </w:numPr>
      </w:pPr>
      <w:r>
        <w:t>Bureau compliance</w:t>
      </w:r>
    </w:p>
    <w:p w:rsidR="005059E9" w:rsidRDefault="005059E9" w:rsidP="005059E9">
      <w:pPr>
        <w:pStyle w:val="NormalWeb"/>
        <w:numPr>
          <w:ilvl w:val="0"/>
          <w:numId w:val="55"/>
        </w:numPr>
      </w:pPr>
      <w:r>
        <w:t>Architectural discipline</w:t>
      </w:r>
    </w:p>
    <w:p w:rsidR="005059E9" w:rsidRDefault="005059E9" w:rsidP="005059E9">
      <w:pPr>
        <w:pStyle w:val="NormalWeb"/>
        <w:numPr>
          <w:ilvl w:val="0"/>
          <w:numId w:val="55"/>
        </w:numPr>
      </w:pPr>
      <w:r>
        <w:t>Procurement governance</w:t>
      </w:r>
    </w:p>
    <w:p w:rsidR="005059E9" w:rsidRDefault="005059E9" w:rsidP="005059E9">
      <w:pPr>
        <w:pStyle w:val="NormalWeb"/>
        <w:numPr>
          <w:ilvl w:val="0"/>
          <w:numId w:val="55"/>
        </w:numPr>
      </w:pPr>
      <w:r>
        <w:t>Vendor accountability</w:t>
      </w:r>
    </w:p>
    <w:p w:rsidR="005059E9" w:rsidRDefault="005059E9" w:rsidP="005059E9">
      <w:pPr>
        <w:pStyle w:val="NormalWeb"/>
      </w:pPr>
      <w:r>
        <w:t>With proper institutional backing, MESOB will serve as:</w:t>
      </w:r>
    </w:p>
    <w:p w:rsidR="005059E9" w:rsidRDefault="005059E9" w:rsidP="005059E9">
      <w:pPr>
        <w:pStyle w:val="NormalWeb"/>
      </w:pPr>
      <w:r>
        <w:t xml:space="preserve">A permanent transformation instrument for </w:t>
      </w:r>
      <w:proofErr w:type="spellStart"/>
      <w:r>
        <w:t>Hawassa</w:t>
      </w:r>
      <w:proofErr w:type="spellEnd"/>
      <w:r>
        <w:t xml:space="preserve"> City Administration.</w:t>
      </w:r>
    </w:p>
    <w:p w:rsidR="005059E9" w:rsidRDefault="005059E9" w:rsidP="005059E9">
      <w:r>
        <w:lastRenderedPageBreak/>
        <w:pict>
          <v:rect id="_x0000_i1375" style="width:0;height:1.5pt" o:hralign="center" o:hrstd="t" o:hr="t" fillcolor="#a0a0a0" stroked="f"/>
        </w:pict>
      </w:r>
    </w:p>
    <w:p w:rsidR="005059E9" w:rsidRDefault="005059E9" w:rsidP="005059E9">
      <w:pPr>
        <w:pStyle w:val="Heading1"/>
      </w:pPr>
      <w:r>
        <w:t>END OF DOCUMENT 1</w:t>
      </w:r>
    </w:p>
    <w:p w:rsidR="005059E9" w:rsidRDefault="005059E9" w:rsidP="005059E9">
      <w:pPr>
        <w:pStyle w:val="NormalWeb"/>
      </w:pPr>
      <w:r>
        <w:t>This completes:</w:t>
      </w:r>
    </w:p>
    <w:p w:rsidR="005059E9" w:rsidRDefault="005059E9" w:rsidP="005059E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Strategic Alignment Framework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National Mandate Context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Institutional Positioning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Risk &amp; Governance Foundation</w:t>
      </w:r>
    </w:p>
    <w:p w:rsidR="005059E9" w:rsidRDefault="005059E9" w:rsidP="005059E9">
      <w:r>
        <w:pict>
          <v:rect id="_x0000_i1376" style="width:0;height:1.5pt" o:hralign="center" o:hrstd="t" o:hr="t" fillcolor="#a0a0a0" stroked="f"/>
        </w:pict>
      </w:r>
    </w:p>
    <w:p w:rsidR="005059E9" w:rsidRDefault="005059E9" w:rsidP="005059E9">
      <w:pPr>
        <w:pStyle w:val="NormalWeb"/>
      </w:pPr>
      <w:r>
        <w:t xml:space="preserve">Reply </w:t>
      </w:r>
      <w:proofErr w:type="gramStart"/>
      <w:r>
        <w:t>with</w:t>
      </w:r>
      <w:proofErr w:type="gramEnd"/>
      <w:r>
        <w:t>:</w:t>
      </w:r>
    </w:p>
    <w:p w:rsidR="005059E9" w:rsidRDefault="005059E9" w:rsidP="005059E9">
      <w:pPr>
        <w:pStyle w:val="NormalWeb"/>
      </w:pPr>
      <w:r>
        <w:rPr>
          <w:rStyle w:val="Strong"/>
        </w:rPr>
        <w:t>“Proceed with Document 2, Part 1.”</w:t>
      </w:r>
    </w:p>
    <w:p w:rsidR="005059E9" w:rsidRDefault="005059E9" w:rsidP="005059E9">
      <w:pPr>
        <w:pStyle w:val="NormalWeb"/>
      </w:pPr>
      <w:r>
        <w:t>We will now begin the most operationally intensive document:</w:t>
      </w:r>
    </w:p>
    <w:p w:rsidR="005059E9" w:rsidRDefault="005059E9" w:rsidP="005059E9">
      <w:pPr>
        <w:pStyle w:val="NormalWeb"/>
      </w:pPr>
      <w:r>
        <w:t xml:space="preserve">Phase </w:t>
      </w:r>
      <w:proofErr w:type="gramStart"/>
      <w:r>
        <w:t>1</w:t>
      </w:r>
      <w:proofErr w:type="gramEnd"/>
      <w:r>
        <w:t xml:space="preserve"> Priority Services Operational Blueprint.</w:t>
      </w:r>
    </w:p>
    <w:p w:rsidR="00702C20" w:rsidRPr="00702C20" w:rsidRDefault="00702C20" w:rsidP="0070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5745"/>
    <w:multiLevelType w:val="multilevel"/>
    <w:tmpl w:val="705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3221"/>
    <w:multiLevelType w:val="multilevel"/>
    <w:tmpl w:val="B2D0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1A3E"/>
    <w:multiLevelType w:val="multilevel"/>
    <w:tmpl w:val="FDA4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2730D"/>
    <w:multiLevelType w:val="multilevel"/>
    <w:tmpl w:val="3870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D5A59"/>
    <w:multiLevelType w:val="multilevel"/>
    <w:tmpl w:val="A40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F0AC1"/>
    <w:multiLevelType w:val="multilevel"/>
    <w:tmpl w:val="5C5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A0351"/>
    <w:multiLevelType w:val="multilevel"/>
    <w:tmpl w:val="F7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B0571"/>
    <w:multiLevelType w:val="multilevel"/>
    <w:tmpl w:val="D6F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006AA"/>
    <w:multiLevelType w:val="multilevel"/>
    <w:tmpl w:val="CDE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51919"/>
    <w:multiLevelType w:val="multilevel"/>
    <w:tmpl w:val="3872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86C46"/>
    <w:multiLevelType w:val="multilevel"/>
    <w:tmpl w:val="FE80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D68E2"/>
    <w:multiLevelType w:val="multilevel"/>
    <w:tmpl w:val="C33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A57F4"/>
    <w:multiLevelType w:val="multilevel"/>
    <w:tmpl w:val="C7D0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FD7AD9"/>
    <w:multiLevelType w:val="multilevel"/>
    <w:tmpl w:val="4E0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269A6"/>
    <w:multiLevelType w:val="multilevel"/>
    <w:tmpl w:val="A156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A4DEA"/>
    <w:multiLevelType w:val="multilevel"/>
    <w:tmpl w:val="B12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D31B7"/>
    <w:multiLevelType w:val="multilevel"/>
    <w:tmpl w:val="F87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539F1"/>
    <w:multiLevelType w:val="multilevel"/>
    <w:tmpl w:val="18E2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3001E"/>
    <w:multiLevelType w:val="multilevel"/>
    <w:tmpl w:val="4654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42BFF"/>
    <w:multiLevelType w:val="multilevel"/>
    <w:tmpl w:val="396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43539"/>
    <w:multiLevelType w:val="multilevel"/>
    <w:tmpl w:val="3176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B7E48"/>
    <w:multiLevelType w:val="multilevel"/>
    <w:tmpl w:val="B74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74740"/>
    <w:multiLevelType w:val="multilevel"/>
    <w:tmpl w:val="681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F7E58"/>
    <w:multiLevelType w:val="multilevel"/>
    <w:tmpl w:val="AEA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50A4F"/>
    <w:multiLevelType w:val="multilevel"/>
    <w:tmpl w:val="3D84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D66690"/>
    <w:multiLevelType w:val="multilevel"/>
    <w:tmpl w:val="FC1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A140E"/>
    <w:multiLevelType w:val="multilevel"/>
    <w:tmpl w:val="3B24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BA6922"/>
    <w:multiLevelType w:val="multilevel"/>
    <w:tmpl w:val="1A7C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BC72DA"/>
    <w:multiLevelType w:val="multilevel"/>
    <w:tmpl w:val="B94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C3E45"/>
    <w:multiLevelType w:val="multilevel"/>
    <w:tmpl w:val="237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358B4"/>
    <w:multiLevelType w:val="multilevel"/>
    <w:tmpl w:val="5A5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B4607"/>
    <w:multiLevelType w:val="multilevel"/>
    <w:tmpl w:val="574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53CDB"/>
    <w:multiLevelType w:val="multilevel"/>
    <w:tmpl w:val="DF0A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CA388D"/>
    <w:multiLevelType w:val="multilevel"/>
    <w:tmpl w:val="64F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D76CE"/>
    <w:multiLevelType w:val="multilevel"/>
    <w:tmpl w:val="3FC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E1756"/>
    <w:multiLevelType w:val="multilevel"/>
    <w:tmpl w:val="E4D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76ADA"/>
    <w:multiLevelType w:val="multilevel"/>
    <w:tmpl w:val="0CE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D722B"/>
    <w:multiLevelType w:val="multilevel"/>
    <w:tmpl w:val="4ED2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F3576"/>
    <w:multiLevelType w:val="multilevel"/>
    <w:tmpl w:val="7B84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72374"/>
    <w:multiLevelType w:val="multilevel"/>
    <w:tmpl w:val="8778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21725A"/>
    <w:multiLevelType w:val="multilevel"/>
    <w:tmpl w:val="8996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E728C"/>
    <w:multiLevelType w:val="multilevel"/>
    <w:tmpl w:val="474E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265704"/>
    <w:multiLevelType w:val="multilevel"/>
    <w:tmpl w:val="02A6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D9722B"/>
    <w:multiLevelType w:val="multilevel"/>
    <w:tmpl w:val="55DC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DD2898"/>
    <w:multiLevelType w:val="multilevel"/>
    <w:tmpl w:val="FA2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A6CBA"/>
    <w:multiLevelType w:val="multilevel"/>
    <w:tmpl w:val="D494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433C6E"/>
    <w:multiLevelType w:val="multilevel"/>
    <w:tmpl w:val="F33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015476"/>
    <w:multiLevelType w:val="multilevel"/>
    <w:tmpl w:val="D4F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252583"/>
    <w:multiLevelType w:val="multilevel"/>
    <w:tmpl w:val="8D9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5E5C63"/>
    <w:multiLevelType w:val="multilevel"/>
    <w:tmpl w:val="0E1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BD5A59"/>
    <w:multiLevelType w:val="multilevel"/>
    <w:tmpl w:val="819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FB77EA"/>
    <w:multiLevelType w:val="multilevel"/>
    <w:tmpl w:val="27D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D87599"/>
    <w:multiLevelType w:val="multilevel"/>
    <w:tmpl w:val="78B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721F7E"/>
    <w:multiLevelType w:val="multilevel"/>
    <w:tmpl w:val="B28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F75370"/>
    <w:multiLevelType w:val="multilevel"/>
    <w:tmpl w:val="8C4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27"/>
  </w:num>
  <w:num w:numId="4">
    <w:abstractNumId w:val="47"/>
  </w:num>
  <w:num w:numId="5">
    <w:abstractNumId w:val="5"/>
  </w:num>
  <w:num w:numId="6">
    <w:abstractNumId w:val="6"/>
  </w:num>
  <w:num w:numId="7">
    <w:abstractNumId w:val="41"/>
  </w:num>
  <w:num w:numId="8">
    <w:abstractNumId w:val="35"/>
  </w:num>
  <w:num w:numId="9">
    <w:abstractNumId w:val="26"/>
  </w:num>
  <w:num w:numId="10">
    <w:abstractNumId w:val="22"/>
  </w:num>
  <w:num w:numId="11">
    <w:abstractNumId w:val="38"/>
  </w:num>
  <w:num w:numId="12">
    <w:abstractNumId w:val="46"/>
  </w:num>
  <w:num w:numId="13">
    <w:abstractNumId w:val="3"/>
  </w:num>
  <w:num w:numId="14">
    <w:abstractNumId w:val="0"/>
  </w:num>
  <w:num w:numId="15">
    <w:abstractNumId w:val="51"/>
  </w:num>
  <w:num w:numId="16">
    <w:abstractNumId w:val="34"/>
  </w:num>
  <w:num w:numId="17">
    <w:abstractNumId w:val="48"/>
  </w:num>
  <w:num w:numId="18">
    <w:abstractNumId w:val="29"/>
  </w:num>
  <w:num w:numId="19">
    <w:abstractNumId w:val="36"/>
  </w:num>
  <w:num w:numId="20">
    <w:abstractNumId w:val="18"/>
  </w:num>
  <w:num w:numId="21">
    <w:abstractNumId w:val="9"/>
  </w:num>
  <w:num w:numId="22">
    <w:abstractNumId w:val="11"/>
  </w:num>
  <w:num w:numId="23">
    <w:abstractNumId w:val="44"/>
  </w:num>
  <w:num w:numId="24">
    <w:abstractNumId w:val="7"/>
  </w:num>
  <w:num w:numId="25">
    <w:abstractNumId w:val="19"/>
  </w:num>
  <w:num w:numId="26">
    <w:abstractNumId w:val="49"/>
  </w:num>
  <w:num w:numId="27">
    <w:abstractNumId w:val="32"/>
  </w:num>
  <w:num w:numId="28">
    <w:abstractNumId w:val="4"/>
  </w:num>
  <w:num w:numId="29">
    <w:abstractNumId w:val="30"/>
  </w:num>
  <w:num w:numId="30">
    <w:abstractNumId w:val="40"/>
  </w:num>
  <w:num w:numId="31">
    <w:abstractNumId w:val="13"/>
  </w:num>
  <w:num w:numId="32">
    <w:abstractNumId w:val="1"/>
  </w:num>
  <w:num w:numId="33">
    <w:abstractNumId w:val="54"/>
  </w:num>
  <w:num w:numId="34">
    <w:abstractNumId w:val="33"/>
  </w:num>
  <w:num w:numId="35">
    <w:abstractNumId w:val="20"/>
  </w:num>
  <w:num w:numId="36">
    <w:abstractNumId w:val="23"/>
  </w:num>
  <w:num w:numId="37">
    <w:abstractNumId w:val="45"/>
  </w:num>
  <w:num w:numId="38">
    <w:abstractNumId w:val="10"/>
  </w:num>
  <w:num w:numId="39">
    <w:abstractNumId w:val="31"/>
  </w:num>
  <w:num w:numId="40">
    <w:abstractNumId w:val="25"/>
  </w:num>
  <w:num w:numId="41">
    <w:abstractNumId w:val="50"/>
  </w:num>
  <w:num w:numId="42">
    <w:abstractNumId w:val="53"/>
  </w:num>
  <w:num w:numId="43">
    <w:abstractNumId w:val="37"/>
  </w:num>
  <w:num w:numId="44">
    <w:abstractNumId w:val="14"/>
  </w:num>
  <w:num w:numId="45">
    <w:abstractNumId w:val="52"/>
  </w:num>
  <w:num w:numId="46">
    <w:abstractNumId w:val="21"/>
  </w:num>
  <w:num w:numId="47">
    <w:abstractNumId w:val="43"/>
  </w:num>
  <w:num w:numId="48">
    <w:abstractNumId w:val="28"/>
  </w:num>
  <w:num w:numId="49">
    <w:abstractNumId w:val="15"/>
  </w:num>
  <w:num w:numId="50">
    <w:abstractNumId w:val="42"/>
  </w:num>
  <w:num w:numId="51">
    <w:abstractNumId w:val="17"/>
  </w:num>
  <w:num w:numId="52">
    <w:abstractNumId w:val="24"/>
  </w:num>
  <w:num w:numId="53">
    <w:abstractNumId w:val="12"/>
  </w:num>
  <w:num w:numId="54">
    <w:abstractNumId w:val="39"/>
  </w:num>
  <w:num w:numId="55">
    <w:abstractNumId w:val="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0CB"/>
    <w:rsid w:val="001E6C28"/>
    <w:rsid w:val="002040CB"/>
    <w:rsid w:val="00373BF6"/>
    <w:rsid w:val="0038768C"/>
    <w:rsid w:val="00463297"/>
    <w:rsid w:val="004917BA"/>
    <w:rsid w:val="004B4AF2"/>
    <w:rsid w:val="005059E9"/>
    <w:rsid w:val="00702C20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17F63-34C1-4A98-8455-D7A6193D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2C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02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02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02C2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2C2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2C2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2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2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2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2067</Words>
  <Characters>11782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3</cp:revision>
  <dcterms:created xsi:type="dcterms:W3CDTF">2026-02-24T18:55:00Z</dcterms:created>
  <dcterms:modified xsi:type="dcterms:W3CDTF">2026-02-24T19:09:00Z</dcterms:modified>
</cp:coreProperties>
</file>