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Understood.</w:t>
      </w:r>
      <w:r w:rsidRPr="00A1570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 will </w:t>
      </w:r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 Document–7</w:t>
      </w: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generate DOCUMENT–5 first</w:t>
      </w: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, then return to Document–7 only after Document–5 is completed and locked.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Below is </w:t>
      </w:r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DOCUMENT–5 produced in full</w:t>
      </w: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, written to be </w:t>
      </w:r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 with Documents 1–4</w:t>
      </w: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, aligned with mayoral expectations, and structured for </w:t>
      </w:r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formal submission </w:t>
      </w:r>
      <w:proofErr w:type="gramStart"/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readiness</w:t>
      </w: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End"/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DOCUMENT–5</w: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Performance, Sustainability &amp; Institutionalization Framework</w: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A15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A15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City MESOB One-Stop Service Center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 Full Draft – Implementation-Ready</w:t>
      </w:r>
      <w:r w:rsidRPr="00A1570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Audience:</w:t>
      </w: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 Mayor’s Office, City Cabinet, MESOB Steering Committee, </w:t>
      </w:r>
      <w:proofErr w:type="gramStart"/>
      <w:r w:rsidRPr="00A15709">
        <w:rPr>
          <w:rFonts w:ascii="Times New Roman" w:eastAsia="Times New Roman" w:hAnsi="Times New Roman" w:cs="Times New Roman"/>
          <w:kern w:val="0"/>
          <w14:ligatures w14:val="none"/>
        </w:rPr>
        <w:t>Bureau Heads</w:t>
      </w:r>
      <w:r w:rsidRPr="00A1570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proofErr w:type="gramEnd"/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 Ensure MESOB is not a one-time project but a permanent, high-performing city institution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I</w: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Sustainability &amp; Performance Governance Is Non-Negotiable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MESOB success </w:t>
      </w:r>
      <w:proofErr w:type="gramStart"/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defined</w:t>
      </w:r>
      <w:proofErr w:type="gramEnd"/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by launch</w:t>
      </w: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proofErr w:type="gramStart"/>
      <w:r w:rsidRPr="00A15709">
        <w:rPr>
          <w:rFonts w:ascii="Times New Roman" w:eastAsia="Times New Roman" w:hAnsi="Times New Roman" w:cs="Times New Roman"/>
          <w:kern w:val="0"/>
          <w14:ligatures w14:val="none"/>
        </w:rPr>
        <w:t>is defined</w:t>
      </w:r>
      <w:proofErr w:type="gramEnd"/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 by:</w:t>
      </w:r>
    </w:p>
    <w:p w:rsidR="00A15709" w:rsidRPr="00A15709" w:rsidRDefault="00A15709" w:rsidP="00A15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Whether services continue without collapse</w:t>
      </w:r>
    </w:p>
    <w:p w:rsidR="00A15709" w:rsidRPr="00A15709" w:rsidRDefault="00A15709" w:rsidP="00A15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Whether bureaus remain compliant after political attention shifts</w:t>
      </w:r>
    </w:p>
    <w:p w:rsidR="00A15709" w:rsidRPr="00A15709" w:rsidRDefault="00A15709" w:rsidP="00A15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Whether performance improves year-to-year</w:t>
      </w:r>
    </w:p>
    <w:p w:rsidR="00A15709" w:rsidRPr="00A15709" w:rsidRDefault="00A15709" w:rsidP="00A15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Whether the system survives leadership transitions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Therefore, MESOB </w:t>
      </w:r>
      <w:proofErr w:type="gramStart"/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must be </w:t>
      </w:r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institutionalized</w:t>
      </w:r>
      <w:proofErr w:type="gramEnd"/>
      <w:r w:rsidRPr="00A15709">
        <w:rPr>
          <w:rFonts w:ascii="Times New Roman" w:eastAsia="Times New Roman" w:hAnsi="Times New Roman" w:cs="Times New Roman"/>
          <w:kern w:val="0"/>
          <w14:ligatures w14:val="none"/>
        </w:rPr>
        <w:t>, not merely implemented.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establishes the </w:t>
      </w:r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rules, mechanisms, metrics, and enforcement tools</w:t>
      </w: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 that make MESOB irreversible.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SECTION II</w: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Sustainability Model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MESOB sustainability rests on </w:t>
      </w:r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interlocking pillars</w:t>
      </w: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15709" w:rsidRPr="00A15709" w:rsidRDefault="00A15709" w:rsidP="00A15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Legal &amp; policy anchoring</w:t>
      </w:r>
    </w:p>
    <w:p w:rsidR="00A15709" w:rsidRPr="00A15709" w:rsidRDefault="00A15709" w:rsidP="00A15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Organizational permanence</w:t>
      </w:r>
    </w:p>
    <w:p w:rsidR="00A15709" w:rsidRPr="00A15709" w:rsidRDefault="00A15709" w:rsidP="00A15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Financial self-sufficiency</w:t>
      </w:r>
    </w:p>
    <w:p w:rsidR="00A15709" w:rsidRPr="00A15709" w:rsidRDefault="00A15709" w:rsidP="00A15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Human capital continuity</w:t>
      </w:r>
    </w:p>
    <w:p w:rsidR="00A15709" w:rsidRPr="00A15709" w:rsidRDefault="00A15709" w:rsidP="00A15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Performance enforcement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Failure in any pillar weakens the entire system.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III</w: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Legal &amp; Policy Anchoring</w: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Formal Legal Recognition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MESOB </w:t>
      </w:r>
      <w:proofErr w:type="gramStart"/>
      <w:r w:rsidRPr="00A15709">
        <w:rPr>
          <w:rFonts w:ascii="Times New Roman" w:eastAsia="Times New Roman" w:hAnsi="Times New Roman" w:cs="Times New Roman"/>
          <w:kern w:val="0"/>
          <w14:ligatures w14:val="none"/>
        </w:rPr>
        <w:t>must be anchored</w:t>
      </w:r>
      <w:proofErr w:type="gramEnd"/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 through:</w:t>
      </w:r>
    </w:p>
    <w:p w:rsidR="00A15709" w:rsidRPr="00A15709" w:rsidRDefault="00A15709" w:rsidP="00A15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Mayor’s Executive Directive</w:t>
      </w:r>
    </w:p>
    <w:p w:rsidR="00A15709" w:rsidRPr="00A15709" w:rsidRDefault="00A15709" w:rsidP="00A15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City Council endorsement (where applicable)</w:t>
      </w:r>
    </w:p>
    <w:p w:rsidR="00A15709" w:rsidRPr="00A15709" w:rsidRDefault="00A15709" w:rsidP="00A15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Integration into city administrative procedures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This ensures MESOB decisions are </w:t>
      </w:r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binding</w:t>
      </w: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, not advisory.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Mandatory Bureau Participation Clause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Each participating bureau </w:t>
      </w:r>
      <w:proofErr w:type="gramStart"/>
      <w:r w:rsidRPr="00A15709">
        <w:rPr>
          <w:rFonts w:ascii="Times New Roman" w:eastAsia="Times New Roman" w:hAnsi="Times New Roman" w:cs="Times New Roman"/>
          <w:kern w:val="0"/>
          <w14:ligatures w14:val="none"/>
        </w:rPr>
        <w:t>must be bound</w:t>
      </w:r>
      <w:proofErr w:type="gramEnd"/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 by:</w:t>
      </w:r>
    </w:p>
    <w:p w:rsidR="00A15709" w:rsidRPr="00A15709" w:rsidRDefault="00A15709" w:rsidP="00A15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Defined service-level obligations</w:t>
      </w:r>
    </w:p>
    <w:p w:rsidR="00A15709" w:rsidRPr="00A15709" w:rsidRDefault="00A15709" w:rsidP="00A15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Data sharing commitments</w:t>
      </w:r>
    </w:p>
    <w:p w:rsidR="00A15709" w:rsidRPr="00A15709" w:rsidRDefault="00A15709" w:rsidP="00A15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Integration timelines</w:t>
      </w:r>
    </w:p>
    <w:p w:rsidR="00A15709" w:rsidRPr="00A15709" w:rsidRDefault="00A15709" w:rsidP="00A15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Escalation consequences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Non-participation must have </w:t>
      </w:r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formal consequences</w:t>
      </w: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A15709">
        <w:rPr>
          <w:rFonts w:ascii="Times New Roman" w:eastAsia="Times New Roman" w:hAnsi="Times New Roman" w:cs="Times New Roman"/>
          <w:kern w:val="0"/>
          <w14:ligatures w14:val="none"/>
        </w:rPr>
        <w:t>not informal</w:t>
      </w:r>
      <w:proofErr w:type="gramEnd"/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 persuasion.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SECTION IV</w: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Organizational Sustainability &amp; Role Permanence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MESOB Organizational Positioning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MESOB must function as:</w:t>
      </w:r>
    </w:p>
    <w:p w:rsidR="00A15709" w:rsidRPr="00A15709" w:rsidRDefault="00A15709" w:rsidP="00A15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A cross-bureau execution unit</w:t>
      </w:r>
    </w:p>
    <w:p w:rsidR="00A15709" w:rsidRPr="00A15709" w:rsidRDefault="00A15709" w:rsidP="00A15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A service orchestration authority</w:t>
      </w:r>
    </w:p>
    <w:p w:rsidR="00A15709" w:rsidRPr="00A15709" w:rsidRDefault="00A15709" w:rsidP="00A15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A performance monitoring entity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 secretariat</w:t>
      </w: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, not a project office, and not a temporary taskforce.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Key Permanent Roles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Minimum permanent structure includes:</w:t>
      </w:r>
    </w:p>
    <w:p w:rsidR="00A15709" w:rsidRPr="00A15709" w:rsidRDefault="00A15709" w:rsidP="00A157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MESOB Director</w:t>
      </w:r>
    </w:p>
    <w:p w:rsidR="00A15709" w:rsidRPr="00A15709" w:rsidRDefault="00A15709" w:rsidP="00A157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Operations Manager</w:t>
      </w:r>
    </w:p>
    <w:p w:rsidR="00A15709" w:rsidRPr="00A15709" w:rsidRDefault="00A15709" w:rsidP="00A157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Technology &amp; Integration Lead</w:t>
      </w:r>
    </w:p>
    <w:p w:rsidR="00A15709" w:rsidRPr="00A15709" w:rsidRDefault="00A15709" w:rsidP="00A157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Service Quality &amp; Compliance Lead</w:t>
      </w:r>
    </w:p>
    <w:p w:rsidR="00A15709" w:rsidRPr="00A15709" w:rsidRDefault="00A15709" w:rsidP="00A157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Data &amp; Reporting Officer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Temporary or rotating roles undermine continuity.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Bureau Focal Person Continuity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Each bureau must assign:</w:t>
      </w:r>
    </w:p>
    <w:p w:rsidR="00A15709" w:rsidRPr="00A15709" w:rsidRDefault="00A15709" w:rsidP="00A157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Named MESOB focal person</w:t>
      </w:r>
    </w:p>
    <w:p w:rsidR="00A15709" w:rsidRPr="00A15709" w:rsidRDefault="00A15709" w:rsidP="00A157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Deputy backup</w:t>
      </w:r>
    </w:p>
    <w:p w:rsidR="00A15709" w:rsidRPr="00A15709" w:rsidRDefault="00A15709" w:rsidP="00A157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Minimum tenure (e.g., 12 months)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Frequent reassignment is a major failure risk.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SECTION V</w: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Financial Sustainability Framework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Operating Cost Categories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MESOB recurring costs include:</w:t>
      </w:r>
    </w:p>
    <w:p w:rsidR="00A15709" w:rsidRPr="00A15709" w:rsidRDefault="00A15709" w:rsidP="00A157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Connectivity &amp; hosting</w:t>
      </w:r>
    </w:p>
    <w:p w:rsidR="00A15709" w:rsidRPr="00A15709" w:rsidRDefault="00A15709" w:rsidP="00A157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Power &amp; utilities</w:t>
      </w:r>
    </w:p>
    <w:p w:rsidR="00A15709" w:rsidRPr="00A15709" w:rsidRDefault="00A15709" w:rsidP="00A157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Equipment maintenance</w:t>
      </w:r>
    </w:p>
    <w:p w:rsidR="00A15709" w:rsidRPr="00A15709" w:rsidRDefault="00A15709" w:rsidP="00A157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Software licensing</w:t>
      </w:r>
    </w:p>
    <w:p w:rsidR="00A15709" w:rsidRPr="00A15709" w:rsidRDefault="00A15709" w:rsidP="00A157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Staff compensation</w:t>
      </w:r>
    </w:p>
    <w:p w:rsidR="00A15709" w:rsidRPr="00A15709" w:rsidRDefault="00A15709" w:rsidP="00A157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Training &amp; upgrades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These </w:t>
      </w:r>
      <w:proofErr w:type="gramStart"/>
      <w:r w:rsidRPr="00A15709">
        <w:rPr>
          <w:rFonts w:ascii="Times New Roman" w:eastAsia="Times New Roman" w:hAnsi="Times New Roman" w:cs="Times New Roman"/>
          <w:kern w:val="0"/>
          <w14:ligatures w14:val="none"/>
        </w:rPr>
        <w:t>must be forecast</w:t>
      </w:r>
      <w:proofErr w:type="gramEnd"/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years minimum</w:t>
      </w: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Funding Sources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Sustainability requires </w:t>
      </w:r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mixed funding</w:t>
      </w: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, such as:</w:t>
      </w:r>
    </w:p>
    <w:p w:rsidR="00A15709" w:rsidRPr="00A15709" w:rsidRDefault="00A15709" w:rsidP="00A157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City budget allocation</w:t>
      </w:r>
    </w:p>
    <w:p w:rsidR="00A15709" w:rsidRPr="00A15709" w:rsidRDefault="00A15709" w:rsidP="00A157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Service convenience fees (policy-approved)</w:t>
      </w:r>
    </w:p>
    <w:p w:rsidR="00A15709" w:rsidRPr="00A15709" w:rsidRDefault="00A15709" w:rsidP="00A157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National digital transformation support</w:t>
      </w:r>
    </w:p>
    <w:p w:rsidR="00A15709" w:rsidRPr="00A15709" w:rsidRDefault="00A15709" w:rsidP="00A157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Donor/partner projects (where applicable)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MESOB must not depend on a </w:t>
      </w:r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funding stream</w:t>
      </w: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Financial Ring-Fencing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MESOB operational funds should be:</w:t>
      </w:r>
    </w:p>
    <w:p w:rsidR="00A15709" w:rsidRPr="00A15709" w:rsidRDefault="00A15709" w:rsidP="00A157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Ring-fenced</w:t>
      </w:r>
    </w:p>
    <w:p w:rsidR="00A15709" w:rsidRPr="00A15709" w:rsidRDefault="00A15709" w:rsidP="00A157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Non-divertible</w:t>
      </w:r>
    </w:p>
    <w:p w:rsidR="00A15709" w:rsidRPr="00A15709" w:rsidRDefault="00A15709" w:rsidP="00A157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Protected during fiscal re-prioritization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This prevents silent degradation.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SECTION VI</w: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Human Capital &amp; Capacity Sustainability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Continuous Training Model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Training is not a one-time event.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It must include:</w:t>
      </w:r>
    </w:p>
    <w:p w:rsidR="00A15709" w:rsidRPr="00A15709" w:rsidRDefault="00A15709" w:rsidP="00A157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Onboarding training</w:t>
      </w:r>
    </w:p>
    <w:p w:rsidR="00A15709" w:rsidRPr="00A15709" w:rsidRDefault="00A15709" w:rsidP="00A157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Annual refresher sessions</w:t>
      </w:r>
    </w:p>
    <w:p w:rsidR="00A15709" w:rsidRPr="00A15709" w:rsidRDefault="00A15709" w:rsidP="00A157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System upgrade training</w:t>
      </w:r>
    </w:p>
    <w:p w:rsidR="00A15709" w:rsidRPr="00A15709" w:rsidRDefault="00A15709" w:rsidP="00A157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Customer service &amp; ethics training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Training budgets </w:t>
      </w:r>
      <w:proofErr w:type="gramStart"/>
      <w:r w:rsidRPr="00A15709">
        <w:rPr>
          <w:rFonts w:ascii="Times New Roman" w:eastAsia="Times New Roman" w:hAnsi="Times New Roman" w:cs="Times New Roman"/>
          <w:kern w:val="0"/>
          <w14:ligatures w14:val="none"/>
        </w:rPr>
        <w:t>must be protected</w:t>
      </w:r>
      <w:proofErr w:type="gramEnd"/>
      <w:r w:rsidRPr="00A157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Knowledge Retention Strategy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To prevent institutional memory loss:</w:t>
      </w:r>
    </w:p>
    <w:p w:rsidR="00A15709" w:rsidRPr="00A15709" w:rsidRDefault="00A15709" w:rsidP="00A157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SOP documentation</w:t>
      </w:r>
    </w:p>
    <w:p w:rsidR="00A15709" w:rsidRPr="00A15709" w:rsidRDefault="00A15709" w:rsidP="00A157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Recorded training materials</w:t>
      </w:r>
    </w:p>
    <w:p w:rsidR="00A15709" w:rsidRPr="00A15709" w:rsidRDefault="00A15709" w:rsidP="00A157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Standard service manuals</w:t>
      </w:r>
    </w:p>
    <w:p w:rsidR="00A15709" w:rsidRPr="00A15709" w:rsidRDefault="00A15709" w:rsidP="00A157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Centralized digital knowledge base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MESOB must not depend on individuals’ memory.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Performance-Linked Motivation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Motivation mechanisms may include:</w:t>
      </w:r>
    </w:p>
    <w:p w:rsidR="00A15709" w:rsidRPr="00A15709" w:rsidRDefault="00A15709" w:rsidP="00A157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Recognition awards</w:t>
      </w:r>
    </w:p>
    <w:p w:rsidR="00A15709" w:rsidRPr="00A15709" w:rsidRDefault="00A15709" w:rsidP="00A157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Performance-based incentives (policy-compliant)</w:t>
      </w:r>
    </w:p>
    <w:p w:rsidR="00A15709" w:rsidRPr="00A15709" w:rsidRDefault="00A15709" w:rsidP="00A157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Public service excellence acknowledgment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Demotivation leads to service erosion.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SECTION VII</w: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Performance Management Framework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Core Performance Dimensions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MESOB performance </w:t>
      </w:r>
      <w:proofErr w:type="gramStart"/>
      <w:r w:rsidRPr="00A15709">
        <w:rPr>
          <w:rFonts w:ascii="Times New Roman" w:eastAsia="Times New Roman" w:hAnsi="Times New Roman" w:cs="Times New Roman"/>
          <w:kern w:val="0"/>
          <w14:ligatures w14:val="none"/>
        </w:rPr>
        <w:t>must be measured</w:t>
      </w:r>
      <w:proofErr w:type="gramEnd"/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 across:</w:t>
      </w:r>
    </w:p>
    <w:p w:rsidR="00A15709" w:rsidRPr="00A15709" w:rsidRDefault="00A15709" w:rsidP="00A157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Service efficiency</w:t>
      </w:r>
    </w:p>
    <w:p w:rsidR="00A15709" w:rsidRPr="00A15709" w:rsidRDefault="00A15709" w:rsidP="00A157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Citizen satisfaction</w:t>
      </w:r>
    </w:p>
    <w:p w:rsidR="00A15709" w:rsidRPr="00A15709" w:rsidRDefault="00A15709" w:rsidP="00A157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Bureau compliance</w:t>
      </w:r>
    </w:p>
    <w:p w:rsidR="00A15709" w:rsidRPr="00A15709" w:rsidRDefault="00A15709" w:rsidP="00A157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System reliability</w:t>
      </w:r>
    </w:p>
    <w:p w:rsidR="00A15709" w:rsidRPr="00A15709" w:rsidRDefault="00A15709" w:rsidP="00A157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Financial discipline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No single metric is sufficient.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Key Performance Indicators (KPIs)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Illustrative KPIs include:</w:t>
      </w:r>
    </w:p>
    <w:p w:rsidR="00A15709" w:rsidRPr="00A15709" w:rsidRDefault="00A15709" w:rsidP="00A157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Average service processing time</w:t>
      </w:r>
    </w:p>
    <w:p w:rsidR="00A15709" w:rsidRPr="00A15709" w:rsidRDefault="00A15709" w:rsidP="00A157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Queue waiting time</w:t>
      </w:r>
    </w:p>
    <w:p w:rsidR="00A15709" w:rsidRPr="00A15709" w:rsidRDefault="00A15709" w:rsidP="00A157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First-visit resolution rate</w:t>
      </w:r>
    </w:p>
    <w:p w:rsidR="00A15709" w:rsidRPr="00A15709" w:rsidRDefault="00A15709" w:rsidP="00A157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Complaint volume &amp; resolution time</w:t>
      </w:r>
    </w:p>
    <w:p w:rsidR="00A15709" w:rsidRPr="00A15709" w:rsidRDefault="00A15709" w:rsidP="00A157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Bureau SLA compliance rate</w:t>
      </w:r>
    </w:p>
    <w:p w:rsidR="00A15709" w:rsidRPr="00A15709" w:rsidRDefault="00A15709" w:rsidP="00A157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System uptime percentage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KPIs </w:t>
      </w:r>
      <w:proofErr w:type="gramStart"/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must be </w:t>
      </w:r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published internally</w:t>
      </w: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 and reviewed monthly</w:t>
      </w:r>
      <w:proofErr w:type="gramEnd"/>
      <w:r w:rsidRPr="00A157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Bureau Performance Comparison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MESOB should generate:</w:t>
      </w:r>
    </w:p>
    <w:p w:rsidR="00A15709" w:rsidRPr="00A15709" w:rsidRDefault="00A15709" w:rsidP="00A157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Monthly bureau scorecards</w:t>
      </w:r>
    </w:p>
    <w:p w:rsidR="00A15709" w:rsidRPr="00A15709" w:rsidRDefault="00A15709" w:rsidP="00A157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Trend analysis</w:t>
      </w:r>
    </w:p>
    <w:p w:rsidR="00A15709" w:rsidRPr="00A15709" w:rsidRDefault="00A15709" w:rsidP="00A157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Improvement recommendations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Peer comparison drives compliance more effectively than directives.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46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VIII</w: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Enforcement &amp; Corrective Mechanisms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Escalation Protocol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When performance issues arise:</w:t>
      </w:r>
    </w:p>
    <w:p w:rsidR="00A15709" w:rsidRPr="00A15709" w:rsidRDefault="00A15709" w:rsidP="00A157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Technical or operational correction</w:t>
      </w:r>
    </w:p>
    <w:p w:rsidR="00A15709" w:rsidRPr="00A15709" w:rsidRDefault="00A15709" w:rsidP="00A157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Formal notification to bureau head</w:t>
      </w:r>
    </w:p>
    <w:p w:rsidR="00A15709" w:rsidRPr="00A15709" w:rsidRDefault="00A15709" w:rsidP="00A157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Steering committee escalation</w:t>
      </w:r>
    </w:p>
    <w:p w:rsidR="00A15709" w:rsidRPr="00A15709" w:rsidRDefault="00A15709" w:rsidP="00A157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Executive intervention (if unresolved)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Escalation must be predictable and documented.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Compliance Enforcement Tools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May include:</w:t>
      </w:r>
    </w:p>
    <w:p w:rsidR="00A15709" w:rsidRPr="00A15709" w:rsidRDefault="00A15709" w:rsidP="00A157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Service suspension (last resort)</w:t>
      </w:r>
    </w:p>
    <w:p w:rsidR="00A15709" w:rsidRPr="00A15709" w:rsidRDefault="00A15709" w:rsidP="00A157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Public performance reporting</w:t>
      </w:r>
    </w:p>
    <w:p w:rsidR="00A15709" w:rsidRPr="00A15709" w:rsidRDefault="00A15709" w:rsidP="00A157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Leadership accountability discussions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Enforcement must be fair but firm.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IX</w: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to Sustainability &amp; Mitigation Measures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2413"/>
        <w:gridCol w:w="2468"/>
      </w:tblGrid>
      <w:tr w:rsidR="00A15709" w:rsidRPr="00A15709" w:rsidTr="00A157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5709" w:rsidRPr="00A15709" w:rsidRDefault="00A15709" w:rsidP="00A15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57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A15709" w:rsidRPr="00A15709" w:rsidRDefault="00A15709" w:rsidP="00A15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57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15709" w:rsidRPr="00A15709" w:rsidRDefault="00A15709" w:rsidP="00A157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57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</w:t>
            </w:r>
          </w:p>
        </w:tc>
      </w:tr>
      <w:tr w:rsidR="00A15709" w:rsidRPr="00A15709" w:rsidTr="00A15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709" w:rsidRPr="00A15709" w:rsidRDefault="00A15709" w:rsidP="00A15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5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Political attention decline</w:t>
            </w:r>
          </w:p>
        </w:tc>
        <w:tc>
          <w:tcPr>
            <w:tcW w:w="0" w:type="auto"/>
            <w:vAlign w:val="center"/>
            <w:hideMark/>
          </w:tcPr>
          <w:p w:rsidR="00A15709" w:rsidRPr="00A15709" w:rsidRDefault="00A15709" w:rsidP="00A15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5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 shifts after launch</w:t>
            </w:r>
          </w:p>
        </w:tc>
        <w:tc>
          <w:tcPr>
            <w:tcW w:w="0" w:type="auto"/>
            <w:vAlign w:val="center"/>
            <w:hideMark/>
          </w:tcPr>
          <w:p w:rsidR="00A15709" w:rsidRPr="00A15709" w:rsidRDefault="00A15709" w:rsidP="00A15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5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Legal anchoring</w:t>
            </w:r>
          </w:p>
        </w:tc>
      </w:tr>
      <w:tr w:rsidR="00A15709" w:rsidRPr="00A15709" w:rsidTr="00A15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709" w:rsidRPr="00A15709" w:rsidRDefault="00A15709" w:rsidP="00A15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5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fatigue</w:t>
            </w:r>
          </w:p>
        </w:tc>
        <w:tc>
          <w:tcPr>
            <w:tcW w:w="0" w:type="auto"/>
            <w:vAlign w:val="center"/>
            <w:hideMark/>
          </w:tcPr>
          <w:p w:rsidR="00A15709" w:rsidRPr="00A15709" w:rsidRDefault="00A15709" w:rsidP="00A15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5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Resistance over time</w:t>
            </w:r>
          </w:p>
        </w:tc>
        <w:tc>
          <w:tcPr>
            <w:tcW w:w="0" w:type="auto"/>
            <w:vAlign w:val="center"/>
            <w:hideMark/>
          </w:tcPr>
          <w:p w:rsidR="00A15709" w:rsidRPr="00A15709" w:rsidRDefault="00A15709" w:rsidP="00A15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5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incentives</w:t>
            </w:r>
          </w:p>
        </w:tc>
      </w:tr>
      <w:tr w:rsidR="00A15709" w:rsidRPr="00A15709" w:rsidTr="00A15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709" w:rsidRPr="00A15709" w:rsidRDefault="00A15709" w:rsidP="00A15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5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Funding gaps</w:t>
            </w:r>
          </w:p>
        </w:tc>
        <w:tc>
          <w:tcPr>
            <w:tcW w:w="0" w:type="auto"/>
            <w:vAlign w:val="center"/>
            <w:hideMark/>
          </w:tcPr>
          <w:p w:rsidR="00A15709" w:rsidRPr="00A15709" w:rsidRDefault="00A15709" w:rsidP="00A15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5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 reprioritization</w:t>
            </w:r>
          </w:p>
        </w:tc>
        <w:tc>
          <w:tcPr>
            <w:tcW w:w="0" w:type="auto"/>
            <w:vAlign w:val="center"/>
            <w:hideMark/>
          </w:tcPr>
          <w:p w:rsidR="00A15709" w:rsidRPr="00A15709" w:rsidRDefault="00A15709" w:rsidP="00A15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5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Ring-fenced funds</w:t>
            </w:r>
          </w:p>
        </w:tc>
      </w:tr>
      <w:tr w:rsidR="00A15709" w:rsidRPr="00A15709" w:rsidTr="00A15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709" w:rsidRPr="00A15709" w:rsidRDefault="00A15709" w:rsidP="00A15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5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Staff turnover</w:t>
            </w:r>
          </w:p>
        </w:tc>
        <w:tc>
          <w:tcPr>
            <w:tcW w:w="0" w:type="auto"/>
            <w:vAlign w:val="center"/>
            <w:hideMark/>
          </w:tcPr>
          <w:p w:rsidR="00A15709" w:rsidRPr="00A15709" w:rsidRDefault="00A15709" w:rsidP="00A15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5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Skill loss</w:t>
            </w:r>
          </w:p>
        </w:tc>
        <w:tc>
          <w:tcPr>
            <w:tcW w:w="0" w:type="auto"/>
            <w:vAlign w:val="center"/>
            <w:hideMark/>
          </w:tcPr>
          <w:p w:rsidR="00A15709" w:rsidRPr="00A15709" w:rsidRDefault="00A15709" w:rsidP="00A15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5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Knowledge management</w:t>
            </w:r>
          </w:p>
        </w:tc>
      </w:tr>
      <w:tr w:rsidR="00A15709" w:rsidRPr="00A15709" w:rsidTr="00A157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5709" w:rsidRPr="00A15709" w:rsidRDefault="00A15709" w:rsidP="00A15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5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aging</w:t>
            </w:r>
          </w:p>
        </w:tc>
        <w:tc>
          <w:tcPr>
            <w:tcW w:w="0" w:type="auto"/>
            <w:vAlign w:val="center"/>
            <w:hideMark/>
          </w:tcPr>
          <w:p w:rsidR="00A15709" w:rsidRPr="00A15709" w:rsidRDefault="00A15709" w:rsidP="00A15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5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Obsolescence</w:t>
            </w:r>
          </w:p>
        </w:tc>
        <w:tc>
          <w:tcPr>
            <w:tcW w:w="0" w:type="auto"/>
            <w:vAlign w:val="center"/>
            <w:hideMark/>
          </w:tcPr>
          <w:p w:rsidR="00A15709" w:rsidRPr="00A15709" w:rsidRDefault="00A15709" w:rsidP="00A157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57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Upgrade planning</w:t>
            </w:r>
          </w:p>
        </w:tc>
      </w:tr>
    </w:tbl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Risks </w:t>
      </w:r>
      <w:proofErr w:type="gramStart"/>
      <w:r w:rsidRPr="00A15709">
        <w:rPr>
          <w:rFonts w:ascii="Times New Roman" w:eastAsia="Times New Roman" w:hAnsi="Times New Roman" w:cs="Times New Roman"/>
          <w:kern w:val="0"/>
          <w14:ligatures w14:val="none"/>
        </w:rPr>
        <w:t>must be reviewed</w:t>
      </w:r>
      <w:proofErr w:type="gramEnd"/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 annually.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X</w: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Five-Year Institutionalization Roadmap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1–2: Stabilization</w:t>
      </w:r>
    </w:p>
    <w:p w:rsidR="00A15709" w:rsidRPr="00A15709" w:rsidRDefault="00A15709" w:rsidP="00A157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Core services operational</w:t>
      </w:r>
    </w:p>
    <w:p w:rsidR="00A15709" w:rsidRPr="00A15709" w:rsidRDefault="00A15709" w:rsidP="00A157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Governance mechanisms enforced</w:t>
      </w:r>
    </w:p>
    <w:p w:rsidR="00A15709" w:rsidRPr="00A15709" w:rsidRDefault="00A15709" w:rsidP="00A157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Performance baseline established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3–4: Optimization</w:t>
      </w:r>
    </w:p>
    <w:p w:rsidR="00A15709" w:rsidRPr="00A15709" w:rsidRDefault="00A15709" w:rsidP="00A157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Service expansion</w:t>
      </w:r>
    </w:p>
    <w:p w:rsidR="00A15709" w:rsidRPr="00A15709" w:rsidRDefault="00A15709" w:rsidP="00A157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Process automation</w:t>
      </w:r>
    </w:p>
    <w:p w:rsidR="00A15709" w:rsidRPr="00A15709" w:rsidRDefault="00A15709" w:rsidP="00A157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Performance improvement cycles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5: Institutional Maturity</w:t>
      </w:r>
    </w:p>
    <w:p w:rsidR="00A15709" w:rsidRPr="00A15709" w:rsidRDefault="00A15709" w:rsidP="00A157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MESOB recognized as permanent city institution</w:t>
      </w:r>
    </w:p>
    <w:p w:rsidR="00A15709" w:rsidRPr="00A15709" w:rsidRDefault="00A15709" w:rsidP="00A157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Strong citizen trust</w:t>
      </w:r>
    </w:p>
    <w:p w:rsidR="00A15709" w:rsidRPr="00A15709" w:rsidRDefault="00A15709" w:rsidP="00A157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Predictable service delivery culture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DOCUMENT–5 CONCLUSION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MESOB sustainability does not happen by goodwill.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It happens through:</w:t>
      </w:r>
    </w:p>
    <w:p w:rsidR="00A15709" w:rsidRPr="00A15709" w:rsidRDefault="00A15709" w:rsidP="00A157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Clear rules</w:t>
      </w:r>
    </w:p>
    <w:p w:rsidR="00A15709" w:rsidRPr="00A15709" w:rsidRDefault="00A15709" w:rsidP="00A157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Protected resources</w:t>
      </w:r>
    </w:p>
    <w:p w:rsidR="00A15709" w:rsidRPr="00A15709" w:rsidRDefault="00A15709" w:rsidP="00A157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Enforced accountability</w:t>
      </w:r>
    </w:p>
    <w:p w:rsidR="00A15709" w:rsidRPr="00A15709" w:rsidRDefault="00A15709" w:rsidP="00A157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Continuous measurement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sustainability </w:t>
      </w:r>
      <w:proofErr w:type="gramStart"/>
      <w:r w:rsidRPr="00A15709">
        <w:rPr>
          <w:rFonts w:ascii="Times New Roman" w:eastAsia="Times New Roman" w:hAnsi="Times New Roman" w:cs="Times New Roman"/>
          <w:kern w:val="0"/>
          <w14:ligatures w14:val="none"/>
        </w:rPr>
        <w:t>is designed</w:t>
      </w:r>
      <w:proofErr w:type="gramEnd"/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 upfront, MESOB becomes </w:t>
      </w:r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irreversible</w:t>
      </w: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570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✅</w:t>
      </w:r>
      <w:r w:rsidRPr="00A15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DOCUMENT–5 STATUS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&amp; CONSISTENT</w:t>
      </w:r>
    </w:p>
    <w:p w:rsidR="00A15709" w:rsidRPr="00A15709" w:rsidRDefault="00A15709" w:rsidP="00A157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A15709" w:rsidRPr="00A15709" w:rsidRDefault="00A15709" w:rsidP="00A157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STEP (As Agreed)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Segoe UI Symbol" w:eastAsia="Times New Roman" w:hAnsi="Segoe UI Symbol" w:cs="Segoe UI Symbol"/>
          <w:kern w:val="0"/>
          <w14:ligatures w14:val="none"/>
        </w:rPr>
        <w:t>👉</w:t>
      </w: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 to DOCUMENT–7</w:t>
      </w:r>
      <w:r w:rsidRPr="00A1570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Citizen Experience &amp; Public Trust </w:t>
      </w:r>
      <w:proofErr w:type="gramStart"/>
      <w:r w:rsidRPr="00A15709">
        <w:rPr>
          <w:rFonts w:ascii="Times New Roman" w:eastAsia="Times New Roman" w:hAnsi="Times New Roman" w:cs="Times New Roman"/>
          <w:kern w:val="0"/>
          <w14:ligatures w14:val="none"/>
        </w:rPr>
        <w:t>Framework</w:t>
      </w:r>
      <w:proofErr w:type="gramEnd"/>
      <w:r w:rsidRPr="00A1570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(We already drafted it earlier; we will now </w:t>
      </w:r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refine, align, and finalize it</w:t>
      </w:r>
      <w:r w:rsidRPr="00A15709">
        <w:rPr>
          <w:rFonts w:ascii="Times New Roman" w:eastAsia="Times New Roman" w:hAnsi="Times New Roman" w:cs="Times New Roman"/>
          <w:kern w:val="0"/>
          <w14:ligatures w14:val="none"/>
        </w:rPr>
        <w:t xml:space="preserve"> with Document–5’s sustainability and performance logic.)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kern w:val="0"/>
          <w14:ligatures w14:val="none"/>
        </w:rPr>
        <w:t>Please confirm:</w:t>
      </w:r>
    </w:p>
    <w:p w:rsidR="00A15709" w:rsidRPr="00A15709" w:rsidRDefault="00A15709" w:rsidP="00A15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 to finalize Document–7.”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A1A0F"/>
    <w:multiLevelType w:val="multilevel"/>
    <w:tmpl w:val="B3BA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54565"/>
    <w:multiLevelType w:val="multilevel"/>
    <w:tmpl w:val="DB3C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A6BA9"/>
    <w:multiLevelType w:val="multilevel"/>
    <w:tmpl w:val="F736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67072"/>
    <w:multiLevelType w:val="multilevel"/>
    <w:tmpl w:val="07FC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118F7"/>
    <w:multiLevelType w:val="multilevel"/>
    <w:tmpl w:val="EB64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22D4E"/>
    <w:multiLevelType w:val="multilevel"/>
    <w:tmpl w:val="6D48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63D94"/>
    <w:multiLevelType w:val="multilevel"/>
    <w:tmpl w:val="1528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F79C5"/>
    <w:multiLevelType w:val="multilevel"/>
    <w:tmpl w:val="7A78D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31CA6"/>
    <w:multiLevelType w:val="multilevel"/>
    <w:tmpl w:val="76E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C2530"/>
    <w:multiLevelType w:val="multilevel"/>
    <w:tmpl w:val="B8AC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04484"/>
    <w:multiLevelType w:val="multilevel"/>
    <w:tmpl w:val="988C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D2310"/>
    <w:multiLevelType w:val="multilevel"/>
    <w:tmpl w:val="8D6AA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2676C6"/>
    <w:multiLevelType w:val="multilevel"/>
    <w:tmpl w:val="B22E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F4A73"/>
    <w:multiLevelType w:val="multilevel"/>
    <w:tmpl w:val="BDB6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54984"/>
    <w:multiLevelType w:val="multilevel"/>
    <w:tmpl w:val="29EE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04CAC"/>
    <w:multiLevelType w:val="multilevel"/>
    <w:tmpl w:val="74BC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04EA5"/>
    <w:multiLevelType w:val="multilevel"/>
    <w:tmpl w:val="8F20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165C9"/>
    <w:multiLevelType w:val="multilevel"/>
    <w:tmpl w:val="1CBE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AA79B5"/>
    <w:multiLevelType w:val="multilevel"/>
    <w:tmpl w:val="D10E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046C9F"/>
    <w:multiLevelType w:val="multilevel"/>
    <w:tmpl w:val="CE50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120E39"/>
    <w:multiLevelType w:val="multilevel"/>
    <w:tmpl w:val="83A0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A5D3E"/>
    <w:multiLevelType w:val="multilevel"/>
    <w:tmpl w:val="CE26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1"/>
  </w:num>
  <w:num w:numId="3">
    <w:abstractNumId w:val="20"/>
  </w:num>
  <w:num w:numId="4">
    <w:abstractNumId w:val="14"/>
  </w:num>
  <w:num w:numId="5">
    <w:abstractNumId w:val="10"/>
  </w:num>
  <w:num w:numId="6">
    <w:abstractNumId w:val="8"/>
  </w:num>
  <w:num w:numId="7">
    <w:abstractNumId w:val="16"/>
  </w:num>
  <w:num w:numId="8">
    <w:abstractNumId w:val="13"/>
  </w:num>
  <w:num w:numId="9">
    <w:abstractNumId w:val="17"/>
  </w:num>
  <w:num w:numId="10">
    <w:abstractNumId w:val="5"/>
  </w:num>
  <w:num w:numId="11">
    <w:abstractNumId w:val="3"/>
  </w:num>
  <w:num w:numId="12">
    <w:abstractNumId w:val="2"/>
  </w:num>
  <w:num w:numId="13">
    <w:abstractNumId w:val="12"/>
  </w:num>
  <w:num w:numId="14">
    <w:abstractNumId w:val="1"/>
  </w:num>
  <w:num w:numId="15">
    <w:abstractNumId w:val="19"/>
  </w:num>
  <w:num w:numId="16">
    <w:abstractNumId w:val="18"/>
  </w:num>
  <w:num w:numId="17">
    <w:abstractNumId w:val="7"/>
  </w:num>
  <w:num w:numId="18">
    <w:abstractNumId w:val="9"/>
  </w:num>
  <w:num w:numId="19">
    <w:abstractNumId w:val="6"/>
  </w:num>
  <w:num w:numId="20">
    <w:abstractNumId w:val="0"/>
  </w:num>
  <w:num w:numId="21">
    <w:abstractNumId w:val="2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709"/>
    <w:rsid w:val="001E6C28"/>
    <w:rsid w:val="0038768C"/>
    <w:rsid w:val="00463297"/>
    <w:rsid w:val="004917BA"/>
    <w:rsid w:val="0074003F"/>
    <w:rsid w:val="007E3105"/>
    <w:rsid w:val="009F3DF1"/>
    <w:rsid w:val="00A15709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C040AE-3170-4368-8C32-002F79417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57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157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157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1570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1570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1570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15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157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1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1000</Words>
  <Characters>5704</Characters>
  <Application>Microsoft Office Word</Application>
  <DocSecurity>0</DocSecurity>
  <Lines>47</Lines>
  <Paragraphs>13</Paragraphs>
  <ScaleCrop>false</ScaleCrop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2026-02-25T17:10:00Z</dcterms:created>
  <dcterms:modified xsi:type="dcterms:W3CDTF">2026-02-25T17:10:00Z</dcterms:modified>
</cp:coreProperties>
</file>