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We now proceed — fully aligned with:</w:t>
      </w:r>
    </w:p>
    <w:p w:rsidR="0098355E" w:rsidRPr="0098355E" w:rsidRDefault="0098355E" w:rsidP="0098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Document–1</w:t>
      </w: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→ Political &amp; Strategic Justification</w:t>
      </w:r>
    </w:p>
    <w:p w:rsidR="0098355E" w:rsidRPr="0098355E" w:rsidRDefault="0098355E" w:rsidP="0098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Document–2</w:t>
      </w: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→ Governance &amp; Institutional Architecture</w:t>
      </w:r>
    </w:p>
    <w:p w:rsidR="0098355E" w:rsidRPr="0098355E" w:rsidRDefault="0098355E" w:rsidP="0098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Document–3</w:t>
      </w: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→ Infrastructure &amp; Technical Backbone</w:t>
      </w:r>
    </w:p>
    <w:p w:rsidR="0098355E" w:rsidRPr="0098355E" w:rsidRDefault="0098355E" w:rsidP="00983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Document–4</w:t>
      </w: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→ 30–60–90 Day Execution Plan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Everything below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is structured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to avoid contradiction with those foundations.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DOCUMENT–5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Sustainability &amp; Governance Codification Framework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(Year 1–5 Stability, Financial Viability &amp; Institutional Permanence Model)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Document–5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If Documents 1–4 answer:</w:t>
      </w:r>
    </w:p>
    <w:p w:rsidR="0098355E" w:rsidRPr="0098355E" w:rsidRDefault="0098355E" w:rsidP="0098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Why MESOB must exist</w:t>
      </w:r>
    </w:p>
    <w:p w:rsidR="0098355E" w:rsidRPr="0098355E" w:rsidRDefault="0098355E" w:rsidP="0098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Who governs it</w:t>
      </w:r>
    </w:p>
    <w:p w:rsidR="0098355E" w:rsidRPr="0098355E" w:rsidRDefault="0098355E" w:rsidP="0098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How it is built</w:t>
      </w:r>
    </w:p>
    <w:p w:rsidR="0098355E" w:rsidRPr="0098355E" w:rsidRDefault="0098355E" w:rsidP="00983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How it launches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Then Document–5 answers the most important long-term question:</w:t>
      </w:r>
    </w:p>
    <w:p w:rsidR="0098355E" w:rsidRPr="0098355E" w:rsidRDefault="0098355E" w:rsidP="00983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How does MESOB remain stable, financially sustainable, politically protected, and technically evolving for the next 5 years?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transforms MESOB from a “project” into a </w:t>
      </w:r>
      <w:r w:rsidRPr="009835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city institution</w:t>
      </w: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II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Permanence Strategy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must not be perceived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98355E" w:rsidRPr="0098355E" w:rsidRDefault="0098355E" w:rsidP="0098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 political term project</w:t>
      </w:r>
    </w:p>
    <w:p w:rsidR="0098355E" w:rsidRPr="0098355E" w:rsidRDefault="0098355E" w:rsidP="0098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 temporary service center</w:t>
      </w:r>
    </w:p>
    <w:p w:rsidR="0098355E" w:rsidRPr="0098355E" w:rsidRDefault="0098355E" w:rsidP="00983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 donor-dependent structure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must be codified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98355E" w:rsidRPr="0098355E" w:rsidRDefault="0098355E" w:rsidP="009835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 permanent city administrative service integration authority.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Legal Codification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Within Year 1:</w:t>
      </w:r>
    </w:p>
    <w:p w:rsidR="0098355E" w:rsidRPr="0098355E" w:rsidRDefault="0098355E" w:rsidP="0098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Draft and pass MESOB Operational Regulation.</w:t>
      </w:r>
    </w:p>
    <w:p w:rsidR="0098355E" w:rsidRPr="0098355E" w:rsidRDefault="0098355E" w:rsidP="00983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:rsidR="0098355E" w:rsidRPr="0098355E" w:rsidRDefault="0098355E" w:rsidP="009835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Authority scope</w:t>
      </w:r>
    </w:p>
    <w:p w:rsidR="0098355E" w:rsidRPr="0098355E" w:rsidRDefault="0098355E" w:rsidP="009835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Integration mandate</w:t>
      </w:r>
    </w:p>
    <w:p w:rsidR="0098355E" w:rsidRPr="0098355E" w:rsidRDefault="0098355E" w:rsidP="009835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Data governance authority</w:t>
      </w:r>
    </w:p>
    <w:p w:rsidR="0098355E" w:rsidRPr="0098355E" w:rsidRDefault="0098355E" w:rsidP="009835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Reporting line to Mayor</w:t>
      </w:r>
    </w:p>
    <w:p w:rsidR="0098355E" w:rsidRPr="0098355E" w:rsidRDefault="0098355E" w:rsidP="009835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Bureau obligations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This reduces future political reversal risk.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Governance Structure Stabilization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Aligned with Document–2: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Permanent governance must include:</w:t>
      </w:r>
    </w:p>
    <w:p w:rsidR="0098355E" w:rsidRPr="0098355E" w:rsidRDefault="0098355E" w:rsidP="0098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Executive Oversight (Mayor’s Office)</w:t>
      </w:r>
    </w:p>
    <w:p w:rsidR="0098355E" w:rsidRPr="0098355E" w:rsidRDefault="0098355E" w:rsidP="0098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Director (Operational head)</w:t>
      </w:r>
    </w:p>
    <w:p w:rsidR="0098355E" w:rsidRPr="0098355E" w:rsidRDefault="0098355E" w:rsidP="0098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IT &amp; Integration Unit</w:t>
      </w:r>
    </w:p>
    <w:p w:rsidR="0098355E" w:rsidRPr="0098355E" w:rsidRDefault="0098355E" w:rsidP="0098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Service Performance &amp; Compliance Unit</w:t>
      </w:r>
    </w:p>
    <w:p w:rsidR="0098355E" w:rsidRPr="0098355E" w:rsidRDefault="0098355E" w:rsidP="00983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Financial &amp; Revenue Monitoring Desk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 separation between:</w:t>
      </w:r>
    </w:p>
    <w:p w:rsidR="0098355E" w:rsidRPr="0098355E" w:rsidRDefault="0098355E" w:rsidP="0098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Political oversight</w:t>
      </w:r>
    </w:p>
    <w:p w:rsidR="0098355E" w:rsidRPr="0098355E" w:rsidRDefault="0098355E" w:rsidP="0098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Administrative execution</w:t>
      </w:r>
    </w:p>
    <w:p w:rsidR="0098355E" w:rsidRPr="0098355E" w:rsidRDefault="0098355E" w:rsidP="00983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Technical operations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Sustainability Model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must not become a budget drain.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Operational Cost Categories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Primary recurring costs: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Staff salaries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Internet &amp; network subscription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Equipment maintenance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Power &amp; generator fuel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Software licensing</w:t>
      </w:r>
    </w:p>
    <w:p w:rsidR="0098355E" w:rsidRPr="0098355E" w:rsidRDefault="0098355E" w:rsidP="00983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Security &amp; monitoring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must be projected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annually.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Revenue Stabilization Mechanisms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MESOB does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not “collect revenue” independently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, but it enables revenue growth.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Indirect financial impact:</w:t>
      </w:r>
    </w:p>
    <w:p w:rsidR="0098355E" w:rsidRPr="0098355E" w:rsidRDefault="0098355E" w:rsidP="0098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Faster licensing → Increased business registration</w:t>
      </w:r>
    </w:p>
    <w:p w:rsidR="0098355E" w:rsidRPr="0098355E" w:rsidRDefault="0098355E" w:rsidP="0098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Transparent taxation → Reduced leakage</w:t>
      </w:r>
    </w:p>
    <w:p w:rsidR="0098355E" w:rsidRPr="0098355E" w:rsidRDefault="0098355E" w:rsidP="0098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Centralized monitoring → Improved compliance</w:t>
      </w:r>
    </w:p>
    <w:p w:rsidR="0098355E" w:rsidRPr="0098355E" w:rsidRDefault="0098355E" w:rsidP="00983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Reduced informal payments → Increased official channels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We must track:</w:t>
      </w:r>
    </w:p>
    <w:p w:rsidR="0098355E" w:rsidRPr="0098355E" w:rsidRDefault="0098355E" w:rsidP="0098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Pre-MESOB revenue baseline</w:t>
      </w:r>
    </w:p>
    <w:p w:rsidR="0098355E" w:rsidRPr="0098355E" w:rsidRDefault="0098355E" w:rsidP="0098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Post-MESOB revenue performance</w:t>
      </w:r>
    </w:p>
    <w:p w:rsidR="0098355E" w:rsidRPr="0098355E" w:rsidRDefault="0098355E" w:rsidP="00983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Service volume growth rate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becomes a revenue multiplier — not a cost center.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Optional Sustainability Mechanisms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Without contradicting institutional mandates:</w:t>
      </w:r>
    </w:p>
    <w:p w:rsidR="0098355E" w:rsidRPr="0098355E" w:rsidRDefault="0098355E" w:rsidP="0098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Small administrative service fee (where legally permitted)</w:t>
      </w:r>
    </w:p>
    <w:p w:rsidR="0098355E" w:rsidRPr="0098355E" w:rsidRDefault="0098355E" w:rsidP="0098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Premium fast-track processing window</w:t>
      </w:r>
    </w:p>
    <w:p w:rsidR="0098355E" w:rsidRPr="0098355E" w:rsidRDefault="0098355E" w:rsidP="00983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Digital application convenience fee (future phase)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These must be policy-aligned and politically approved.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Expansion Philosophy (Clarifying “Aggressive Integration”)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This addresses your earlier concern about clarity of expansion vision.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Aggressive integration does NOT mean chaotic service addition.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:rsidR="0098355E" w:rsidRPr="0098355E" w:rsidRDefault="0098355E" w:rsidP="0098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Rapid structural integration.</w:t>
      </w:r>
    </w:p>
    <w:p w:rsidR="0098355E" w:rsidRPr="0098355E" w:rsidRDefault="0098355E" w:rsidP="0098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Gradual process maturity.</w:t>
      </w:r>
    </w:p>
    <w:p w:rsidR="0098355E" w:rsidRPr="0098355E" w:rsidRDefault="0098355E" w:rsidP="00983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Planned service layering.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Year-by-Year Service Expansion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</w:t>
      </w:r>
    </w:p>
    <w:p w:rsidR="0098355E" w:rsidRPr="0098355E" w:rsidRDefault="0098355E" w:rsidP="0098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80–120 services.</w:t>
      </w:r>
    </w:p>
    <w:p w:rsidR="0098355E" w:rsidRPr="0098355E" w:rsidRDefault="0098355E" w:rsidP="00983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Focus: High-volume physical services.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</w:t>
      </w:r>
    </w:p>
    <w:p w:rsidR="0098355E" w:rsidRPr="0098355E" w:rsidRDefault="0098355E" w:rsidP="0098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120–160 services.</w:t>
      </w:r>
    </w:p>
    <w:p w:rsidR="0098355E" w:rsidRPr="0098355E" w:rsidRDefault="0098355E" w:rsidP="0098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Begin inter-bureau workflow linking.</w:t>
      </w:r>
    </w:p>
    <w:p w:rsidR="0098355E" w:rsidRPr="0098355E" w:rsidRDefault="0098355E" w:rsidP="00983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Introduce digital pre-registration.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3</w:t>
      </w:r>
    </w:p>
    <w:p w:rsidR="0098355E" w:rsidRPr="0098355E" w:rsidRDefault="0098355E" w:rsidP="00983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Hybrid model:</w:t>
      </w:r>
    </w:p>
    <w:p w:rsidR="0098355E" w:rsidRPr="0098355E" w:rsidRDefault="0098355E" w:rsidP="009835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Physical + Online.</w:t>
      </w:r>
    </w:p>
    <w:p w:rsidR="0098355E" w:rsidRPr="0098355E" w:rsidRDefault="0098355E" w:rsidP="009835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Remote document submission.</w:t>
      </w:r>
    </w:p>
    <w:p w:rsidR="0098355E" w:rsidRPr="0098355E" w:rsidRDefault="0098355E" w:rsidP="0098355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Appointment booking.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4</w:t>
      </w:r>
    </w:p>
    <w:p w:rsidR="0098355E" w:rsidRPr="0098355E" w:rsidRDefault="0098355E" w:rsidP="009835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Partial digital-only services.</w:t>
      </w:r>
    </w:p>
    <w:p w:rsidR="0098355E" w:rsidRPr="0098355E" w:rsidRDefault="0098355E" w:rsidP="009835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Reduced counter dependency.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5</w:t>
      </w:r>
    </w:p>
    <w:p w:rsidR="0098355E" w:rsidRPr="0098355E" w:rsidRDefault="0098355E" w:rsidP="00983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transforms from service processor to integration oversight hub.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This is institutional evolution — not service inflation.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Governance Framework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To prevent stagnation, performance must be measurable.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Core KPIs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Operational KPIs: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Average service time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Daily transaction count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processing comparison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System uptime</w:t>
      </w:r>
    </w:p>
    <w:p w:rsidR="0098355E" w:rsidRPr="0098355E" w:rsidRDefault="0098355E" w:rsidP="00983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Complaint resolution time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Financial KPIs:</w:t>
      </w:r>
    </w:p>
    <w:p w:rsidR="0098355E" w:rsidRPr="0098355E" w:rsidRDefault="0098355E" w:rsidP="00983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Revenue growth trend (linked bureaus)</w:t>
      </w:r>
    </w:p>
    <w:p w:rsidR="0098355E" w:rsidRPr="0098355E" w:rsidRDefault="0098355E" w:rsidP="00983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Licensing volume growth</w:t>
      </w:r>
    </w:p>
    <w:p w:rsidR="0098355E" w:rsidRPr="0098355E" w:rsidRDefault="0098355E" w:rsidP="00983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Compliance improvement rate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Citizen KPIs:</w:t>
      </w:r>
    </w:p>
    <w:p w:rsidR="0098355E" w:rsidRPr="0098355E" w:rsidRDefault="0098355E" w:rsidP="00983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Satisfaction survey score</w:t>
      </w:r>
    </w:p>
    <w:p w:rsidR="0098355E" w:rsidRPr="0098355E" w:rsidRDefault="0098355E" w:rsidP="00983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Complaint frequency</w:t>
      </w:r>
    </w:p>
    <w:p w:rsidR="0098355E" w:rsidRPr="0098355E" w:rsidRDefault="0098355E" w:rsidP="00983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Repeat visit reduction rate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Executive Reporting Structure</w:t>
      </w:r>
    </w:p>
    <w:p w:rsidR="0098355E" w:rsidRPr="0098355E" w:rsidRDefault="0098355E" w:rsidP="00983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Weekly operational dashboard to MESOB Director</w:t>
      </w:r>
    </w:p>
    <w:p w:rsidR="0098355E" w:rsidRPr="0098355E" w:rsidRDefault="0098355E" w:rsidP="00983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Monthly report to Mayor</w:t>
      </w:r>
    </w:p>
    <w:p w:rsidR="0098355E" w:rsidRPr="0098355E" w:rsidRDefault="0098355E" w:rsidP="00983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Quarterly executive review</w:t>
      </w:r>
    </w:p>
    <w:p w:rsidR="0098355E" w:rsidRPr="0098355E" w:rsidRDefault="0098355E" w:rsidP="00983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Annual public performance summary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Transparency strengthens political legitimacy.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Human Capital Sustainability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Infrastructure survives only if people sustain it.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Staff Retention Strategy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Key risk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br/>
        <w:t>Trained IT staff leaving.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Mitigation:</w:t>
      </w:r>
    </w:p>
    <w:p w:rsidR="0098355E" w:rsidRPr="0098355E" w:rsidRDefault="0098355E" w:rsidP="009835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Competitive city compensation banding</w:t>
      </w:r>
    </w:p>
    <w:p w:rsidR="0098355E" w:rsidRPr="0098355E" w:rsidRDefault="0098355E" w:rsidP="009835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Performance-based incentives</w:t>
      </w:r>
    </w:p>
    <w:p w:rsidR="0098355E" w:rsidRPr="0098355E" w:rsidRDefault="0098355E" w:rsidP="009835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Clear career progression</w:t>
      </w:r>
    </w:p>
    <w:p w:rsidR="0098355E" w:rsidRPr="0098355E" w:rsidRDefault="0098355E" w:rsidP="009835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Certification sponsorship (network, cybersecurity)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Continuous Capacity Building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Annual programs:</w:t>
      </w:r>
    </w:p>
    <w:p w:rsidR="0098355E" w:rsidRPr="0098355E" w:rsidRDefault="0098355E" w:rsidP="00983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API integration training</w:t>
      </w:r>
    </w:p>
    <w:p w:rsidR="0098355E" w:rsidRPr="0098355E" w:rsidRDefault="0098355E" w:rsidP="00983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Cybersecurity refresh</w:t>
      </w:r>
    </w:p>
    <w:p w:rsidR="0098355E" w:rsidRPr="0098355E" w:rsidRDefault="0098355E" w:rsidP="00983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Service process optimization workshops</w:t>
      </w:r>
    </w:p>
    <w:p w:rsidR="0098355E" w:rsidRPr="0098355E" w:rsidRDefault="0098355E" w:rsidP="00983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Data governance seminars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Service identification capacity building must continue yearly.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Technology Lifecycle Management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Infrastructure from Document–3 must not decay.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Hardware Lifecycle</w:t>
      </w:r>
    </w:p>
    <w:p w:rsidR="0098355E" w:rsidRPr="0098355E" w:rsidRDefault="0098355E" w:rsidP="009835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Workstations: 4–5 year replacement cycle</w:t>
      </w:r>
    </w:p>
    <w:p w:rsidR="0098355E" w:rsidRPr="0098355E" w:rsidRDefault="0098355E" w:rsidP="009835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Servers: 5–7 year refresh</w:t>
      </w:r>
    </w:p>
    <w:p w:rsidR="0098355E" w:rsidRPr="0098355E" w:rsidRDefault="0098355E" w:rsidP="009835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UPS batteries: 2–3 year replacement</w:t>
      </w:r>
    </w:p>
    <w:p w:rsidR="0098355E" w:rsidRPr="0098355E" w:rsidRDefault="0098355E" w:rsidP="009835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Network devices: 5 year review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Lifecycle budget must be pre-planned.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</w:t>
      </w:r>
      <w:proofErr w:type="gramEnd"/>
      <w:r w:rsidRPr="009835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Software &amp; Security Updates</w:t>
      </w:r>
    </w:p>
    <w:p w:rsidR="0098355E" w:rsidRPr="0098355E" w:rsidRDefault="0098355E" w:rsidP="00983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Quarterly patching schedule</w:t>
      </w:r>
    </w:p>
    <w:p w:rsidR="0098355E" w:rsidRPr="0098355E" w:rsidRDefault="0098355E" w:rsidP="00983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Annual firewall review</w:t>
      </w:r>
    </w:p>
    <w:p w:rsidR="0098355E" w:rsidRPr="0098355E" w:rsidRDefault="0098355E" w:rsidP="00983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 monitoring continuous</w:t>
      </w:r>
    </w:p>
    <w:p w:rsidR="0098355E" w:rsidRPr="0098355E" w:rsidRDefault="0098355E" w:rsidP="00983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Independent security audit every 2 years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Security decay risk increases after Year 2 if unmanaged.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Evolution Map (Years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333"/>
        <w:gridCol w:w="3021"/>
      </w:tblGrid>
      <w:tr w:rsidR="0098355E" w:rsidRPr="0098355E" w:rsidTr="0098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Dominant Risk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Focus</w:t>
            </w:r>
          </w:p>
        </w:tc>
      </w:tr>
      <w:tr w:rsidR="0098355E" w:rsidRPr="0098355E" w:rsidTr="0098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Resistance &amp; overload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leadership enforcement</w:t>
            </w:r>
          </w:p>
        </w:tc>
      </w:tr>
      <w:tr w:rsidR="0098355E" w:rsidRPr="0098355E" w:rsidTr="0098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inefficiency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&amp; training</w:t>
            </w:r>
          </w:p>
        </w:tc>
      </w:tr>
      <w:tr w:rsidR="0098355E" w:rsidRPr="0098355E" w:rsidTr="0098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Cybersecurity exposure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strengthening</w:t>
            </w:r>
          </w:p>
        </w:tc>
      </w:tr>
      <w:tr w:rsidR="0098355E" w:rsidRPr="0098355E" w:rsidTr="0098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4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complacency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enforcement</w:t>
            </w:r>
          </w:p>
        </w:tc>
      </w:tr>
      <w:tr w:rsidR="0098355E" w:rsidRPr="0098355E" w:rsidTr="0098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fatigue</w:t>
            </w:r>
          </w:p>
        </w:tc>
        <w:tc>
          <w:tcPr>
            <w:tcW w:w="0" w:type="auto"/>
            <w:vAlign w:val="center"/>
            <w:hideMark/>
          </w:tcPr>
          <w:p w:rsidR="0098355E" w:rsidRPr="0098355E" w:rsidRDefault="0098355E" w:rsidP="009835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5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renewal</w:t>
            </w:r>
          </w:p>
        </w:tc>
      </w:tr>
    </w:tbl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Regional &amp; National Positioning Strategy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By Year 3: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MESOB should:</w:t>
      </w:r>
    </w:p>
    <w:p w:rsidR="0098355E" w:rsidRPr="0098355E" w:rsidRDefault="0098355E" w:rsidP="009835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Benchmark performance with </w:t>
      </w:r>
      <w:proofErr w:type="spell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regional center.</w:t>
      </w:r>
    </w:p>
    <w:p w:rsidR="0098355E" w:rsidRPr="0098355E" w:rsidRDefault="0098355E" w:rsidP="009835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Publish performance metrics.</w:t>
      </w:r>
    </w:p>
    <w:p w:rsidR="0098355E" w:rsidRPr="0098355E" w:rsidRDefault="0098355E" w:rsidP="009835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Present at national governance forums.</w:t>
      </w:r>
    </w:p>
    <w:p w:rsidR="0098355E" w:rsidRPr="0098355E" w:rsidRDefault="0098355E" w:rsidP="009835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Become a model for secondary cities.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Strategic positioning ensures political durability.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</w: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Five-Year Institutional Outcome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Documents 1–5 </w:t>
      </w:r>
      <w:proofErr w:type="gramStart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>are executed</w:t>
      </w:r>
      <w:proofErr w:type="gramEnd"/>
      <w:r w:rsidRPr="0098355E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consistently: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By Year 5: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Citizens experience predictable service timelines.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Bureau coordination friction drops.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Revenue transparency increases.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Corruption opportunity space reduces.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Data becomes centralized and analyzable.</w:t>
      </w:r>
    </w:p>
    <w:p w:rsidR="0098355E" w:rsidRPr="0098355E" w:rsidRDefault="0098355E" w:rsidP="00983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becomes a governance nerve center.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Not a building — but a system.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3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DOCUMENT–5 CONCLUSION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MESOB is:</w:t>
      </w:r>
    </w:p>
    <w:p w:rsidR="0098355E" w:rsidRPr="0098355E" w:rsidRDefault="0098355E" w:rsidP="009835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Politically justified (Doc–1)</w:t>
      </w:r>
    </w:p>
    <w:p w:rsidR="0098355E" w:rsidRPr="0098355E" w:rsidRDefault="0098355E" w:rsidP="009835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Institutionally structured (Doc–2)</w:t>
      </w:r>
    </w:p>
    <w:p w:rsidR="0098355E" w:rsidRPr="0098355E" w:rsidRDefault="0098355E" w:rsidP="009835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Technically engineered (Doc–3)</w:t>
      </w:r>
    </w:p>
    <w:p w:rsidR="0098355E" w:rsidRPr="0098355E" w:rsidRDefault="0098355E" w:rsidP="009835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Operationally launched (Doc–4)</w:t>
      </w:r>
    </w:p>
    <w:p w:rsidR="0098355E" w:rsidRPr="0098355E" w:rsidRDefault="0098355E" w:rsidP="009835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Financially &amp; structurally sustained (Doc–5)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The framework is now complete.</w:t>
      </w:r>
    </w:p>
    <w:p w:rsidR="0098355E" w:rsidRPr="0098355E" w:rsidRDefault="0098355E" w:rsidP="0098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Next logical progression options:</w:t>
      </w:r>
    </w:p>
    <w:p w:rsidR="0098355E" w:rsidRPr="0098355E" w:rsidRDefault="0098355E" w:rsidP="009835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Document–6: Risk &amp; Crisis Response Playbook</w:t>
      </w:r>
    </w:p>
    <w:p w:rsidR="0098355E" w:rsidRPr="0098355E" w:rsidRDefault="0098355E" w:rsidP="009835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Document–7: Citizen Experience &amp; Public Trust Framework</w:t>
      </w:r>
    </w:p>
    <w:p w:rsidR="0098355E" w:rsidRPr="0098355E" w:rsidRDefault="0098355E" w:rsidP="009835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Document–8: Financial Defense &amp; Audit-Ready Justification Dossier</w:t>
      </w:r>
    </w:p>
    <w:p w:rsidR="0098355E" w:rsidRPr="0098355E" w:rsidRDefault="0098355E" w:rsidP="009835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Consolidated Executive Master Blueprint</w:t>
      </w:r>
    </w:p>
    <w:p w:rsidR="0098355E" w:rsidRPr="0098355E" w:rsidRDefault="0098355E" w:rsidP="00983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55E">
        <w:rPr>
          <w:rFonts w:ascii="Times New Roman" w:eastAsia="Times New Roman" w:hAnsi="Times New Roman" w:cs="Times New Roman"/>
          <w:kern w:val="0"/>
          <w14:ligatures w14:val="none"/>
        </w:rPr>
        <w:t>Which direction shall we proceed?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341"/>
    <w:multiLevelType w:val="multilevel"/>
    <w:tmpl w:val="5F4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6670"/>
    <w:multiLevelType w:val="multilevel"/>
    <w:tmpl w:val="51C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217"/>
    <w:multiLevelType w:val="multilevel"/>
    <w:tmpl w:val="99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0676"/>
    <w:multiLevelType w:val="multilevel"/>
    <w:tmpl w:val="02A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2786C"/>
    <w:multiLevelType w:val="multilevel"/>
    <w:tmpl w:val="10D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D77ED"/>
    <w:multiLevelType w:val="multilevel"/>
    <w:tmpl w:val="2CD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47E"/>
    <w:multiLevelType w:val="multilevel"/>
    <w:tmpl w:val="FAD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6928"/>
    <w:multiLevelType w:val="multilevel"/>
    <w:tmpl w:val="EA9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676C3"/>
    <w:multiLevelType w:val="multilevel"/>
    <w:tmpl w:val="E18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C776A"/>
    <w:multiLevelType w:val="multilevel"/>
    <w:tmpl w:val="EBD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92D7E"/>
    <w:multiLevelType w:val="multilevel"/>
    <w:tmpl w:val="100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B1F26"/>
    <w:multiLevelType w:val="multilevel"/>
    <w:tmpl w:val="4E3E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80081"/>
    <w:multiLevelType w:val="multilevel"/>
    <w:tmpl w:val="218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626CB"/>
    <w:multiLevelType w:val="multilevel"/>
    <w:tmpl w:val="083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B26DA"/>
    <w:multiLevelType w:val="multilevel"/>
    <w:tmpl w:val="42D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6C25"/>
    <w:multiLevelType w:val="multilevel"/>
    <w:tmpl w:val="26F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62685"/>
    <w:multiLevelType w:val="multilevel"/>
    <w:tmpl w:val="02D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F27EC"/>
    <w:multiLevelType w:val="multilevel"/>
    <w:tmpl w:val="65A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55242"/>
    <w:multiLevelType w:val="multilevel"/>
    <w:tmpl w:val="E9D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47497"/>
    <w:multiLevelType w:val="multilevel"/>
    <w:tmpl w:val="2E8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D1FDA"/>
    <w:multiLevelType w:val="multilevel"/>
    <w:tmpl w:val="3C7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D421A"/>
    <w:multiLevelType w:val="multilevel"/>
    <w:tmpl w:val="258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79CC"/>
    <w:multiLevelType w:val="multilevel"/>
    <w:tmpl w:val="9BF8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8577E"/>
    <w:multiLevelType w:val="multilevel"/>
    <w:tmpl w:val="AC8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E6264"/>
    <w:multiLevelType w:val="multilevel"/>
    <w:tmpl w:val="C67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92DCF"/>
    <w:multiLevelType w:val="multilevel"/>
    <w:tmpl w:val="3B2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D3D51"/>
    <w:multiLevelType w:val="multilevel"/>
    <w:tmpl w:val="08B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511E6"/>
    <w:multiLevelType w:val="multilevel"/>
    <w:tmpl w:val="93A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5"/>
  </w:num>
  <w:num w:numId="4">
    <w:abstractNumId w:val="23"/>
  </w:num>
  <w:num w:numId="5">
    <w:abstractNumId w:val="4"/>
  </w:num>
  <w:num w:numId="6">
    <w:abstractNumId w:val="24"/>
  </w:num>
  <w:num w:numId="7">
    <w:abstractNumId w:val="7"/>
  </w:num>
  <w:num w:numId="8">
    <w:abstractNumId w:val="21"/>
  </w:num>
  <w:num w:numId="9">
    <w:abstractNumId w:val="9"/>
  </w:num>
  <w:num w:numId="10">
    <w:abstractNumId w:val="17"/>
  </w:num>
  <w:num w:numId="11">
    <w:abstractNumId w:val="12"/>
  </w:num>
  <w:num w:numId="12">
    <w:abstractNumId w:val="26"/>
  </w:num>
  <w:num w:numId="13">
    <w:abstractNumId w:val="25"/>
  </w:num>
  <w:num w:numId="14">
    <w:abstractNumId w:val="18"/>
  </w:num>
  <w:num w:numId="15">
    <w:abstractNumId w:val="27"/>
  </w:num>
  <w:num w:numId="16">
    <w:abstractNumId w:val="1"/>
  </w:num>
  <w:num w:numId="17">
    <w:abstractNumId w:val="10"/>
  </w:num>
  <w:num w:numId="18">
    <w:abstractNumId w:val="2"/>
  </w:num>
  <w:num w:numId="19">
    <w:abstractNumId w:val="3"/>
  </w:num>
  <w:num w:numId="20">
    <w:abstractNumId w:val="13"/>
  </w:num>
  <w:num w:numId="21">
    <w:abstractNumId w:val="15"/>
  </w:num>
  <w:num w:numId="22">
    <w:abstractNumId w:val="8"/>
  </w:num>
  <w:num w:numId="23">
    <w:abstractNumId w:val="16"/>
  </w:num>
  <w:num w:numId="24">
    <w:abstractNumId w:val="19"/>
  </w:num>
  <w:num w:numId="25">
    <w:abstractNumId w:val="6"/>
  </w:num>
  <w:num w:numId="26">
    <w:abstractNumId w:val="0"/>
  </w:num>
  <w:num w:numId="27">
    <w:abstractNumId w:val="1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55E"/>
    <w:rsid w:val="001E6C28"/>
    <w:rsid w:val="0038768C"/>
    <w:rsid w:val="00463297"/>
    <w:rsid w:val="004917BA"/>
    <w:rsid w:val="0074003F"/>
    <w:rsid w:val="007E3105"/>
    <w:rsid w:val="0098355E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C7E12-21EF-46A6-886F-CF52A6CE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83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83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8355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8355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8355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3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35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6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2026-02-25T17:03:00Z</dcterms:created>
  <dcterms:modified xsi:type="dcterms:W3CDTF">2026-02-25T17:04:00Z</dcterms:modified>
</cp:coreProperties>
</file>