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We now finalize: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DOCUMENT–7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Citizen Experience &amp; Public Trust Framework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51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851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City MESOB One-Stop Service Center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Fully aligned with:</w:t>
      </w:r>
    </w:p>
    <w:p w:rsidR="00851480" w:rsidRPr="00851480" w:rsidRDefault="00851480" w:rsidP="0085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Document–1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→ Political legitimacy &amp; governance positioning</w:t>
      </w:r>
    </w:p>
    <w:p w:rsidR="00851480" w:rsidRPr="00851480" w:rsidRDefault="00851480" w:rsidP="0085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Document–2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→ Institutional &amp; authority structure</w:t>
      </w:r>
    </w:p>
    <w:p w:rsidR="00851480" w:rsidRPr="00851480" w:rsidRDefault="00851480" w:rsidP="0085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Document–3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→ Infrastructure &amp; capacity design</w:t>
      </w:r>
    </w:p>
    <w:p w:rsidR="00851480" w:rsidRPr="00851480" w:rsidRDefault="00851480" w:rsidP="0085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Document–4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→ 30–60–90 Day execution plan</w:t>
      </w:r>
    </w:p>
    <w:p w:rsidR="00851480" w:rsidRPr="00851480" w:rsidRDefault="00851480" w:rsidP="0085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Document–5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→ Sustainability, performance &amp; enforcement model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This version integrates performance governance from Document–5 and technical realities from Document–3 to avoid any inconsistency.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Positioning: Citizen Trust as the Political Protection Layer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MESOB’s long-term survival does not depend only on:</w:t>
      </w:r>
    </w:p>
    <w:p w:rsidR="00851480" w:rsidRPr="00851480" w:rsidRDefault="00851480" w:rsidP="00851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Technology</w:t>
      </w:r>
    </w:p>
    <w:p w:rsidR="00851480" w:rsidRPr="00851480" w:rsidRDefault="00851480" w:rsidP="00851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Budget</w:t>
      </w:r>
    </w:p>
    <w:p w:rsidR="00851480" w:rsidRPr="00851480" w:rsidRDefault="00851480" w:rsidP="00851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Regulations</w:t>
      </w:r>
    </w:p>
    <w:p w:rsidR="00851480" w:rsidRPr="00851480" w:rsidRDefault="00851480" w:rsidP="00851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Governance structure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It depends on whether citizens:</w:t>
      </w:r>
    </w:p>
    <w:p w:rsidR="00851480" w:rsidRPr="00851480" w:rsidRDefault="00851480" w:rsidP="00851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Prefer using it,</w:t>
      </w:r>
    </w:p>
    <w:p w:rsidR="00851480" w:rsidRPr="00851480" w:rsidRDefault="00851480" w:rsidP="00851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Trust its fairness,</w:t>
      </w:r>
    </w:p>
    <w:p w:rsidR="00851480" w:rsidRPr="00851480" w:rsidRDefault="00851480" w:rsidP="00851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Defend its existence,</w:t>
      </w:r>
    </w:p>
    <w:p w:rsidR="00851480" w:rsidRPr="00851480" w:rsidRDefault="00851480" w:rsidP="00851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Recommend it to others.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Citizen experience is therefore not a “soft component.”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It is the political protection shield of the institution.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If trust rises 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→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MESOB becomes irreversible.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trust declines 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→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even strong infrastructure weakens.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Citizen Experience Architecture (End-to-End Journey Model)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This framework maps the citizen journey in five stages, ensuring no blind spots between Documents 3, 4, and 5.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1: Pre-Visit Clarity (Before Arrival)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Most frustration begins before entering the building.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Citizens must clearly know:</w:t>
      </w:r>
    </w:p>
    <w:p w:rsidR="00851480" w:rsidRPr="00851480" w:rsidRDefault="00851480" w:rsidP="00851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Required documents</w:t>
      </w:r>
    </w:p>
    <w:p w:rsidR="00851480" w:rsidRPr="00851480" w:rsidRDefault="00851480" w:rsidP="00851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Official fee</w:t>
      </w:r>
    </w:p>
    <w:p w:rsidR="00851480" w:rsidRPr="00851480" w:rsidRDefault="00851480" w:rsidP="00851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Estimated processing time</w:t>
      </w:r>
    </w:p>
    <w:p w:rsidR="00851480" w:rsidRPr="00851480" w:rsidRDefault="00851480" w:rsidP="00851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Whether appointment is required</w:t>
      </w:r>
    </w:p>
    <w:p w:rsidR="00851480" w:rsidRPr="00851480" w:rsidRDefault="00851480" w:rsidP="00851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Expected outcome timeline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Mandatory Tools:</w:t>
      </w:r>
    </w:p>
    <w:p w:rsidR="00851480" w:rsidRPr="00851480" w:rsidRDefault="00851480" w:rsidP="00851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Public service directory (printed + digital)</w:t>
      </w:r>
    </w:p>
    <w:p w:rsidR="00851480" w:rsidRPr="00851480" w:rsidRDefault="00851480" w:rsidP="00851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Official fee display boards</w:t>
      </w:r>
    </w:p>
    <w:p w:rsidR="00851480" w:rsidRPr="00851480" w:rsidRDefault="00851480" w:rsidP="00851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Document checklist publication</w:t>
      </w:r>
    </w:p>
    <w:p w:rsidR="00851480" w:rsidRPr="00851480" w:rsidRDefault="00851480" w:rsidP="00851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Hotline or information desk</w:t>
      </w:r>
    </w:p>
    <w:p w:rsidR="00851480" w:rsidRPr="00851480" w:rsidRDefault="00851480" w:rsidP="00851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Social media service updates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Consistency with Document–5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Incorrect information increases complaint metrics and damages KPIs.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Goal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Reduce repeat visits by at least 30% within Year 1.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2: Arrival &amp; Orientation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First impressions determine emotional tone.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:rsidR="00851480" w:rsidRPr="00851480" w:rsidRDefault="00851480" w:rsidP="00851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Clear signage</w:t>
      </w:r>
    </w:p>
    <w:p w:rsidR="00851480" w:rsidRPr="00851480" w:rsidRDefault="00851480" w:rsidP="00851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Information desk at entrance</w:t>
      </w:r>
    </w:p>
    <w:p w:rsidR="00851480" w:rsidRPr="00851480" w:rsidRDefault="00851480" w:rsidP="00851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Queueing guidance assistance</w:t>
      </w:r>
    </w:p>
    <w:p w:rsidR="00851480" w:rsidRPr="00851480" w:rsidRDefault="00851480" w:rsidP="00851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Visible service categories</w:t>
      </w:r>
    </w:p>
    <w:p w:rsidR="00851480" w:rsidRPr="00851480" w:rsidRDefault="00851480" w:rsidP="00851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Accessibility paths for elderly &amp; disabled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Infrastructure Alignment (Doc–3)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QMS ticketing and display screens must be visible immediately upon entry.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Outcome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No citizen should walk aimlessly inside MESOB.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3: Waiting Experience Management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Waiting time is not only about minutes — it is about uncertainty.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To reduce frustration:</w:t>
      </w:r>
    </w:p>
    <w:p w:rsidR="00851480" w:rsidRPr="00851480" w:rsidRDefault="00851480" w:rsidP="00851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Real-time queue number display</w:t>
      </w:r>
    </w:p>
    <w:p w:rsidR="00851480" w:rsidRPr="00851480" w:rsidRDefault="00851480" w:rsidP="00851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Estimated waiting time indicator</w:t>
      </w:r>
    </w:p>
    <w:p w:rsidR="00851480" w:rsidRPr="00851480" w:rsidRDefault="00851480" w:rsidP="00851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Visible counter progression</w:t>
      </w:r>
    </w:p>
    <w:p w:rsidR="00851480" w:rsidRPr="00851480" w:rsidRDefault="00851480" w:rsidP="00851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Clean seating and ventilation</w:t>
      </w:r>
    </w:p>
    <w:p w:rsidR="00851480" w:rsidRPr="00851480" w:rsidRDefault="00851480" w:rsidP="00851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Educational content screens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Performance Integration (Doc–5)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Average waiting time becomes a tracked KPI.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Transparency reduces anxiety even when waiting is unavoidable.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4: Counter Interaction Standards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highest-trust moment.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Staff must demonstrate:</w:t>
      </w:r>
    </w:p>
    <w:p w:rsidR="00851480" w:rsidRPr="00851480" w:rsidRDefault="00851480" w:rsidP="00851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Professional communication</w:t>
      </w:r>
    </w:p>
    <w:p w:rsidR="00851480" w:rsidRPr="00851480" w:rsidRDefault="00851480" w:rsidP="00851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Clear explanation of missing documents</w:t>
      </w:r>
    </w:p>
    <w:p w:rsidR="00851480" w:rsidRPr="00851480" w:rsidRDefault="00851480" w:rsidP="00851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Transparent fee confirmation</w:t>
      </w:r>
    </w:p>
    <w:p w:rsidR="00851480" w:rsidRPr="00851480" w:rsidRDefault="00851480" w:rsidP="00851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Receipt issuance</w:t>
      </w:r>
    </w:p>
    <w:p w:rsidR="00851480" w:rsidRPr="00851480" w:rsidRDefault="00851480" w:rsidP="00851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Clear next-step explanation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Mandatory closing statement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“This is what will happen next.”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Consistency across counters 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must be enforced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through:</w:t>
      </w:r>
    </w:p>
    <w:p w:rsidR="00851480" w:rsidRPr="00851480" w:rsidRDefault="00851480" w:rsidP="00851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Standard service scripts</w:t>
      </w:r>
    </w:p>
    <w:p w:rsidR="00851480" w:rsidRPr="00851480" w:rsidRDefault="00851480" w:rsidP="00851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Supervisor oversight</w:t>
      </w:r>
    </w:p>
    <w:p w:rsidR="00851480" w:rsidRPr="00851480" w:rsidRDefault="00851480" w:rsidP="00851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Random quality checks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Document–5 alignment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Counter performance must feed into bureau scorecards.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5: Exit &amp; Feedback Loop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Before leaving, citizens must have:</w:t>
      </w:r>
    </w:p>
    <w:p w:rsidR="00851480" w:rsidRPr="00851480" w:rsidRDefault="00851480" w:rsidP="00851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Receipt confirmation</w:t>
      </w:r>
    </w:p>
    <w:p w:rsidR="00851480" w:rsidRPr="00851480" w:rsidRDefault="00851480" w:rsidP="00851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Clear processing timeline</w:t>
      </w:r>
    </w:p>
    <w:p w:rsidR="00851480" w:rsidRPr="00851480" w:rsidRDefault="00851480" w:rsidP="00851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Status tracking information</w:t>
      </w:r>
    </w:p>
    <w:p w:rsidR="00851480" w:rsidRPr="00851480" w:rsidRDefault="00851480" w:rsidP="00851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Complaint submission option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Feedback channels:</w:t>
      </w:r>
    </w:p>
    <w:p w:rsidR="00851480" w:rsidRPr="00851480" w:rsidRDefault="00851480" w:rsidP="00851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On-site complaint desk</w:t>
      </w:r>
    </w:p>
    <w:p w:rsidR="00851480" w:rsidRPr="00851480" w:rsidRDefault="00851480" w:rsidP="00851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Suggestion boxes</w:t>
      </w:r>
    </w:p>
    <w:p w:rsidR="00851480" w:rsidRPr="00851480" w:rsidRDefault="00851480" w:rsidP="00851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Hotline</w:t>
      </w:r>
    </w:p>
    <w:p w:rsidR="00851480" w:rsidRPr="00851480" w:rsidRDefault="00851480" w:rsidP="00851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Digital complaint form (future phase)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Complaint data feeds monthly analytics under Document–5.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III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Five Pillars of Public Trust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Transparency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Visible fee boards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Visible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process timelines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Receipt-based transactions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Ticket number tracking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Public complaint channel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Transparency reduces informal payment rumors.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Predictability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Standardized documentation requirements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Uniform service rules across bureaus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Published processing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timelines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Unpredictability destroys trust faster than delay.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Accountability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Clear escalation ladder:</w:t>
      </w:r>
    </w:p>
    <w:p w:rsidR="00851480" w:rsidRPr="00851480" w:rsidRDefault="00851480" w:rsidP="008514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Counter Supervisor</w:t>
      </w:r>
    </w:p>
    <w:p w:rsidR="00851480" w:rsidRPr="00851480" w:rsidRDefault="00851480" w:rsidP="008514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Bureau Desk Manager</w:t>
      </w:r>
    </w:p>
    <w:p w:rsidR="00851480" w:rsidRPr="00851480" w:rsidRDefault="00851480" w:rsidP="008514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MESOB Operations Lead</w:t>
      </w:r>
    </w:p>
    <w:p w:rsidR="00851480" w:rsidRPr="00851480" w:rsidRDefault="00851480" w:rsidP="008514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Executive Escalation (if severe)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Complaint response time 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must be tracked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as KPI.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Fairness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Queue order enforcement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No informal priority access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Documented VIP processing policy (if applicable)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Fairness perception is critical for public legitimacy.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Consistency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Uniform behavior across:</w:t>
      </w:r>
    </w:p>
    <w:p w:rsidR="00851480" w:rsidRPr="00851480" w:rsidRDefault="00851480" w:rsidP="008514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Counters</w:t>
      </w:r>
    </w:p>
    <w:p w:rsidR="00851480" w:rsidRPr="00851480" w:rsidRDefault="00851480" w:rsidP="008514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Shifts</w:t>
      </w:r>
    </w:p>
    <w:p w:rsidR="00851480" w:rsidRPr="00851480" w:rsidRDefault="00851480" w:rsidP="008514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Bureaus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Inconsistency generates distrust more than strict rules.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IV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Anti-Corruption Confidence Signals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MESOB must visually demonstrate integrity.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Visible measures:</w:t>
      </w:r>
    </w:p>
    <w:p w:rsidR="00851480" w:rsidRPr="00851480" w:rsidRDefault="00851480" w:rsidP="008514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CCTV monitoring</w:t>
      </w:r>
    </w:p>
    <w:p w:rsidR="00851480" w:rsidRPr="00851480" w:rsidRDefault="00851480" w:rsidP="008514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Open counter design (no closed processing rooms)</w:t>
      </w:r>
    </w:p>
    <w:p w:rsidR="00851480" w:rsidRPr="00851480" w:rsidRDefault="00851480" w:rsidP="008514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Printed receipts mandatory</w:t>
      </w:r>
    </w:p>
    <w:p w:rsidR="00851480" w:rsidRPr="00851480" w:rsidRDefault="00851480" w:rsidP="008514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Publicly posted official fees</w:t>
      </w:r>
    </w:p>
    <w:p w:rsidR="00851480" w:rsidRPr="00851480" w:rsidRDefault="00851480" w:rsidP="008514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Clearly marked staff identification badges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Perception of integrity strengthens political credibility (Doc–1 alignment).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Inclusive Service Design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MESOB must serve all citizens equitably.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Access Protocol</w:t>
      </w:r>
    </w:p>
    <w:p w:rsidR="00851480" w:rsidRPr="00851480" w:rsidRDefault="00851480" w:rsidP="008514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Elderly lane</w:t>
      </w:r>
    </w:p>
    <w:p w:rsidR="00851480" w:rsidRPr="00851480" w:rsidRDefault="00851480" w:rsidP="008514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Disability access path</w:t>
      </w:r>
    </w:p>
    <w:p w:rsidR="00851480" w:rsidRPr="00851480" w:rsidRDefault="00851480" w:rsidP="008514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Pregnant priority seating</w:t>
      </w:r>
    </w:p>
    <w:p w:rsidR="00851480" w:rsidRPr="00851480" w:rsidRDefault="00851480" w:rsidP="008514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Literacy assistance desk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Language &amp; Communication</w:t>
      </w:r>
    </w:p>
    <w:p w:rsidR="00851480" w:rsidRPr="00851480" w:rsidRDefault="00851480" w:rsidP="008514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Clear signage</w:t>
      </w:r>
    </w:p>
    <w:p w:rsidR="00851480" w:rsidRPr="00851480" w:rsidRDefault="00851480" w:rsidP="008514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Simplified language instructions</w:t>
      </w:r>
    </w:p>
    <w:p w:rsidR="00851480" w:rsidRPr="00851480" w:rsidRDefault="00851480" w:rsidP="008514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Staff trained in respectful communication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Inclusion strengthens city legitimacy.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Citizen Feedback &amp; Continuous Improvement Engine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Feedback must not be symbolic.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Monthly review must include:</w:t>
      </w:r>
    </w:p>
    <w:p w:rsidR="00851480" w:rsidRPr="00851480" w:rsidRDefault="00851480" w:rsidP="008514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Complaint volume by bureau</w:t>
      </w:r>
    </w:p>
    <w:p w:rsidR="00851480" w:rsidRPr="00851480" w:rsidRDefault="00851480" w:rsidP="008514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Most common documentation confusion</w:t>
      </w:r>
    </w:p>
    <w:p w:rsidR="00851480" w:rsidRPr="00851480" w:rsidRDefault="00851480" w:rsidP="008514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Delay patterns</w:t>
      </w:r>
    </w:p>
    <w:p w:rsidR="00851480" w:rsidRPr="00851480" w:rsidRDefault="00851480" w:rsidP="008514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Staff behavior reports</w:t>
      </w:r>
    </w:p>
    <w:p w:rsidR="00851480" w:rsidRPr="00851480" w:rsidRDefault="00851480" w:rsidP="008514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Repeat visit statistics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Corrective actions 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must be documented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This aligns with Document–5 enforcement model.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3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Citizen Experience KPIs (Integrated With Document–5)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Citizen trust must be measurable.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Core metrics include:</w:t>
      </w:r>
    </w:p>
    <w:p w:rsidR="00851480" w:rsidRPr="00851480" w:rsidRDefault="00851480" w:rsidP="008514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Average waiting time</w:t>
      </w:r>
    </w:p>
    <w:p w:rsidR="00851480" w:rsidRPr="00851480" w:rsidRDefault="00851480" w:rsidP="008514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First-visit resolution rate</w:t>
      </w:r>
    </w:p>
    <w:p w:rsidR="00851480" w:rsidRPr="00851480" w:rsidRDefault="00851480" w:rsidP="008514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Complaint resolution time</w:t>
      </w:r>
    </w:p>
    <w:p w:rsidR="00851480" w:rsidRPr="00851480" w:rsidRDefault="00851480" w:rsidP="008514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Citizen satisfaction score</w:t>
      </w:r>
    </w:p>
    <w:p w:rsidR="00851480" w:rsidRPr="00851480" w:rsidRDefault="00851480" w:rsidP="008514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Repeat visit percentage</w:t>
      </w:r>
    </w:p>
    <w:p w:rsidR="00851480" w:rsidRPr="00851480" w:rsidRDefault="00851480" w:rsidP="008514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Queue abandonment rate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These metrics must be:</w:t>
      </w:r>
    </w:p>
    <w:p w:rsidR="00851480" w:rsidRPr="00851480" w:rsidRDefault="00851480" w:rsidP="008514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Reviewed monthly</w:t>
      </w:r>
    </w:p>
    <w:p w:rsidR="00851480" w:rsidRPr="00851480" w:rsidRDefault="00851480" w:rsidP="008514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Reported quarterly to Executive level</w:t>
      </w:r>
    </w:p>
    <w:p w:rsidR="00851480" w:rsidRPr="00851480" w:rsidRDefault="00851480" w:rsidP="008514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Used for performance adjustment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VIII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Communication &amp; Public Narrative Strategy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Public messaging themes:</w:t>
      </w:r>
    </w:p>
    <w:p w:rsidR="00851480" w:rsidRPr="00851480" w:rsidRDefault="00851480" w:rsidP="008514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“One visit, multiple services.”</w:t>
      </w:r>
    </w:p>
    <w:p w:rsidR="00851480" w:rsidRPr="00851480" w:rsidRDefault="00851480" w:rsidP="008514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“Official fees only.”</w:t>
      </w:r>
    </w:p>
    <w:p w:rsidR="00851480" w:rsidRPr="00851480" w:rsidRDefault="00851480" w:rsidP="008514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“Transparent processing.”</w:t>
      </w:r>
    </w:p>
    <w:p w:rsidR="00851480" w:rsidRPr="00851480" w:rsidRDefault="00851480" w:rsidP="008514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“No middlemen required.”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Quarterly publication of:</w:t>
      </w:r>
    </w:p>
    <w:p w:rsidR="00851480" w:rsidRPr="00851480" w:rsidRDefault="00851480" w:rsidP="008514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Service volume statistics</w:t>
      </w:r>
    </w:p>
    <w:p w:rsidR="00851480" w:rsidRPr="00851480" w:rsidRDefault="00851480" w:rsidP="008514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Performance improvements</w:t>
      </w:r>
    </w:p>
    <w:p w:rsidR="00851480" w:rsidRPr="00851480" w:rsidRDefault="00851480" w:rsidP="008514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 uptime</w:t>
      </w:r>
    </w:p>
    <w:p w:rsidR="00851480" w:rsidRPr="00851480" w:rsidRDefault="00851480" w:rsidP="008514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Citizen satisfaction improvements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Transparency builds public ownership.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IX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Citizen Trust Risk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906"/>
        <w:gridCol w:w="2448"/>
      </w:tblGrid>
      <w:tr w:rsidR="00851480" w:rsidRPr="00851480" w:rsidTr="00851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851480" w:rsidRPr="00851480" w:rsidTr="0085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waiting times</w:t>
            </w:r>
          </w:p>
        </w:tc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volume</w:t>
            </w:r>
          </w:p>
        </w:tc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scaling (Doc–3)</w:t>
            </w:r>
          </w:p>
        </w:tc>
      </w:tr>
      <w:tr w:rsidR="00851480" w:rsidRPr="00851480" w:rsidTr="0085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 inconsistency</w:t>
            </w:r>
          </w:p>
        </w:tc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gaps</w:t>
            </w:r>
          </w:p>
        </w:tc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scripts</w:t>
            </w:r>
          </w:p>
        </w:tc>
      </w:tr>
      <w:tr w:rsidR="00851480" w:rsidRPr="00851480" w:rsidTr="0085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Informal payment rumors</w:t>
            </w:r>
          </w:p>
        </w:tc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 confusion</w:t>
            </w:r>
          </w:p>
        </w:tc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boards</w:t>
            </w:r>
          </w:p>
        </w:tc>
      </w:tr>
      <w:tr w:rsidR="00851480" w:rsidRPr="00851480" w:rsidTr="0085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Complaint backlog</w:t>
            </w:r>
          </w:p>
        </w:tc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monitoring</w:t>
            </w:r>
          </w:p>
        </w:tc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enforcement</w:t>
            </w:r>
          </w:p>
        </w:tc>
      </w:tr>
      <w:tr w:rsidR="00851480" w:rsidRPr="00851480" w:rsidTr="0085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downtime</w:t>
            </w:r>
          </w:p>
        </w:tc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issue</w:t>
            </w:r>
          </w:p>
        </w:tc>
        <w:tc>
          <w:tcPr>
            <w:tcW w:w="0" w:type="auto"/>
            <w:vAlign w:val="center"/>
            <w:hideMark/>
          </w:tcPr>
          <w:p w:rsidR="00851480" w:rsidRPr="00851480" w:rsidRDefault="00851480" w:rsidP="00851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14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 framework (Doc–3)</w:t>
            </w:r>
          </w:p>
        </w:tc>
      </w:tr>
    </w:tbl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Cross-document consistency preserved.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</w: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Five-Year Citizen Trust Outcome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If implemented fully: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Year 1:</w:t>
      </w:r>
    </w:p>
    <w:p w:rsidR="00851480" w:rsidRPr="00851480" w:rsidRDefault="00851480" w:rsidP="008514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Public curiosity turns into cautious trust.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Year 2:</w:t>
      </w:r>
    </w:p>
    <w:p w:rsidR="00851480" w:rsidRPr="00851480" w:rsidRDefault="00851480" w:rsidP="008514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Repeat visits decline.</w:t>
      </w:r>
    </w:p>
    <w:p w:rsidR="00851480" w:rsidRPr="00851480" w:rsidRDefault="00851480" w:rsidP="008514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Informal brokers weaken.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Year 3:</w:t>
      </w:r>
    </w:p>
    <w:p w:rsidR="00851480" w:rsidRPr="00851480" w:rsidRDefault="00851480" w:rsidP="008514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MESOB becomes preferred service channel.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Year 4:</w:t>
      </w:r>
    </w:p>
    <w:p w:rsidR="00851480" w:rsidRPr="00851480" w:rsidRDefault="00851480" w:rsidP="008514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Service predictability becomes city norm.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Year 5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  <w:t>MESOB becomes synonymous with:</w:t>
      </w:r>
    </w:p>
    <w:p w:rsidR="00851480" w:rsidRPr="00851480" w:rsidRDefault="00851480" w:rsidP="008514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Fairness</w:t>
      </w:r>
    </w:p>
    <w:p w:rsidR="00851480" w:rsidRPr="00851480" w:rsidRDefault="00851480" w:rsidP="008514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Efficiency</w:t>
      </w:r>
    </w:p>
    <w:p w:rsidR="00851480" w:rsidRPr="00851480" w:rsidRDefault="00851480" w:rsidP="008514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Transparency</w:t>
      </w:r>
    </w:p>
    <w:p w:rsidR="00851480" w:rsidRPr="00851480" w:rsidRDefault="00851480" w:rsidP="008514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Administrative modernization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DECLARATION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Citizen experience is not decoration.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:rsidR="00851480" w:rsidRPr="00851480" w:rsidRDefault="00851480" w:rsidP="008514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A governance stabilizer.</w:t>
      </w:r>
    </w:p>
    <w:p w:rsidR="00851480" w:rsidRPr="00851480" w:rsidRDefault="00851480" w:rsidP="008514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A corruption deterrent.</w:t>
      </w:r>
    </w:p>
    <w:p w:rsidR="00851480" w:rsidRPr="00851480" w:rsidRDefault="00851480" w:rsidP="008514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A political legitimacy amplifier.</w:t>
      </w:r>
    </w:p>
    <w:p w:rsidR="00851480" w:rsidRPr="00851480" w:rsidRDefault="00851480" w:rsidP="008514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A sustainability accelerator.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Without public trust, infrastructure fades.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With public trust, MESOB becomes permanent.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DOCUMENT–7 COMPLETE</w:t>
      </w:r>
      <w:r w:rsidRPr="0085148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Fully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aligned with Documents 1–5.</w:t>
      </w:r>
    </w:p>
    <w:p w:rsidR="00851480" w:rsidRPr="00851480" w:rsidRDefault="00851480" w:rsidP="008514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We now have:</w:t>
      </w:r>
    </w:p>
    <w:p w:rsidR="00851480" w:rsidRPr="00851480" w:rsidRDefault="00851480" w:rsidP="008514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Strategic Justification</w:t>
      </w:r>
    </w:p>
    <w:p w:rsidR="00851480" w:rsidRPr="00851480" w:rsidRDefault="00851480" w:rsidP="008514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Institutional Model</w:t>
      </w:r>
    </w:p>
    <w:p w:rsidR="00851480" w:rsidRPr="00851480" w:rsidRDefault="00851480" w:rsidP="008514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Technical Architecture</w:t>
      </w:r>
    </w:p>
    <w:p w:rsidR="00851480" w:rsidRPr="00851480" w:rsidRDefault="00851480" w:rsidP="008514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30–60–90 Execution</w:t>
      </w:r>
    </w:p>
    <w:p w:rsidR="00851480" w:rsidRPr="00851480" w:rsidRDefault="00851480" w:rsidP="008514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Sustainability &amp; Performance Governance</w:t>
      </w:r>
    </w:p>
    <w:p w:rsidR="00851480" w:rsidRPr="00851480" w:rsidRDefault="00851480" w:rsidP="008514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Citizen Experience &amp; Trust</w:t>
      </w:r>
    </w:p>
    <w:p w:rsidR="00851480" w:rsidRPr="00851480" w:rsidRDefault="00851480" w:rsidP="0085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Would you like to proceed </w:t>
      </w: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</w:p>
    <w:p w:rsidR="00851480" w:rsidRPr="00851480" w:rsidRDefault="00851480" w:rsidP="008514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Document–6: Risk &amp; Crisis Response Playbook</w:t>
      </w:r>
    </w:p>
    <w:p w:rsidR="00851480" w:rsidRPr="00851480" w:rsidRDefault="00851480" w:rsidP="008514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480">
        <w:rPr>
          <w:rFonts w:ascii="Times New Roman" w:eastAsia="Times New Roman" w:hAnsi="Times New Roman" w:cs="Times New Roman"/>
          <w:kern w:val="0"/>
          <w14:ligatures w14:val="none"/>
        </w:rPr>
        <w:t>Document–8: Financial Defense &amp; Audit Dossier</w:t>
      </w:r>
    </w:p>
    <w:p w:rsidR="00851480" w:rsidRPr="00851480" w:rsidRDefault="00851480" w:rsidP="008514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>Or</w:t>
      </w:r>
      <w:proofErr w:type="gramEnd"/>
      <w:r w:rsidRPr="00851480">
        <w:rPr>
          <w:rFonts w:ascii="Times New Roman" w:eastAsia="Times New Roman" w:hAnsi="Times New Roman" w:cs="Times New Roman"/>
          <w:kern w:val="0"/>
          <w14:ligatures w14:val="none"/>
        </w:rPr>
        <w:t xml:space="preserve"> compile the Consolidated Executive Master Blueprint?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C7628"/>
    <w:multiLevelType w:val="multilevel"/>
    <w:tmpl w:val="4E88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233A"/>
    <w:multiLevelType w:val="multilevel"/>
    <w:tmpl w:val="539E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82B73"/>
    <w:multiLevelType w:val="multilevel"/>
    <w:tmpl w:val="0FE2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24B2E"/>
    <w:multiLevelType w:val="multilevel"/>
    <w:tmpl w:val="B7F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F3A5F"/>
    <w:multiLevelType w:val="multilevel"/>
    <w:tmpl w:val="3A84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D3E9E"/>
    <w:multiLevelType w:val="multilevel"/>
    <w:tmpl w:val="09A4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14773"/>
    <w:multiLevelType w:val="multilevel"/>
    <w:tmpl w:val="B54A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45692"/>
    <w:multiLevelType w:val="multilevel"/>
    <w:tmpl w:val="D14C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550C0"/>
    <w:multiLevelType w:val="multilevel"/>
    <w:tmpl w:val="15AA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33209"/>
    <w:multiLevelType w:val="multilevel"/>
    <w:tmpl w:val="6E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33D94"/>
    <w:multiLevelType w:val="multilevel"/>
    <w:tmpl w:val="236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40D2A"/>
    <w:multiLevelType w:val="multilevel"/>
    <w:tmpl w:val="6D0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514FB"/>
    <w:multiLevelType w:val="multilevel"/>
    <w:tmpl w:val="24E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637D4"/>
    <w:multiLevelType w:val="multilevel"/>
    <w:tmpl w:val="1118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8367B"/>
    <w:multiLevelType w:val="multilevel"/>
    <w:tmpl w:val="984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C7DF2"/>
    <w:multiLevelType w:val="multilevel"/>
    <w:tmpl w:val="1006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02BE1"/>
    <w:multiLevelType w:val="multilevel"/>
    <w:tmpl w:val="1D9E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016A3"/>
    <w:multiLevelType w:val="multilevel"/>
    <w:tmpl w:val="39D0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E543A"/>
    <w:multiLevelType w:val="multilevel"/>
    <w:tmpl w:val="F7B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C2467"/>
    <w:multiLevelType w:val="multilevel"/>
    <w:tmpl w:val="98C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16314"/>
    <w:multiLevelType w:val="multilevel"/>
    <w:tmpl w:val="A05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E402E"/>
    <w:multiLevelType w:val="multilevel"/>
    <w:tmpl w:val="A94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96ACF"/>
    <w:multiLevelType w:val="multilevel"/>
    <w:tmpl w:val="8AF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B1197"/>
    <w:multiLevelType w:val="multilevel"/>
    <w:tmpl w:val="05D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43E35"/>
    <w:multiLevelType w:val="multilevel"/>
    <w:tmpl w:val="69D6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B0BA6"/>
    <w:multiLevelType w:val="multilevel"/>
    <w:tmpl w:val="2DC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C6797"/>
    <w:multiLevelType w:val="multilevel"/>
    <w:tmpl w:val="C6F2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7718B2"/>
    <w:multiLevelType w:val="multilevel"/>
    <w:tmpl w:val="232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F60B6"/>
    <w:multiLevelType w:val="multilevel"/>
    <w:tmpl w:val="C13CB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5"/>
  </w:num>
  <w:num w:numId="3">
    <w:abstractNumId w:val="24"/>
  </w:num>
  <w:num w:numId="4">
    <w:abstractNumId w:val="19"/>
  </w:num>
  <w:num w:numId="5">
    <w:abstractNumId w:val="1"/>
  </w:num>
  <w:num w:numId="6">
    <w:abstractNumId w:val="9"/>
  </w:num>
  <w:num w:numId="7">
    <w:abstractNumId w:val="2"/>
  </w:num>
  <w:num w:numId="8">
    <w:abstractNumId w:val="14"/>
  </w:num>
  <w:num w:numId="9">
    <w:abstractNumId w:val="6"/>
  </w:num>
  <w:num w:numId="10">
    <w:abstractNumId w:val="16"/>
  </w:num>
  <w:num w:numId="11">
    <w:abstractNumId w:val="3"/>
  </w:num>
  <w:num w:numId="12">
    <w:abstractNumId w:val="5"/>
  </w:num>
  <w:num w:numId="13">
    <w:abstractNumId w:val="10"/>
  </w:num>
  <w:num w:numId="14">
    <w:abstractNumId w:val="13"/>
  </w:num>
  <w:num w:numId="15">
    <w:abstractNumId w:val="0"/>
  </w:num>
  <w:num w:numId="16">
    <w:abstractNumId w:val="27"/>
  </w:num>
  <w:num w:numId="17">
    <w:abstractNumId w:val="17"/>
  </w:num>
  <w:num w:numId="18">
    <w:abstractNumId w:val="21"/>
  </w:num>
  <w:num w:numId="19">
    <w:abstractNumId w:val="8"/>
  </w:num>
  <w:num w:numId="20">
    <w:abstractNumId w:val="23"/>
  </w:num>
  <w:num w:numId="21">
    <w:abstractNumId w:val="22"/>
  </w:num>
  <w:num w:numId="22">
    <w:abstractNumId w:val="18"/>
  </w:num>
  <w:num w:numId="23">
    <w:abstractNumId w:val="26"/>
  </w:num>
  <w:num w:numId="24">
    <w:abstractNumId w:val="4"/>
  </w:num>
  <w:num w:numId="25">
    <w:abstractNumId w:val="11"/>
  </w:num>
  <w:num w:numId="26">
    <w:abstractNumId w:val="20"/>
  </w:num>
  <w:num w:numId="27">
    <w:abstractNumId w:val="12"/>
  </w:num>
  <w:num w:numId="28">
    <w:abstractNumId w:val="28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480"/>
    <w:rsid w:val="001E6C28"/>
    <w:rsid w:val="0038768C"/>
    <w:rsid w:val="00463297"/>
    <w:rsid w:val="004917BA"/>
    <w:rsid w:val="0074003F"/>
    <w:rsid w:val="007E3105"/>
    <w:rsid w:val="00851480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40A2A2-7ABC-4FBF-87DB-79F52D37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14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51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51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5148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5148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5148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1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14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56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2026-02-25T17:12:00Z</dcterms:created>
  <dcterms:modified xsi:type="dcterms:W3CDTF">2026-02-25T17:12:00Z</dcterms:modified>
</cp:coreProperties>
</file>