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Excellent. We now move from </w:t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Architecture Mode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Decision Mode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45-Slide Master Plan &amp; Outline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proofErr w:type="spell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Executive Mayor Presentation.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for:</w:t>
      </w:r>
    </w:p>
    <w:p w:rsidR="00F71148" w:rsidRPr="00F71148" w:rsidRDefault="00F71148" w:rsidP="00F71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H.E. Mayor </w:t>
      </w:r>
      <w:proofErr w:type="spell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</w:p>
    <w:p w:rsidR="00F71148" w:rsidRPr="00F71148" w:rsidRDefault="00F71148" w:rsidP="00F71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Executive decision-making</w:t>
      </w:r>
    </w:p>
    <w:p w:rsidR="00F71148" w:rsidRPr="00F71148" w:rsidRDefault="00F71148" w:rsidP="00F71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Budget authorization</w:t>
      </w:r>
    </w:p>
    <w:p w:rsidR="00F71148" w:rsidRPr="00F71148" w:rsidRDefault="00F71148" w:rsidP="00F71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Vendor negotiation positioning</w:t>
      </w:r>
    </w:p>
    <w:p w:rsidR="00F71148" w:rsidRPr="00F71148" w:rsidRDefault="00F71148" w:rsidP="00F71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Political and governance impact visibility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The presentation is structured into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7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Logical Phases.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 — STRATEGIC FOUNDATION (Slides 1–6)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1: Title — </w:t>
      </w:r>
      <w:proofErr w:type="spell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MESOB One-Stop Service Transformation Initiative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Establish authority, scope, and executive seriousness.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Executive cover slide.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All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9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(Master Series).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2: Why MESOB? — The Governance Imperative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why this is urgent and transformational.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Two-column comparison table (Current State vs MESOB Model).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1 (Sections 1–3).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3: Alignment with National Digital Transformation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 alignment with federal direction.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table mapping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to national mandates.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1 (Strategic Alignment Section).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4: What Success Looks Like in 3 Years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Present measurable transformation outcomes.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KPI table (Service speed, Transparency, Revenue control, Citizen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satisfaction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1 &amp; 2.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5: MESOB Governance Model — National vs City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Clarify where </w:t>
      </w:r>
      <w:proofErr w:type="spell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fits in MESOB structure.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Visual text diagram (National Mesh ↔ City Hub ↔ Bureaus).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6.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6: Executive Decision Points Required from Mayor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that decisions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are needed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Table listing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7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major decisions.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8 &amp;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II — PHASE </w:t>
      </w:r>
      <w:proofErr w:type="gramStart"/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PRIORITY SERVICES (Slides 7–14)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7: Phase 1 Service Selection Criteria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structured logic behind 47 services.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Bullet matrix + scoring criteria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 (Part 1).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8: Phase 1 Service Categories Overview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Organize 47 services into clusters.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classification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9: Municipal &amp; Urban Land Services Breakdown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Detail high-volume services.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Service workflow table (Input → Process → Output → SLA).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 (Part 2).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10: Trade, Licensing &amp; Tax Services Breakdown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economic impact services.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service matrix.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11: Civil Registration &amp; Social Services Breakdown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citizen-facing impact.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Table with estimated daily transaction volume.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12: Utilities &amp; Regulatory Services Breakdown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Highlight cross-bureau integration need.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Table including integration dependency column.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13: Operational Workflow — Citizen Journey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Visualize service flow inside building.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Text-based visual diagram (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Step-by-step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flow).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2 &amp;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Slide 14: Estimated Daily Transaction Load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Justify infrastructure sizing.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Volume projection table (Low / Medium / Peak).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2 &amp;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III — PHASE </w:t>
      </w:r>
      <w:proofErr w:type="gramStart"/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EXPANSION ROADMAP (Slides 15–18)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15: Phase 2 Service Strategy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long-term vision.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roadmap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3.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16: Integration Complexity Matrix (Phase 2)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Rank future services by complexity.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Complexity vs Impact grid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3.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17: Infrastructure Scalability Requirements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why we must over-design today.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Capacity comparison table (Phase 1 vs Phase 2).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4 &amp;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18: 3-Year Service Integration Timeline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controlled rollout.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Text-based Gantt visual description.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3.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6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IV — TECHNOLOGY &amp; ARCHITECTURE (Slides 19–26)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19: Core Enterprise Architecture Overview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High-level architecture visualization.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Text-based layered diagram description.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6 (Part 1).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20: Application Layer Components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required systems.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component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4.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21: API Gateway &amp; Bureau Integration Model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Clarify integration logic.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Visual text diagram.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6.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22: Bureau Readiness Scenarios (</w:t>
      </w:r>
      <w:proofErr w:type="gram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proofErr w:type="gramEnd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Conditions)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Highlight integration risk.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Scenario comparison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5.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23: If Bureau Has IT System — Integration Checklist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structured onboarding.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Step-by-step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checklist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5.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24: If Bureau Has No System — Endpoint Development Plan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Address biggest risk area.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Responsibility matrix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5 &amp;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25: Data Center &amp; Hosting Models (</w:t>
      </w:r>
      <w:proofErr w:type="gram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proofErr w:type="gramEnd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Options)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Compare Managed vs Hybrid vs On-Prem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Side-by-side comparison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4.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26: Cybersecurity &amp; Data Protection Framework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 security seriousness.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security layer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V — BUILDING &amp; PHYSICAL SETUP (Slides 27–31)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27: MESOB Building Spatial Layout Plan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Visualize hall, counters,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offices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Text-based floor layout description.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Slide 28: Counter Capacity &amp; Staffing Model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Justify 30-counter design.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Counter vs Volume projection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29: Network Topology Inside Building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Explain secure VLAN segmentation.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Text-based visual network map.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30: Hardware Placement Plan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operational readiness.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Equipment placement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7.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31: Queue System &amp; Citizen Flow Analytics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measurable performance tracking.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Metrics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7 &amp;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VI — PROCUREMENT &amp; FINANCIAL MODEL (Slides 32–39)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32: Total Infrastructure Procurement Summary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High-level </w:t>
      </w:r>
      <w:proofErr w:type="spellStart"/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overview.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Category summary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3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33: Hardware </w:t>
      </w:r>
      <w:proofErr w:type="spellStart"/>
      <w:proofErr w:type="gram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BoQ</w:t>
      </w:r>
      <w:proofErr w:type="spellEnd"/>
      <w:proofErr w:type="gramEnd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Breakdown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quantities &amp; acquisition mapping.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Detailed item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 (Part 1).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34: Software &amp; Licensing </w:t>
      </w:r>
      <w:proofErr w:type="spellStart"/>
      <w:proofErr w:type="gram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BoQ</w:t>
      </w:r>
      <w:proofErr w:type="spellEnd"/>
      <w:proofErr w:type="gramEnd"/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recurring cost drivers.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License matrix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 (Part 2).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35: Security &amp; Queue System </w:t>
      </w:r>
      <w:proofErr w:type="spellStart"/>
      <w:proofErr w:type="gram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BoQ</w:t>
      </w:r>
      <w:proofErr w:type="spellEnd"/>
      <w:proofErr w:type="gramEnd"/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non-optional components.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36: CAPEX vs OPEX Structure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Clarify financial model.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3-year projection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37: 3-Year Financial Commitment Overview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total cost visibility.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Year-by-year cost breakdown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38: Procurement Safeguards &amp; Risk Controls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Protect public funds.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Risk mitigation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8.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39: Payment Milestone Structure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Performance-based payment model.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Milestone payment schedule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🔷</w:t>
      </w: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VII — VENDOR STRATEGY &amp; DECISION FRAMEWORK (Slides 40–45)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40: Expected Role of </w:t>
      </w:r>
      <w:proofErr w:type="spellStart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Ethio</w:t>
      </w:r>
      <w:proofErr w:type="spellEnd"/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Telecom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Define boundaries clearly.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Scope responsibility matrix.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41: Package Clarification — Platinum vs Standard vs Basic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Demand transparency.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analysis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42: SLA Framework Overview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accountability.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SLA metrics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Slide 43: Vendor Lock-In Prevention Strategy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Protect long-term autonomy.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Control safeguards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44: Implementation Governance Structure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Show execution control.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Governance structure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Document 9.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45: Final Executive Decision Framework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Present Mayor with structured approval pathway.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Decision checklist table.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All Documents.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SLIDES: 45 Core Slides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(Excluding section divider slides)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PRESENTATION CHARACTERISTICS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Heavy use of structured executive </w:t>
      </w:r>
      <w:proofErr w:type="gramStart"/>
      <w:r w:rsidRPr="00F71148">
        <w:rPr>
          <w:rFonts w:ascii="Times New Roman" w:eastAsia="Times New Roman" w:hAnsi="Times New Roman" w:cs="Times New Roman"/>
          <w:kern w:val="0"/>
          <w14:ligatures w14:val="none"/>
        </w:rPr>
        <w:t>tables</w:t>
      </w:r>
      <w:proofErr w:type="gramEnd"/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Traceable to 9 master documents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Politically and technically defensible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Financially transparent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Architecturally coherent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148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71148">
        <w:rPr>
          <w:rFonts w:ascii="Times New Roman" w:eastAsia="Times New Roman" w:hAnsi="Times New Roman" w:cs="Times New Roman"/>
          <w:kern w:val="0"/>
          <w14:ligatures w14:val="none"/>
        </w:rPr>
        <w:t xml:space="preserve"> Negotiation-ready</w:t>
      </w:r>
    </w:p>
    <w:p w:rsidR="00F71148" w:rsidRPr="00F71148" w:rsidRDefault="00F71148" w:rsidP="00F71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If approved, reply: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“Proceed with generating Slides 1 through 5.”</w:t>
      </w:r>
    </w:p>
    <w:p w:rsidR="00F71148" w:rsidRPr="00F71148" w:rsidRDefault="00F71148" w:rsidP="00F71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148">
        <w:rPr>
          <w:rFonts w:ascii="Times New Roman" w:eastAsia="Times New Roman" w:hAnsi="Times New Roman" w:cs="Times New Roman"/>
          <w:kern w:val="0"/>
          <w14:ligatures w14:val="none"/>
        </w:rPr>
        <w:t>We will begin structured executive slide content generation sequentially.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7F5FDF"/>
    <w:multiLevelType w:val="multilevel"/>
    <w:tmpl w:val="87F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148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1148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F4798-BAA4-409C-9D9B-7B77DF1E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1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71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7114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114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1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2026-02-24T19:25:00Z</dcterms:created>
  <dcterms:modified xsi:type="dcterms:W3CDTF">2026-02-24T19:39:00Z</dcterms:modified>
</cp:coreProperties>
</file>