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812" w:rsidRPr="00D66812" w:rsidRDefault="00D66812" w:rsidP="00D6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Implementation Framework: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One-Stop Service Infrastructure Deployment for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Strategic Vision and Localized Service Delivery Model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(MOSS) is the primary fiscal and operational vehicle of 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Smart City Prospectus. Beyond mere convenience, MOSS functions as a strategic mechanism to consolidate fragmented municipal functions into a singular, high-performance node. By transitioning from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departmental operations to this integrated "One-Stop Shop," the City of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will drive significant economies of scale, reduce administrative leakages, and realize the vision of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, together."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Adopting the "One-Stop Shop" philosophy pioneered by 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Kenya Service Delivery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Programme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, MOSS utilizes a multi-channel deployment model to maximize reach and efficiency. This framework adapts 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model to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urban topography through three essential pillars: Physical Centers (branded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" hubs), a unified Digital Platform, and "Mobile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Mashinani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" (outreach services for peripheral districts), ensuring that service delivery is universal, equitable, and efficient.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Strategic Pillars for MOSS Deployment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357"/>
      </w:tblGrid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Strategic Impact on </w:t>
            </w:r>
            <w:proofErr w:type="spellStart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Hawassa’s</w:t>
            </w:r>
            <w:proofErr w:type="spellEnd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Governance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Excellence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Benchmarked against the </w:t>
            </w:r>
            <w:proofErr w:type="spellStart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Huduma</w:t>
            </w:r>
            <w:proofErr w:type="spellEnd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95% customer satisfaction index to ensure premium public trust.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Integration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Elimination of redundant data silos through unified ICT, reducing the total cost of service delivery.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Institutional Strength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from fragmented departments to a unified MOSS Secretariat to enhance accountability.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Fiscal Efficiency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Transformation of service nodes from cost centers to optimized revenue and data-generation assets.</w:t>
            </w:r>
          </w:p>
        </w:tc>
      </w:tr>
    </w:tbl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This vision shifts the MOSS initiative from a conceptual prospectus to a bankable institutional framework, establishing the foundational governance required for a modern urban center.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Service Architecture and Digital Integration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The strategic selection of services is the most critical variable in securing high citizen engagement and ensuring the commercial and political viability of the MOSS infrastructure. 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Prioritizing high-volume, "quick-win" services builds the necessary brand equity to sustain long-term digital transformation.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Categorized MOSS Service Portfolio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In alignment with international best practices, the MOSS service architecture </w:t>
      </w:r>
      <w:proofErr w:type="gram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is categorized</w:t>
      </w:r>
      <w:proofErr w:type="gram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:rsidR="00D66812" w:rsidRPr="00D66812" w:rsidRDefault="00D66812" w:rsidP="00D6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Statutory Services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(National Digital ID):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Primary registration and issuance node.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Statistics: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Issuance of Birth, Marriage, and Death certification.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Support: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Passport application processing and collection services.</w:t>
      </w:r>
    </w:p>
    <w:p w:rsidR="00D66812" w:rsidRPr="00D66812" w:rsidRDefault="00D66812" w:rsidP="00D6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and Commercial Services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Collection: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Tax assessment and integrated payment gateways.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Licensing: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business registration and trade permit renewal.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Facilitation: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Expedited permits for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Park stakeholders.</w:t>
      </w:r>
    </w:p>
    <w:p w:rsidR="00D66812" w:rsidRPr="00D66812" w:rsidRDefault="00D66812" w:rsidP="00D6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and Community Services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and Social Protection: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Insurance registration and health service coordination.</w:t>
      </w:r>
    </w:p>
    <w:p w:rsidR="00D66812" w:rsidRPr="00D66812" w:rsidRDefault="00D66812" w:rsidP="00D6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PWD/Elderly Support: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Dedicated assistance for Persons with Disabilities and senior citizens.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Fayda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Foundational Layer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(Ethiopia Digital ID)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non-negotiable authentication layer for the entire MOSS ecosystem. To measure success, the City will utilize the World Bank-standard KPI: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"The proportion of the population satisfied with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services."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This metric will serve as the primary indicator for MOSS’s digital maturity and service efficacy.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Prioritization Matrix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853"/>
        <w:gridCol w:w="4488"/>
      </w:tblGrid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Rationale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Impact (Quick Win)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ID, Vital Statistics, Tax Payments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daily traffic; minimal complexity for immediate digital migration.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 (Mid-Term)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Licensing, PWD Services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cross-departmental data sharing and process re-engineering.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Long-Term (Strategic)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Management, Construction Permits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transaction risk; requires deep legal "upstream" policy alignment.</w:t>
            </w:r>
          </w:p>
        </w:tc>
      </w:tr>
    </w:tbl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This service architecture dictates a sophisticated physical and digital setup that moves beyond simple asset creation to a focus on long-term outcome specifications.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Infrastructure Financing and Project Preparation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Project preparation is the most volatile phase for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City; failures here lead directly to the cost overruns and implementation delays that plague emerging markets. This framework mandates a rigorous "procurement-ready" approach.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Financing the Preparation Phase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Global Infrastructure Hub data confirms that for emerging economies, project preparation costs typically range from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to 12% of the total project investment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. To mitigate fiscal risk, the Mayor’s office will adopt a tripartite financing strategy:</w:t>
      </w:r>
    </w:p>
    <w:p w:rsidR="00D66812" w:rsidRPr="00D66812" w:rsidRDefault="00D66812" w:rsidP="00D6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Project Development Funds (PDFs):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Establishment of a municipal revolving fund to finance feasibility studies and transaction advisory. A key sustainability feature is the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recovery mechanism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proofErr w:type="gram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preparation costs are reimbursed by the winning bidders of PPP components</w:t>
      </w:r>
      <w:proofErr w:type="gram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6812" w:rsidRPr="00D66812" w:rsidRDefault="00D66812" w:rsidP="00D6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Project Preparation Facilities (PPFs):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Leveraging MDB-led facilities (such as the Global Infrastructure Facility or the PPIAF) to provide technical assistance and ensure the pipeline is "bankable."</w:t>
      </w:r>
    </w:p>
    <w:p w:rsidR="00D66812" w:rsidRPr="00D66812" w:rsidRDefault="00D66812" w:rsidP="00D6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 Budget Ring-Fencing: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The City must treat project preparation as a "ring-fenced" line item. This includes the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of project preparation costs by GCAs (Government Contracting Authorities)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all departments have skin in the game.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Key Design Considerations for the </w:t>
      </w: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PDF</w:t>
      </w:r>
    </w:p>
    <w:p w:rsidR="00D66812" w:rsidRPr="00D66812" w:rsidRDefault="00D66812" w:rsidP="00D6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board oversight for transaction advisory approvals.</w:t>
      </w:r>
    </w:p>
    <w:p w:rsidR="00D66812" w:rsidRPr="00D66812" w:rsidRDefault="00D66812" w:rsidP="00D6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Criteria: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Clear sector caps and minimum investment thresholds.</w:t>
      </w:r>
    </w:p>
    <w:p w:rsidR="00D66812" w:rsidRPr="00D66812" w:rsidRDefault="00D66812" w:rsidP="00D6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Multi-stage review processes to evaluate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contingent liabilities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and fiscal costs.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Financial readiness ensures the city can acquire the requisite physical assets and elite human capital necessary for operations.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Physical Infrastructure: Building Setup and Design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The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" building design serves as a functional landmark of unity. Strategic deployment requires a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"Full Lifecycle Approach,"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which shifts the focus from mere "asset creation" to the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and operations stages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, emphasizing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specifications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over physical inputs.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Acquisition Essentials</w:t>
      </w:r>
    </w:p>
    <w:p w:rsidR="00D66812" w:rsidRPr="00D66812" w:rsidRDefault="00D66812" w:rsidP="00D6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Telecommunications Infrastructure Sharing: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In accordance with ECA Directive 793/2021, MOSS will utilize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Roaming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and collocation to ensure high-speed fiber redundancy without duplicating tower assets.</w:t>
      </w:r>
    </w:p>
    <w:p w:rsidR="00D66812" w:rsidRPr="00D66812" w:rsidRDefault="00D66812" w:rsidP="00D6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Digital Access: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terminals for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"Digitally Disadvantaged Persons" (DDPs)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a digital divide in service access.</w:t>
      </w:r>
    </w:p>
    <w:p w:rsidR="00D66812" w:rsidRPr="00D66812" w:rsidRDefault="00D66812" w:rsidP="00D6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and Operational Security: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Protocols </w:t>
      </w:r>
      <w:proofErr w:type="gram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must be managed</w:t>
      </w:r>
      <w:proofErr w:type="gram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by a dedicated Safety and Security Officer to mitigate risks in high-traffic environments.</w:t>
      </w:r>
    </w:p>
    <w:p w:rsidR="00D66812" w:rsidRPr="00D66812" w:rsidRDefault="00D66812" w:rsidP="00D6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Aesthetic Branding: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application of the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" visual identity to build a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Brand Reputation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, signaling a premium, trustworthy government service.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Institutional Framework and Human Resources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A dedicated MOSS Secretariat is essential to dismantle traditional departmental silos, which are the primary drivers of citizen "irritation" and administrative inertia.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MOSS Secretariat Structure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5930"/>
      </w:tblGrid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Responsibility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CEO / Secretariat Chair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stakeholder alignment and transaction oversight.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Director of ICT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integration, data integrity, and connectivity uptime.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Director of PR and Communication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Managing the "</w:t>
            </w:r>
            <w:proofErr w:type="spellStart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together" brand and citizen feedback loops.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Management Officer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the 95% satisfaction index and service SLAs.</w:t>
            </w:r>
          </w:p>
        </w:tc>
      </w:tr>
      <w:tr w:rsidR="00D66812" w:rsidRPr="00D66812" w:rsidTr="00D668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 and Security Officer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66812" w:rsidRPr="00D66812" w:rsidRDefault="00D66812" w:rsidP="00D668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protection and physical/digital security protocols.</w:t>
            </w:r>
          </w:p>
        </w:tc>
      </w:tr>
    </w:tbl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 Building and Transaction Requirements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The human resource need centers on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Technical Experts </w:t>
      </w:r>
      <w:proofErr w:type="gramStart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well-versed</w:t>
      </w:r>
      <w:proofErr w:type="gramEnd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PPP policy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and transaction requirements. Staff </w:t>
      </w:r>
      <w:proofErr w:type="gram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will be mandated</w:t>
      </w:r>
      <w:proofErr w:type="gram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to undertake the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APMG’s PPP Certification Program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to align with international best practices. Training will be "hands-on and project-based," mirroring the Kenya IFPPP model to ensure that staff can manage complex contract structures and outcome-based performance metrics.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Citizen Perception and Experience Management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Citizen perception is the ultimate arbiter of success. For the Mayor’s office, the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" brand </w:t>
      </w:r>
      <w:proofErr w:type="gram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must be perceived</w:t>
      </w:r>
      <w:proofErr w:type="gram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as a fulfillment of the social contract.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Experience Framework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Targeting the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18–35 age group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—the highest volume of mobile-savvy users in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—the MOSS will optimize five key variables:</w:t>
      </w:r>
    </w:p>
    <w:p w:rsidR="00D66812" w:rsidRPr="00D66812" w:rsidRDefault="00D66812" w:rsidP="00D66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Relevancy: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Location-sensitive services (e.g., business licensing near commercial zones).</w:t>
      </w:r>
    </w:p>
    <w:p w:rsidR="00D66812" w:rsidRPr="00D66812" w:rsidRDefault="00D66812" w:rsidP="00D66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Informativeness</w:t>
      </w:r>
      <w:proofErr w:type="spellEnd"/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Clear, readable, and real-time digital service status updates.</w:t>
      </w:r>
    </w:p>
    <w:p w:rsidR="00D66812" w:rsidRPr="00D66812" w:rsidRDefault="00D66812" w:rsidP="00D66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Entertainment: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Emotional and aesthetic enjoyment derived from the iconic "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" architecture and UI design.</w:t>
      </w:r>
    </w:p>
    <w:p w:rsidR="00D66812" w:rsidRPr="00D66812" w:rsidRDefault="00D66812" w:rsidP="00D66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The city must fulfill its service promises (e.g., 24-hour turnaround) to maintain trust.</w:t>
      </w:r>
    </w:p>
    <w:p w:rsidR="00D66812" w:rsidRPr="00D66812" w:rsidRDefault="00D66812" w:rsidP="00D66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Non-Irritation: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A proactive strategy to avoid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"Forced Exposure"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—eliminating redundant processes and spam-like notifications that characterize poorly managed public services.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Mitigation Strategy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To eliminate "Irritation," MOSS will implement permission-based digital alerts and streamlined workflows, reducing the frequency of physical and digital touchpoints required to complete transactions.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Implementation Roadmap and Next Steps (Mayor’s Briefing)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The following roadmap establishes the strategic urgency required to align with the upcoming fiscal cycle and achieve procurement-readiness.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Multi-Stage Implementation Timeline</w:t>
      </w:r>
    </w:p>
    <w:p w:rsidR="00D66812" w:rsidRPr="00D66812" w:rsidRDefault="00D66812" w:rsidP="00D66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Upstream Preparation (Months 1-6):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Conduct comprehensive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PESTEL and SWOT Analysis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Formulate MOSS legal framework and establish the Project Development Fund (PDF).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Finalize service-level agreements (SLAs) with line departments.</w:t>
      </w:r>
    </w:p>
    <w:p w:rsidR="00D66812" w:rsidRPr="00D66812" w:rsidRDefault="00D66812" w:rsidP="00D66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Mid-stage Development (Months 7-12):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Detailed technical detailing and feasibility for 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hubs.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Engagement of </w:t>
      </w: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Advisors</w:t>
      </w: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for PPP-modeled components.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pilot.</w:t>
      </w:r>
    </w:p>
    <w:p w:rsidR="00D66812" w:rsidRPr="00D66812" w:rsidRDefault="00D66812" w:rsidP="00D66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Downstream Execution (Months 13-24):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Procurement and construction under a lifecycle-focused contract.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>Recruitment of the Secretariat and APMG certification training.</w:t>
      </w:r>
    </w:p>
    <w:p w:rsidR="00D66812" w:rsidRPr="00D66812" w:rsidRDefault="00D66812" w:rsidP="00D668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Full-scale launch and "Mobile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Mashinani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" rollout.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Success Factors:</w:t>
      </w:r>
    </w:p>
    <w:p w:rsidR="00D66812" w:rsidRPr="00D66812" w:rsidRDefault="00D66812" w:rsidP="00D66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Unwavering Leadership Support.</w:t>
      </w:r>
    </w:p>
    <w:p w:rsidR="00D66812" w:rsidRPr="00D66812" w:rsidRDefault="00D66812" w:rsidP="00D66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Reliable, Wide-scale Internet Connectivity.</w:t>
      </w:r>
    </w:p>
    <w:p w:rsidR="00D66812" w:rsidRPr="00D66812" w:rsidRDefault="00D66812" w:rsidP="00D66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Brand Reputation Management.</w:t>
      </w:r>
    </w:p>
    <w:p w:rsidR="00D66812" w:rsidRPr="00D66812" w:rsidRDefault="00D66812" w:rsidP="00D6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By executing this framework, </w:t>
      </w:r>
      <w:proofErr w:type="spellStart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812">
        <w:rPr>
          <w:rFonts w:ascii="Times New Roman" w:eastAsia="Times New Roman" w:hAnsi="Times New Roman" w:cs="Times New Roman"/>
          <w:kern w:val="0"/>
          <w14:ligatures w14:val="none"/>
        </w:rPr>
        <w:t xml:space="preserve"> City will not only modernize its public service delivery but will establish itself as the national benchmark for Smart City excellence—creating a city that is efficient, inclusive, and built together.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D0A33"/>
    <w:multiLevelType w:val="multilevel"/>
    <w:tmpl w:val="0678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10B3C"/>
    <w:multiLevelType w:val="multilevel"/>
    <w:tmpl w:val="594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75ECF"/>
    <w:multiLevelType w:val="multilevel"/>
    <w:tmpl w:val="001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14E5"/>
    <w:multiLevelType w:val="multilevel"/>
    <w:tmpl w:val="A82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947D5"/>
    <w:multiLevelType w:val="multilevel"/>
    <w:tmpl w:val="EDC6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C16FF"/>
    <w:multiLevelType w:val="multilevel"/>
    <w:tmpl w:val="E79E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362A9"/>
    <w:multiLevelType w:val="multilevel"/>
    <w:tmpl w:val="777A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812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6812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87FF7-F7FD-436A-8150-9B046EC6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6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6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6681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68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68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6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1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2026-02-24T15:25:00Z</dcterms:created>
  <dcterms:modified xsi:type="dcterms:W3CDTF">2026-02-24T15:25:00Z</dcterms:modified>
</cp:coreProperties>
</file>