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7B4" w:rsidRPr="00E557B4" w:rsidRDefault="00E557B4" w:rsidP="00E55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Implementation Framework: Establishing a National Project Development Fund (PDF)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Strategic Rationale: The Economics of Project Preparation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The establishment of a National Project Development Fund (PDF) is a strategic imperative for governments seeking to bridge the persistent gap between infrastructure conceptualization and the realization of bankable, investment-ready assets. Infrastructure projects are not born procurement-ready; they require intensive, high-cost preparation to navigate from identified need to financial close. Without dedicated, ring-fenced resources, Government Contracting Agencies (GCAs) often lack the specialized expertise and commercial agility required to attract private capital. A PDF serves as the institutional conduit, transforming theoretical projects into structured opportunities that meet the rigorous risk-allocation requirements of international investors and lenders.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The cost of this preparation phase is significant and scales with market complexity. For emerging and frontier markets, these costs represent a higher percentage of total investment due to thinner local capacity and the need for more intensive upstream de-risking.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Preparation Cost Benchmarks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2110"/>
        <w:gridCol w:w="2931"/>
      </w:tblGrid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Developed Markets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Emerging/Frontier Markets</w:t>
            </w:r>
          </w:p>
        </w:tc>
      </w:tr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Global Infrastructure Basel (2014)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10%</w:t>
            </w:r>
          </w:p>
        </w:tc>
      </w:tr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United Nations (2011)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 (Early stage)</w:t>
            </w:r>
          </w:p>
        </w:tc>
      </w:tr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Global Green Growth Institute (2015)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5–10%</w:t>
            </w:r>
          </w:p>
        </w:tc>
      </w:tr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World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3–5% (Developed)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10–12% (Emerging)</w:t>
            </w:r>
          </w:p>
        </w:tc>
      </w:tr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InfraCo</w:t>
            </w:r>
            <w:proofErr w:type="spellEnd"/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 (Small-scale energy)</w:t>
            </w:r>
          </w:p>
        </w:tc>
      </w:tr>
    </w:tbl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Modern project preparation has transitioned from a narrow "asset creation" focus to a "lifecycle approach." This evolution is a financial necessity; identifying technical, social, environmental, and economic risks early is the only way to prevent cost overruns and operational failures during a project’s 20-30 year operation phase. Furthermore, rigorous multi-disciplinary appraisal—addressing environmental and social governance (ESG)—is no longer a "box-ticking" exercise but a prerequisite to prevent deal-blockage by lenders later in the cycle. To ensure these expenditures translate into results, governments should adopt models like the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 Budget Facility for Infrastructure (BFI)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. By using traceable line items within the national budget, the BFI allows for the granular tracking of preparation ROI, establishing a baseline for expenditure that prevents the common "procurement-ready failures" of uncoordinated spending.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Strategic Design Considerations and Scope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 PDF’s effectiveness depends on clearly defined boundaries to prevent mission creep and ensure maximum value for money. A fund that attempts to support all projects regardless of scale or sector risks diluting its impact and exhausting its capital on unviable concepts.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Sectoral and Thematic Focus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In the initial years of operation, governments should direct financing toward high-priority sectors or projects exceeding a threshold investment scale to create "demonstration effects." This proves the market’s viability to private investors. For example,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Mexico’s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FONADIN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PROTRAM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scaled mass transit and toll road programs by utilizing sector-specific facilities that focused technical excellence on a narrow, high-impact pipeline.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of Support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The framework must provide flexibility across the project development spectrum, distinguishing between specific stages of readiness:</w:t>
      </w:r>
    </w:p>
    <w:p w:rsidR="00E557B4" w:rsidRPr="00E557B4" w:rsidRDefault="00E557B4" w:rsidP="00E5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Early-Stage (Upstream):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Outline Business Cases (OBCs), pre-feasibility studies, and enabling policy work.</w:t>
      </w:r>
    </w:p>
    <w:p w:rsidR="00E557B4" w:rsidRPr="00E557B4" w:rsidRDefault="00E557B4" w:rsidP="00E5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Mid-to-Late Stage (Downstream):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Detailed feasibility, Public-Private Partnership (PPP) transaction advisory, legal/financial structuring, and contract documentation.</w:t>
      </w:r>
    </w:p>
    <w:p w:rsidR="00E557B4" w:rsidRPr="00E557B4" w:rsidRDefault="00E557B4" w:rsidP="00E5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Post-Award: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Engagement of independent consultants to monitor implementation and ensure outcome specifications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are delivered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Voluntary vs. Compulsory Engagement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While PDF engagement is typically voluntary, governments can utilize "budgetary nudges" to institutionalize rigor. By making compliance with PDF-level standards and multi-stage reviews a mandatory condition for access to subsequent capital budgets, GCAs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are incentivized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to adopt the PDF route. This ensures that only projects subjected to professionalized gatekeeping receive public funding, thereby safeguarding fiscal resources.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Institutional Governance and Administrative Models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Agility is the hallmark of a successful PDF. Institutionalizing an "arm’s length" separation between fund administration and project execution allows the PDF to act as a corporatized entity, responsive to market timelines while maintaining strict gatekeeping standards.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Three primary institutional models define international best practices:</w:t>
      </w:r>
    </w:p>
    <w:p w:rsidR="00E557B4" w:rsidRPr="00E557B4" w:rsidRDefault="00E557B4" w:rsidP="00E55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Finance (</w:t>
      </w:r>
      <w:proofErr w:type="spellStart"/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MoF</w:t>
      </w:r>
      <w:proofErr w:type="spellEnd"/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Model: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Indonesia’s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Director of Government Support). The </w:t>
      </w:r>
      <w:proofErr w:type="spell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MoF</w:t>
      </w:r>
      <w:proofErr w:type="spell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acts as the ultimate gatekeeper, prioritizing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fiscal discipline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and alignment with national budget priorities. However, this model often faces bureaucratic lag and slower disbursement speeds compared to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more independent structures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557B4" w:rsidRPr="00E557B4" w:rsidRDefault="00E557B4" w:rsidP="00E55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Board/Committee-Led Model: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(e.g., Philippines PPP Center). An independent governing board oversees both the fund (PDMF) and the central agency. This creates an 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integrated mandate, allowing for policy reform and technical preparation to move in tandem, balancing fiscal oversight with implementation speed.</w:t>
      </w:r>
    </w:p>
    <w:p w:rsidR="00E557B4" w:rsidRPr="00E557B4" w:rsidRDefault="00E557B4" w:rsidP="00E55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SOE/DFI-Led Model: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(e.g., Mexico’s FONADIN). Administered by a Development Finance Institution, this model prioritizes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responsiveness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and commercial agility. It leverages the DFI's balance sheet for speed but requires careful monitoring to manage "off-budget" fiscal risks.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 and Staffing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Success depends on core competencies that often reside outside traditional civil service structures. The PDF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must be staffed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with experts in:</w:t>
      </w:r>
    </w:p>
    <w:p w:rsidR="00E557B4" w:rsidRPr="00E557B4" w:rsidRDefault="00E557B4" w:rsidP="00E55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PPP Policy &amp; Contract Structures: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Formulation of risk-allocation matrices.</w:t>
      </w:r>
    </w:p>
    <w:p w:rsidR="00E557B4" w:rsidRPr="00E557B4" w:rsidRDefault="00E557B4" w:rsidP="00E55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Advisory: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Management of complex procurements for technical and legal specialists.</w:t>
      </w:r>
    </w:p>
    <w:p w:rsidR="00E557B4" w:rsidRPr="00E557B4" w:rsidRDefault="00E557B4" w:rsidP="00E55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Market </w:t>
      </w:r>
      <w:proofErr w:type="gramStart"/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Sounding: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engage with private investors to test project bankability.</w:t>
      </w:r>
    </w:p>
    <w:p w:rsidR="00E557B4" w:rsidRPr="00E557B4" w:rsidRDefault="00E557B4" w:rsidP="00E55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Compliance: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of national and sub-national infrastructure laws.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Financial Sustainability: The Revolving Fund and Cost Recovery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To insulate project preparation from erratic annual budgetary cycles, a PDF must strive for long-term financial sustainability through a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Revolving Fund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mechanism. Under this model, the costs of hiring transaction advisors and conducting feasibility studies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are recovered from the successful private bidder upon financial close and re-injected into the PDF to finance the next project generation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However, a "Senior Architect’s warning" is necessary: success rates for financial close are often lower in a fund's infancy, meaning cost recovery is rarely sufficient to cover early operations.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of Funding for PDFs:</w:t>
      </w:r>
    </w:p>
    <w:p w:rsidR="00E557B4" w:rsidRPr="00E557B4" w:rsidRDefault="00E557B4" w:rsidP="00E55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 Budgetary Allocation: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Vital "seed capital" and committed support for the first 5–10 years to ensure institutional stability.</w:t>
      </w:r>
    </w:p>
    <w:p w:rsidR="00E557B4" w:rsidRPr="00E557B4" w:rsidRDefault="00E557B4" w:rsidP="00E55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MDB and Donor Contributions: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Technical assistance from the World Bank (Kenya) or ADB (Philippines) is crucial for initial operational capacity.</w:t>
      </w:r>
    </w:p>
    <w:p w:rsidR="00E557B4" w:rsidRPr="00E557B4" w:rsidRDefault="00E557B4" w:rsidP="00E55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Recovery: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Success fees and shared preparation costs from GCAs.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By linking sustainability to the integrity of the selection process, the PDF ensures it only supports projects with a high probability of reaching the market, thereby securing its own financial future.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Governance Protocols: Conflicts of Interest and Transparency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Transparency is not merely an ethical requirement;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it is a market-signaling tool that builds investor confidence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. A PDF must resolve the inherent tension between the drive for "speed of completion" and the necessity of "quality of preparation."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of Interest Protocols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 primary risk is the participation of entities in both preparation and downstream implementation. Conflicts also arise if PDF management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is entrusted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to entities involved in project financing. To mitigate this, strict boundaries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must be enforced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between the advisors who structure the deal and the partners who bid on it.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Checks and Balances Checklist:</w:t>
      </w:r>
    </w:p>
    <w:p w:rsidR="00E557B4" w:rsidRPr="00E557B4" w:rsidRDefault="00E557B4" w:rsidP="00E55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Multi-Stage Appraisals: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Systematic reviews by outside panels to ensure feasibility rigor.</w:t>
      </w:r>
    </w:p>
    <w:p w:rsidR="00E557B4" w:rsidRPr="00E557B4" w:rsidRDefault="00E557B4" w:rsidP="00E55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Pre-qualified Panels of Consultants: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Using panels (as seen in the Philippines) significantly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reduces procurement timelines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while ensuring high-quality, standardized outputs.</w:t>
      </w:r>
    </w:p>
    <w:p w:rsidR="00E557B4" w:rsidRPr="00E557B4" w:rsidRDefault="00E557B4" w:rsidP="00E55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 Disclosure Portals: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Utilizing repositories like the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Kenya PPP Disclosure Portal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to share non-confidential literature and project rankings.</w:t>
      </w:r>
    </w:p>
    <w:p w:rsidR="00E557B4" w:rsidRPr="00E557B4" w:rsidRDefault="00E557B4" w:rsidP="00E55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Downstream Restrictions: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prohibiting firms involved in the preparation/feasibility phase from participating in the construction or operation of that specific project.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Scaling through Allied Mechanisms and Sub-National Support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 PDF cannot function in a vacuum; it requires a conducive policy environment and allied mechanisms to manage long-term fiscal impacts.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Allied Mechanisms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For a pipeline to remain stable, the PDF must integrate with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Viability Gap Funding (VGF)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socially essential but commercially marginal projects, and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Fiscal Commitment and Contingent Liabilities (FCCL)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frameworks to manage long-term risks assumed by the state.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Sub-National </w:t>
      </w:r>
      <w:proofErr w:type="gramStart"/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Framework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As infrastructure responsibility shifts to local authorities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support must be institutionalized through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557B4" w:rsidRPr="00E557B4" w:rsidRDefault="00E557B4" w:rsidP="00E557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Interventions: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Programs like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Mexico’s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PROTRAM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, which uses federal toll road revenues to fund local mass transit studies.</w:t>
      </w:r>
    </w:p>
    <w:p w:rsidR="00E557B4" w:rsidRPr="00E557B4" w:rsidRDefault="00E557B4" w:rsidP="00E557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Sub-National Interventions: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State-level funds like India’s PDGF (Tamil Nadu).</w:t>
      </w:r>
    </w:p>
    <w:p w:rsidR="00E557B4" w:rsidRPr="00E557B4" w:rsidRDefault="00E557B4" w:rsidP="00E557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Allocation: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Governments should adopt the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FNDR model (Chile)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, which uses objective criteria—such as the "RATE" score or "Socially Recommended" (RS) status—to allocate preparation funds to local governments, ensuring resources go to projects with the highest socioeconomic return.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Upstream-Downstream Integration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Strategic engagement with global facilities accelerates capacity creation. An expert approach involves using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PPIAF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(World Bank) to "fix the laws" and enabling environment upstream, before utilizing the national PDF and the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Infrastructure Facility (GIF)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to "fix the projects" downstream. This integrated approach creates a stable, predictable, and transparent investment environment capable of transforming national infrastructure goals into reality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.#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Institutional Implementation Framework: Establishing a National Project Development Fund (PDF)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Strategic Rationale: The Economics of Project Preparation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The establishment of a National Project Development Fund (PDF) is a strategic imperative for governments seeking to bridge the persistent gap between infrastructure conceptualization and the realization of bankable, investment-ready assets. Infrastructure projects are not born procurement-ready; they require intensive, high-cost preparation to navigate from identified need to financial close. Without dedicated, ring-fenced resources, Government Contracting Agencies (GCAs) often lack the specialized expertise and commercial agility required to attract private capital. A PDF serves as the institutional conduit, transforming theoretical projects into structured opportunities that meet the rigorous risk-allocation requirements of international investors and lenders.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The cost of this preparation phase is significant and scales with market complexity. For emerging and frontier markets, these costs represent a higher percentage of total investment due to thinner local capacity and the need for more intensive upstream de-risking.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Preparation Cost Benchmarks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2110"/>
        <w:gridCol w:w="2931"/>
      </w:tblGrid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Developed Markets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Emerging/Frontier Markets</w:t>
            </w:r>
          </w:p>
        </w:tc>
      </w:tr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Global Infrastructure Basel (2014)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10%</w:t>
            </w:r>
          </w:p>
        </w:tc>
      </w:tr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United Nations (2011)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 (Early stage)</w:t>
            </w:r>
          </w:p>
        </w:tc>
      </w:tr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Global Green Growth Institute (2015)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5–10%</w:t>
            </w:r>
          </w:p>
        </w:tc>
      </w:tr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World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3–5% (Developed)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10–12% (Emerging)</w:t>
            </w:r>
          </w:p>
        </w:tc>
      </w:tr>
      <w:tr w:rsidR="00E557B4" w:rsidRPr="00E557B4" w:rsidTr="00E557B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InfraCo</w:t>
            </w:r>
            <w:proofErr w:type="spellEnd"/>
            <w:r w:rsidRPr="00E557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57B4" w:rsidRPr="00E557B4" w:rsidRDefault="00E557B4" w:rsidP="00E55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57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 (Small-scale energy)</w:t>
            </w:r>
          </w:p>
        </w:tc>
      </w:tr>
    </w:tbl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Modern project preparation has transitioned from a narrow "asset creation" focus to a "lifecycle approach." This evolution is a financial necessity; identifying technical, social, environmental, and economic risks early is the only way to prevent cost overruns and operational failures during a project’s 20-30 year operation phase. Furthermore, rigorous multi-disciplinary appraisal—addressing environmental and social governance (ESG)—is no longer a "box-ticking" exercise but a prerequisite to prevent deal-blockage by lenders later in the cycle. To ensure these expenditures translate into results, governments should adopt models like the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 Budget Facility for Infrastructure (BFI)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. By using traceable line items within the national budget, the BFI allows for the granular tracking of preparation ROI, establishing a baseline for expenditure that prevents the common "procurement-ready failures" of uncoordinated spending.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Strategic Design Considerations and Scope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 PDF’s effectiveness depends on clearly defined boundaries to prevent mission creep and ensure maximum value for money. A fund that attempts to support all projects regardless of scale or sector risks diluting its impact and exhausting its capital on unviable concepts.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Sectoral and Thematic Focus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In the initial years of operation, governments should direct financing toward high-priority sectors or projects exceeding a threshold investment scale to create "demonstration effects." This proves the market’s viability to private investors. For example,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Mexico’s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FONADIN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PROTRAM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scaled mass transit and toll road programs by utilizing sector-specific facilities that focused technical excellence on a narrow, high-impact pipeline.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of Support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The framework must provide flexibility across the project development spectrum, distinguishing between specific stages of readiness:</w:t>
      </w:r>
    </w:p>
    <w:p w:rsidR="00E557B4" w:rsidRPr="00E557B4" w:rsidRDefault="00E557B4" w:rsidP="00E557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Early-Stage (Upstream):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Outline Business Cases (OBCs), pre-feasibility studies, and enabling policy work.</w:t>
      </w:r>
    </w:p>
    <w:p w:rsidR="00E557B4" w:rsidRPr="00E557B4" w:rsidRDefault="00E557B4" w:rsidP="00E557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Mid-to-Late Stage (Downstream):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Detailed feasibility, Public-Private Partnership (PPP) transaction advisory, legal/financial structuring, and contract documentation.</w:t>
      </w:r>
    </w:p>
    <w:p w:rsidR="00E557B4" w:rsidRPr="00E557B4" w:rsidRDefault="00E557B4" w:rsidP="00E557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Post-Award: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Engagement of independent consultants to monitor implementation and ensure outcome specifications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are delivered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Voluntary vs. Compulsory Engagement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While PDF engagement is typically voluntary, governments can utilize "budgetary nudges" to institutionalize rigor. By making compliance with PDF-level standards and multi-stage reviews a mandatory condition for access to subsequent capital budgets, GCAs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are incentivized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to adopt the PDF route. This ensures that only projects subjected to professionalized gatekeeping receive public funding, thereby safeguarding fiscal resources.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Institutional Governance and Administrative Models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Agility is the hallmark of a successful PDF. Institutionalizing an "arm’s length" separation between fund administration and project execution allows the PDF to act as a corporatized entity, responsive to market timelines while maintaining strict gatekeeping standards.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Three primary institutional models define international best practices:</w:t>
      </w:r>
    </w:p>
    <w:p w:rsidR="00E557B4" w:rsidRPr="00E557B4" w:rsidRDefault="00E557B4" w:rsidP="00E557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Finance (</w:t>
      </w:r>
      <w:proofErr w:type="spellStart"/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MoF</w:t>
      </w:r>
      <w:proofErr w:type="spellEnd"/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Model: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Indonesia’s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Director of Government Support). The </w:t>
      </w:r>
      <w:proofErr w:type="spell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MoF</w:t>
      </w:r>
      <w:proofErr w:type="spell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acts as the ultimate gatekeeper, prioritizing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fiscal discipline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and alignment with national budget priorities. However, this model often faces bureaucratic lag and slower disbursement speeds compared to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more independent structures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557B4" w:rsidRPr="00E557B4" w:rsidRDefault="00E557B4" w:rsidP="00E557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Board/Committee-Led Model: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(e.g., Philippines PPP Center). An independent governing board oversees both the fund (PDMF) and the central agency. This creates an 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integrated mandate, allowing for policy reform and technical preparation to move in tandem, balancing fiscal oversight with implementation speed.</w:t>
      </w:r>
    </w:p>
    <w:p w:rsidR="00E557B4" w:rsidRPr="00E557B4" w:rsidRDefault="00E557B4" w:rsidP="00E557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SOE/DFI-Led Model: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(e.g., Mexico’s FONADIN). Administered by a Development Finance Institution, this model prioritizes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responsiveness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and commercial agility. It leverages the DFI's balance sheet for speed but requires careful monitoring to manage "off-budget" fiscal risks.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 and Staffing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Success depends on core competencies that often reside outside traditional civil service structures. The PDF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must be staffed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with experts in:</w:t>
      </w:r>
    </w:p>
    <w:p w:rsidR="00E557B4" w:rsidRPr="00E557B4" w:rsidRDefault="00E557B4" w:rsidP="00E557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PPP Policy &amp; Contract Structures: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Formulation of risk-allocation matrices.</w:t>
      </w:r>
    </w:p>
    <w:p w:rsidR="00E557B4" w:rsidRPr="00E557B4" w:rsidRDefault="00E557B4" w:rsidP="00E557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Advisory: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Management of complex procurements for technical and legal specialists.</w:t>
      </w:r>
    </w:p>
    <w:p w:rsidR="00E557B4" w:rsidRPr="00E557B4" w:rsidRDefault="00E557B4" w:rsidP="00E557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Market </w:t>
      </w:r>
      <w:proofErr w:type="gramStart"/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Sounding: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engage with private investors to test project bankability.</w:t>
      </w:r>
    </w:p>
    <w:p w:rsidR="00E557B4" w:rsidRPr="00E557B4" w:rsidRDefault="00E557B4" w:rsidP="00E557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Compliance: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of national and sub-national infrastructure laws.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Financial Sustainability: The Revolving Fund and Cost Recovery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To insulate project preparation from erratic annual budgetary cycles, a PDF must strive for long-term financial sustainability through a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Revolving Fund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mechanism. Under this model, the costs of hiring transaction advisors and conducting feasibility studies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are recovered from the successful private bidder upon financial close and re-injected into the PDF to finance the next project generation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However, a "Senior Architect’s warning" is necessary: success rates for financial close are often lower in a fund's infancy, meaning cost recovery is rarely sufficient to cover early operations.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of Funding for PDFs:</w:t>
      </w:r>
    </w:p>
    <w:p w:rsidR="00E557B4" w:rsidRPr="00E557B4" w:rsidRDefault="00E557B4" w:rsidP="00E557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 Budgetary Allocation: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Vital "seed capital" and committed support for the first 5–10 years to ensure institutional stability.</w:t>
      </w:r>
    </w:p>
    <w:p w:rsidR="00E557B4" w:rsidRPr="00E557B4" w:rsidRDefault="00E557B4" w:rsidP="00E557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MDB and Donor Contributions: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Technical assistance from the World Bank (Kenya) or ADB (Philippines) is crucial for initial operational capacity.</w:t>
      </w:r>
    </w:p>
    <w:p w:rsidR="00E557B4" w:rsidRPr="00E557B4" w:rsidRDefault="00E557B4" w:rsidP="00E557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Recovery: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Success fees and shared preparation costs from GCAs.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By linking sustainability to the integrity of the selection process, the PDF ensures it only supports projects with a high probability of reaching the market, thereby securing its own financial future.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Governance Protocols: Conflicts of Interest and Transparency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Transparency is not merely an ethical requirement;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it is a market-signaling tool that builds investor confidence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. A PDF must resolve the inherent tension between the drive for "speed of completion" and the necessity of "quality of preparation."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of Interest Protocols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 primary risk is the participation of entities in both preparation and downstream implementation. Conflicts also arise if PDF management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is entrusted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to entities involved in project financing. To mitigate this, strict boundaries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must be enforced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between the advisors who structure the deal and the partners who bid on it.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Checks and Balances Checklist:</w:t>
      </w:r>
    </w:p>
    <w:p w:rsidR="00E557B4" w:rsidRPr="00E557B4" w:rsidRDefault="00E557B4" w:rsidP="00E557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Multi-Stage Appraisals: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Systematic reviews by outside panels to ensure feasibility rigor.</w:t>
      </w:r>
    </w:p>
    <w:p w:rsidR="00E557B4" w:rsidRPr="00E557B4" w:rsidRDefault="00E557B4" w:rsidP="00E557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Pre-qualified Panels of Consultants: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Using panels (as seen in the Philippines) significantly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reduces procurement timelines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while ensuring high-quality, standardized outputs.</w:t>
      </w:r>
    </w:p>
    <w:p w:rsidR="00E557B4" w:rsidRPr="00E557B4" w:rsidRDefault="00E557B4" w:rsidP="00E557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 Disclosure Portals: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Utilizing repositories like the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Kenya PPP Disclosure Portal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to share non-confidential literature and project rankings.</w:t>
      </w:r>
    </w:p>
    <w:p w:rsidR="00E557B4" w:rsidRPr="00E557B4" w:rsidRDefault="00E557B4" w:rsidP="00E557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Downstream Restrictions: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prohibiting firms involved in the preparation/feasibility phase from participating in the construction or operation of that specific project.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E557B4" w:rsidRPr="00E557B4" w:rsidRDefault="00E557B4" w:rsidP="00E5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Scaling through Allied Mechanisms and Sub-National Support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A PDF cannot function in a vacuum; it requires a conducive policy environment and allied mechanisms to manage long-term fiscal impacts.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Allied Mechanisms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For a pipeline to remain stable, the PDF must integrate with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Viability Gap Funding (VGF)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socially essential but commercially marginal projects, and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Fiscal Commitment and Contingent Liabilities (FCCL)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frameworks to manage long-term risks assumed by the state.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Sub-National </w:t>
      </w:r>
      <w:proofErr w:type="gramStart"/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Framework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As infrastructure responsibility shifts to local authorities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support must be institutionalized through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557B4" w:rsidRPr="00E557B4" w:rsidRDefault="00E557B4" w:rsidP="00E557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Interventions: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Programs like </w:t>
      </w:r>
      <w:proofErr w:type="gramStart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>Mexico’s</w:t>
      </w:r>
      <w:proofErr w:type="gramEnd"/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PROTRAM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, which uses federal toll road revenues to fund local mass transit studies.</w:t>
      </w:r>
    </w:p>
    <w:p w:rsidR="00E557B4" w:rsidRPr="00E557B4" w:rsidRDefault="00E557B4" w:rsidP="00E557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Sub-National Interventions: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State-level funds like India’s PDGF (Tamil Nadu).</w:t>
      </w:r>
    </w:p>
    <w:p w:rsidR="00E557B4" w:rsidRPr="00E557B4" w:rsidRDefault="00E557B4" w:rsidP="00E557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Allocation: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Governments should adopt the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FNDR model (Chile)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>, which uses objective criteria—such as the "RATE" score or "Socially Recommended" (RS) status—to allocate preparation funds to local governments, ensuring resources go to projects with the highest socioeconomic return.</w:t>
      </w:r>
    </w:p>
    <w:p w:rsidR="00E557B4" w:rsidRPr="00E557B4" w:rsidRDefault="00E557B4" w:rsidP="00E5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Upstream-Downstream Integration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Strategic engagement with global facilities accelerates capacity creation. An expert approach involves using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PPIAF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(World Bank) to "fix the laws" and enabling environment upstream, before utilizing the national PDF and the </w:t>
      </w:r>
      <w:r w:rsidRPr="00E55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Infrastructure Facility (GIF)</w:t>
      </w:r>
      <w:r w:rsidRPr="00E557B4">
        <w:rPr>
          <w:rFonts w:ascii="Times New Roman" w:eastAsia="Times New Roman" w:hAnsi="Times New Roman" w:cs="Times New Roman"/>
          <w:kern w:val="0"/>
          <w14:ligatures w14:val="none"/>
        </w:rPr>
        <w:t xml:space="preserve"> to "fix the projects" downstream. This integrated approach creates a stable, predictable, and transparent investment environment capable of transforming national infrastructure goals into reality.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3E5C"/>
    <w:multiLevelType w:val="multilevel"/>
    <w:tmpl w:val="0AA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128C"/>
    <w:multiLevelType w:val="multilevel"/>
    <w:tmpl w:val="5BFC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D696E"/>
    <w:multiLevelType w:val="multilevel"/>
    <w:tmpl w:val="DCA06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0383D"/>
    <w:multiLevelType w:val="multilevel"/>
    <w:tmpl w:val="8C4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E2A14"/>
    <w:multiLevelType w:val="multilevel"/>
    <w:tmpl w:val="DD9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707EE"/>
    <w:multiLevelType w:val="multilevel"/>
    <w:tmpl w:val="EBA8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86A3A"/>
    <w:multiLevelType w:val="multilevel"/>
    <w:tmpl w:val="EEFC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52B48"/>
    <w:multiLevelType w:val="multilevel"/>
    <w:tmpl w:val="44F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6199A"/>
    <w:multiLevelType w:val="multilevel"/>
    <w:tmpl w:val="CCB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56440"/>
    <w:multiLevelType w:val="multilevel"/>
    <w:tmpl w:val="89FA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3C0C7D"/>
    <w:multiLevelType w:val="multilevel"/>
    <w:tmpl w:val="9B8C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F4D54"/>
    <w:multiLevelType w:val="multilevel"/>
    <w:tmpl w:val="A7E4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10"/>
  </w:num>
  <w:num w:numId="5">
    <w:abstractNumId w:val="11"/>
  </w:num>
  <w:num w:numId="6">
    <w:abstractNumId w:val="8"/>
  </w:num>
  <w:num w:numId="7">
    <w:abstractNumId w:val="5"/>
  </w:num>
  <w:num w:numId="8">
    <w:abstractNumId w:val="2"/>
  </w:num>
  <w:num w:numId="9">
    <w:abstractNumId w:val="0"/>
  </w:num>
  <w:num w:numId="10">
    <w:abstractNumId w:val="9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7B4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E557B4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2E79EF-4A83-4F67-A703-0FDDB6361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57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557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557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557B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557B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557B4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5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8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3174</Words>
  <Characters>18094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2026-02-24T15:23:00Z</dcterms:created>
  <dcterms:modified xsi:type="dcterms:W3CDTF">2026-02-24T15:23:00Z</dcterms:modified>
</cp:coreProperties>
</file>