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129" w:rsidRPr="000D6129" w:rsidRDefault="000D6129" w:rsidP="000D6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The implementation of the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(Modern Ethiopian Systems for Organized Benefit)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one-stop service infrastructure in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is a strategic priority designed to fulfill the federal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Ethiopia 2030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mandate. This model transitions the city from fragmented, paper-based administration to a unified digital and physical gateway.</w:t>
      </w:r>
    </w:p>
    <w:p w:rsidR="000D6129" w:rsidRPr="000D6129" w:rsidRDefault="000D6129" w:rsidP="000D6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Drawing on technical contracts with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telecom and the implementation models of Addis Ababa,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Adama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, and Dire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Dawa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, the detailed plan for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is as follows:</w:t>
      </w:r>
    </w:p>
    <w:p w:rsidR="000D6129" w:rsidRPr="000D6129" w:rsidRDefault="000D6129" w:rsidP="000D6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Core Technology Components (The "Engine")</w:t>
      </w:r>
    </w:p>
    <w:p w:rsidR="000D6129" w:rsidRPr="000D6129" w:rsidRDefault="000D6129" w:rsidP="000D6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To implement federal demands,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must deploy a "Digital Public Infrastructure" (DPI) stack that ensures all systems are interoperable.</w:t>
      </w:r>
    </w:p>
    <w:p w:rsidR="000D6129" w:rsidRPr="000D6129" w:rsidRDefault="000D6129" w:rsidP="000D6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National Digital ID: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This serves as the primary authentication backbone. Every citizen interaction within the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MESOB center </w:t>
      </w:r>
      <w:proofErr w:type="gram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must be anchored</w:t>
      </w:r>
      <w:proofErr w:type="gram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Fayda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to ensure a "single source of truth".</w:t>
      </w:r>
    </w:p>
    <w:p w:rsidR="000D6129" w:rsidRPr="000D6129" w:rsidRDefault="000D6129" w:rsidP="000D6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Bridge API Gateway: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A locally developed aggregator that connects disparate departmental databases (e.g., Land vs. Revenue) to exchange data in real-time, eliminating the need for citizens to resubmit documents.</w:t>
      </w:r>
    </w:p>
    <w:p w:rsidR="000D6129" w:rsidRPr="000D6129" w:rsidRDefault="000D6129" w:rsidP="000D6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-Connect Data Exchange: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A secure platform enabling whole-of-government data sharing, which is critical for complex services like property transfers or investment facilitation.</w:t>
      </w:r>
    </w:p>
    <w:p w:rsidR="000D6129" w:rsidRPr="000D6129" w:rsidRDefault="000D6129" w:rsidP="000D6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Payment Layer: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Fully integrated with </w:t>
      </w: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TeleBirr</w:t>
      </w:r>
      <w:proofErr w:type="spellEnd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CBEBirr</w:t>
      </w:r>
      <w:proofErr w:type="spellEnd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and </w:t>
      </w: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EthioSwitch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, allowing for real-time settlement of taxes and service fees.</w:t>
      </w:r>
    </w:p>
    <w:p w:rsidR="000D6129" w:rsidRPr="000D6129" w:rsidRDefault="000D6129" w:rsidP="000D6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Cloud Infrastructure: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Leveraging </w:t>
      </w: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telecom cloud servers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for data storage and virtual access, ensuring high availability and scalability for city services.</w:t>
      </w:r>
    </w:p>
    <w:p w:rsidR="000D6129" w:rsidRPr="000D6129" w:rsidRDefault="000D6129" w:rsidP="000D6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Infrastructure Plan (The "Backbone")</w:t>
      </w:r>
    </w:p>
    <w:p w:rsidR="000D6129" w:rsidRPr="000D6129" w:rsidRDefault="000D6129" w:rsidP="000D6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Following the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Addis Ababa and </w:t>
      </w: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Adama</w:t>
      </w:r>
      <w:proofErr w:type="spellEnd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models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infrastructure must prioritize high-speed bureau interconnectivity and modular data solutions.</w:t>
      </w:r>
    </w:p>
    <w:p w:rsidR="000D6129" w:rsidRPr="000D6129" w:rsidRDefault="000D6129" w:rsidP="000D6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Networking and Connectivity: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of a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wide area network (SD-WAN)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to interconnect all sub-city offices and bureaus with a central data center.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requires high-bandwidth optical services ranging from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1GB to 100GB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to handle mission-critical real-time services.</w:t>
      </w:r>
    </w:p>
    <w:p w:rsidR="000D6129" w:rsidRPr="000D6129" w:rsidRDefault="000D6129" w:rsidP="000D6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"Mini" Data Centers: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Installation of cabinet solutions (e.g.,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Fusionmodule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500) that include built-in UPS, cooling, and power distribution to ensure 24/7 system uptime.</w:t>
      </w:r>
    </w:p>
    <w:p w:rsidR="000D6129" w:rsidRPr="000D6129" w:rsidRDefault="000D6129" w:rsidP="000D6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"One Window" Service Hall: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6129" w:rsidRPr="000D6129" w:rsidRDefault="000D6129" w:rsidP="000D61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Queue Management: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Hardware and software to automate citizen flow, including ticket dispensers and customer satisfaction terminals.</w:t>
      </w:r>
    </w:p>
    <w:p w:rsidR="000D6129" w:rsidRPr="000D6129" w:rsidRDefault="000D6129" w:rsidP="000D61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Displays: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Large-scale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LED video walls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(up to 14.75 </w:t>
      </w:r>
      <w:r w:rsidRPr="000D6129">
        <w:rPr>
          <w:rFonts w:ascii="Segoe UI Symbol" w:eastAsia="Segoe UI Symbol" w:hAnsi="Segoe UI Symbol" w:cs="Segoe UI Symbol" w:hint="eastAsia"/>
          <w:kern w:val="0"/>
          <w14:ligatures w14:val="none"/>
        </w:rPr>
        <w:t>㎡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>) and smart digital signage for public information.</w:t>
      </w:r>
    </w:p>
    <w:p w:rsidR="000D6129" w:rsidRPr="000D6129" w:rsidRDefault="000D6129" w:rsidP="000D61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Control: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Biometric terminals for fingerprint and facial recognition to manage staff attendance and secure area access.</w:t>
      </w:r>
    </w:p>
    <w:p w:rsidR="000D6129" w:rsidRPr="000D6129" w:rsidRDefault="000D6129" w:rsidP="000D6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5G and </w:t>
      </w: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IoT</w:t>
      </w:r>
      <w:proofErr w:type="spellEnd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Deployment: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Drawing on the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Dire </w:t>
      </w: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Dawa</w:t>
      </w:r>
      <w:proofErr w:type="spellEnd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experience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should rollout 5G in priority zones like the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Industrial Village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and lakeside tourism hubs to support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IoT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-enabled environmental monitoring and smart traffic management.</w:t>
      </w:r>
    </w:p>
    <w:p w:rsidR="000D6129" w:rsidRPr="000D6129" w:rsidRDefault="000D6129" w:rsidP="000D6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Action Plan (24-Month Roadmap)</w:t>
      </w:r>
    </w:p>
    <w:p w:rsidR="000D6129" w:rsidRPr="000D6129" w:rsidRDefault="000D6129" w:rsidP="000D6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A realistic roadmap for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avoids "big bang" risks by focusing on phased results.</w:t>
      </w:r>
    </w:p>
    <w:p w:rsidR="000D6129" w:rsidRPr="000D6129" w:rsidRDefault="000D6129" w:rsidP="000D6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I: Foundation &amp; Quick Wins (Months 1–9):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6129" w:rsidRPr="000D6129" w:rsidRDefault="000D6129" w:rsidP="000D61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Establishment of the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Management Office (TMO)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to coordinate between federal and regional institutions [Conversation history].</w:t>
      </w:r>
    </w:p>
    <w:p w:rsidR="000D6129" w:rsidRPr="000D6129" w:rsidRDefault="000D6129" w:rsidP="000D61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Launch of high-priority e-services: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Business License Renewal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Collection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(determining employment tax for private/NGO employees).</w:t>
      </w:r>
    </w:p>
    <w:p w:rsidR="000D6129" w:rsidRPr="000D6129" w:rsidRDefault="000D6129" w:rsidP="000D6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II: Deep Integration (Months 10–20):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6129" w:rsidRPr="000D6129" w:rsidRDefault="000D6129" w:rsidP="000D61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Operationalization of the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Cadaster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and Land Management system to eliminate land fraud, which is a top priority for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D6129" w:rsidRPr="000D6129" w:rsidRDefault="000D6129" w:rsidP="000D61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of the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Inter-City Bus Hub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with QR-based digital ticketing and seat selection.</w:t>
      </w:r>
    </w:p>
    <w:p w:rsidR="000D6129" w:rsidRPr="000D6129" w:rsidRDefault="000D6129" w:rsidP="000D61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III: Data-Driven Governance (Months 21–24):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D6129" w:rsidRPr="000D6129" w:rsidRDefault="000D6129" w:rsidP="000D61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Launch of the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City Executive Dashboard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>, allowing city leadership to monitor KPIs such as revenue anomalies and service wait times in real-time.</w:t>
      </w:r>
    </w:p>
    <w:p w:rsidR="000D6129" w:rsidRPr="000D6129" w:rsidRDefault="000D6129" w:rsidP="000D61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Transition to a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24-hour, three-shift schedule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for the main MESOB center to maximize accessibility.</w:t>
      </w:r>
    </w:p>
    <w:p w:rsidR="000D6129" w:rsidRPr="000D6129" w:rsidRDefault="000D6129" w:rsidP="000D61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Lessons Tailored for </w:t>
      </w: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Administration</w:t>
      </w:r>
    </w:p>
    <w:p w:rsidR="000D6129" w:rsidRPr="000D6129" w:rsidRDefault="000D6129" w:rsidP="000D6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From </w:t>
      </w:r>
      <w:proofErr w:type="spellStart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Adama</w:t>
      </w:r>
      <w:proofErr w:type="spellEnd"/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should avoid hardware-only focus. Instead, it should prioritize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settling all service payments via digital systems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from Day One to increase transparency and financial health.</w:t>
      </w:r>
    </w:p>
    <w:p w:rsidR="000D6129" w:rsidRPr="000D6129" w:rsidRDefault="000D6129" w:rsidP="000D6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Addis Ababa: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To prevent institutional inertia,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should adopt the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"Aggregator" model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>, where MESOB hosts services but individual bureaus maintain their mandate control.</w:t>
      </w:r>
    </w:p>
    <w:p w:rsidR="000D6129" w:rsidRPr="000D6129" w:rsidRDefault="000D6129" w:rsidP="000D61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Sustainability &amp; Budget: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Research indicates </w:t>
      </w:r>
      <w:proofErr w:type="spellStart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public offices often struggle with budget utilization due to weak IT application. To counter this, the administration should implement a </w:t>
      </w:r>
      <w:r w:rsidRPr="000D61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digital service surcharge</w:t>
      </w:r>
      <w:r w:rsidRPr="000D6129">
        <w:rPr>
          <w:rFonts w:ascii="Times New Roman" w:eastAsia="Times New Roman" w:hAnsi="Times New Roman" w:cs="Times New Roman"/>
          <w:kern w:val="0"/>
          <w14:ligatures w14:val="none"/>
        </w:rPr>
        <w:t xml:space="preserve"> on high-value commercial transactions to fund employee performance bonuses and continuous system maintenance.</w:t>
      </w:r>
    </w:p>
    <w:p w:rsidR="00865C70" w:rsidRDefault="00865C70">
      <w:r>
        <w:br w:type="page"/>
      </w:r>
    </w:p>
    <w:p w:rsidR="00865C70" w:rsidRPr="00865C70" w:rsidRDefault="00865C70" w:rsidP="00865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 implement its smart city and MESOB strategy, </w:t>
      </w:r>
      <w:proofErr w:type="spell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can utilize specialized funding mechanisms, address critical local budgetary determinants, and adopt the emerging national model for 24/7 service operations.</w:t>
      </w:r>
    </w:p>
    <w:p w:rsidR="00865C70" w:rsidRPr="00865C70" w:rsidRDefault="00865C70" w:rsidP="00865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Utilization of Project Development Funds (PDFs) for </w:t>
      </w:r>
      <w:proofErr w:type="spellStart"/>
      <w:r w:rsidRPr="00865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</w:p>
    <w:p w:rsidR="00865C70" w:rsidRPr="00865C70" w:rsidRDefault="00865C70" w:rsidP="00865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can utilize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Development Funds (PDFs)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as dedicated financing vehicles to bridge the "capacity gap" in preparing complex digital and physical infrastructure projects.</w:t>
      </w:r>
    </w:p>
    <w:p w:rsidR="00865C70" w:rsidRPr="00865C70" w:rsidRDefault="00865C70" w:rsidP="00865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Financing Preparatory Studies: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can use PDFs to hire external specialized expertise—such as consulting firms, legal experts, and academic institutions—to conduct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feasibility studies, outline business cases, and transaction advisory support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before projects reach the high-risk procurement stage.</w:t>
      </w:r>
    </w:p>
    <w:p w:rsidR="00865C70" w:rsidRPr="00865C70" w:rsidRDefault="00865C70" w:rsidP="00865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Revolving Fund Model: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could structure its PDF as a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revolving fund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where the costs of project preparation (especially for Public-Private Partnerships) </w:t>
      </w:r>
      <w:proofErr w:type="gram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are recovered</w:t>
      </w:r>
      <w:proofErr w:type="gram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from the winning private bidders.</w:t>
      </w:r>
    </w:p>
    <w:p w:rsidR="00865C70" w:rsidRPr="00865C70" w:rsidRDefault="00865C70" w:rsidP="00865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Sub-National Institutionalization: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can draw on models like Chile’s National Fund for Regional Development (FNDR) or India's Project Development Grant Funds, which provide grants specifically for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capacity building, training staff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>, and carrying out consultancy assignments for urban infrastructure.</w:t>
      </w:r>
    </w:p>
    <w:p w:rsidR="00865C70" w:rsidRPr="00865C70" w:rsidRDefault="00865C70" w:rsidP="00865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 Prioritization: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To achieve better "Value for Money," the administration should direct PDF financing toward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high-priority "Quick Win" sectors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(like land management or revenue) above a specific investment scale to create a demonstration effect for the rest of the city.</w:t>
      </w:r>
    </w:p>
    <w:p w:rsidR="00865C70" w:rsidRPr="00865C70" w:rsidRDefault="00865C70" w:rsidP="00865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Critical Budget Factors for </w:t>
      </w:r>
      <w:proofErr w:type="spellStart"/>
      <w:r w:rsidRPr="00865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Hawassa’s</w:t>
      </w:r>
      <w:proofErr w:type="spellEnd"/>
      <w:r w:rsidRPr="00865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Digital Delivery</w:t>
      </w:r>
    </w:p>
    <w:p w:rsidR="00865C70" w:rsidRPr="00865C70" w:rsidRDefault="00865C70" w:rsidP="00865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Research into the </w:t>
      </w:r>
      <w:proofErr w:type="spell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 reveals five specific budget-related factors that most significantly </w:t>
      </w:r>
      <w:proofErr w:type="gram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impact</w:t>
      </w:r>
      <w:proofErr w:type="gram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the success of service delivery. Improving these factors directly increases the probability of effective budget utilization:</w:t>
      </w:r>
    </w:p>
    <w:p w:rsidR="00865C70" w:rsidRPr="00865C70" w:rsidRDefault="00865C70" w:rsidP="00865C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 Competency: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most impactful variable; the probability of effective budget utilization increases by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20.77%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when public organizations have adequate, competent staff trained in modern financial and IT procedures.</w:t>
      </w:r>
    </w:p>
    <w:p w:rsidR="00865C70" w:rsidRPr="00865C70" w:rsidRDefault="00865C70" w:rsidP="00865C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 Involvement: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Actively involving departments and public representatives during the budgeting process increases the success probability by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18.37%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65C70" w:rsidRPr="00865C70" w:rsidRDefault="00865C70" w:rsidP="00865C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Technology Application: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Access to and usage of modern IT solutions increases budget effectiveness by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18.06%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and helps city offices remain competitive in service quality.</w:t>
      </w:r>
    </w:p>
    <w:p w:rsidR="00865C70" w:rsidRPr="00865C70" w:rsidRDefault="00865C70" w:rsidP="00865C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and Monitoring: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Proper internal audit and monitoring frameworks increase success by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17.49%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65C70" w:rsidRPr="00865C70" w:rsidRDefault="00865C70" w:rsidP="00865C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Law Compliance: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Strict adherence to financial rules and regulations increases the likelihood of success by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16.54%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65C70" w:rsidRPr="00865C70" w:rsidRDefault="00865C70" w:rsidP="00865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Currently, many public offices in </w:t>
      </w:r>
      <w:proofErr w:type="spell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fail to manage budgets effectively due to a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lack of skilled personnel, weak auditing, and limited IT application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65C70" w:rsidRPr="00865C70" w:rsidRDefault="00865C70" w:rsidP="00865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24/7 MESOB Staffing and Performance Incentives</w:t>
      </w:r>
    </w:p>
    <w:p w:rsidR="00865C70" w:rsidRPr="00865C70" w:rsidRDefault="00865C70" w:rsidP="00865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To meet the federal demand for modernized services, the MESOB model is transitioning toward a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24-hour, three-shift operational schedule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65C70" w:rsidRPr="00865C70" w:rsidRDefault="00865C70" w:rsidP="00865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Staffing Structure: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865C70" w:rsidRPr="00865C70" w:rsidRDefault="00865C70" w:rsidP="00865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A typical center is staffed by approximately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169 personnel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>, a mix of permanent staff and volunteers</w:t>
      </w:r>
      <w:proofErr w:type="gram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65C70" w:rsidRPr="00865C70" w:rsidRDefault="00865C70" w:rsidP="00865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As operations expand from the current 124 services, the workforce </w:t>
      </w:r>
      <w:proofErr w:type="gram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is expected</w:t>
      </w:r>
      <w:proofErr w:type="gram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double in size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65C70" w:rsidRPr="00865C70" w:rsidRDefault="00865C70" w:rsidP="00865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Staff </w:t>
      </w:r>
      <w:proofErr w:type="gram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are trained</w:t>
      </w:r>
      <w:proofErr w:type="gram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"Universal Service Agents"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with specialized training provided by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Ethiopian Airlines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to ensure a high standard of professional hospitality and efficiency.</w:t>
      </w:r>
    </w:p>
    <w:p w:rsidR="00865C70" w:rsidRPr="00865C70" w:rsidRDefault="00865C70" w:rsidP="00865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Incentives: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865C70" w:rsidRPr="00865C70" w:rsidRDefault="00865C70" w:rsidP="00865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Sustainability: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Incentives </w:t>
      </w:r>
      <w:proofErr w:type="gram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are funded</w:t>
      </w:r>
      <w:proofErr w:type="gram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by a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digital service surcharge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added to standard service rates.</w:t>
      </w:r>
    </w:p>
    <w:p w:rsidR="00865C70" w:rsidRPr="00865C70" w:rsidRDefault="00865C70" w:rsidP="00865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Bonuses: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The revenue from this surcharge </w:t>
      </w:r>
      <w:proofErr w:type="gram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is used</w:t>
      </w:r>
      <w:proofErr w:type="gram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to fund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performance-based bonuses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for employees.</w:t>
      </w:r>
    </w:p>
    <w:p w:rsidR="00865C70" w:rsidRPr="00865C70" w:rsidRDefault="00865C70" w:rsidP="00865C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Criteria: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Evaluation for these incentives </w:t>
      </w:r>
      <w:proofErr w:type="gram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is strictly based</w:t>
      </w:r>
      <w:proofErr w:type="gram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punctuality, service quality, and customer satisfaction scores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collected at digital terminals.</w:t>
      </w:r>
    </w:p>
    <w:p w:rsidR="00865C70" w:rsidRPr="00865C70" w:rsidRDefault="00865C70" w:rsidP="00865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Integration: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All staff interactions and service workflows </w:t>
      </w:r>
      <w:proofErr w:type="gramStart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>are anchored</w:t>
      </w:r>
      <w:proofErr w:type="gramEnd"/>
      <w:r w:rsidRPr="00865C70">
        <w:rPr>
          <w:rFonts w:ascii="Times New Roman" w:eastAsia="Times New Roman" w:hAnsi="Times New Roman" w:cs="Times New Roman"/>
          <w:kern w:val="0"/>
          <w14:ligatures w14:val="none"/>
        </w:rPr>
        <w:t xml:space="preserve"> by the </w:t>
      </w:r>
      <w:proofErr w:type="spellStart"/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865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National ID</w:t>
      </w:r>
      <w:r w:rsidRPr="00865C70">
        <w:rPr>
          <w:rFonts w:ascii="Times New Roman" w:eastAsia="Times New Roman" w:hAnsi="Times New Roman" w:cs="Times New Roman"/>
          <w:kern w:val="0"/>
          <w14:ligatures w14:val="none"/>
        </w:rPr>
        <w:t>, which serves as the "trust anchor" for both the citizen receiving the service and the agent providing it.</w:t>
      </w:r>
    </w:p>
    <w:p w:rsidR="00865C70" w:rsidRDefault="00865C70">
      <w:r>
        <w:br w:type="page"/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801354"/>
    <w:multiLevelType w:val="multilevel"/>
    <w:tmpl w:val="46FA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626C5"/>
    <w:multiLevelType w:val="multilevel"/>
    <w:tmpl w:val="FB10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A18F6"/>
    <w:multiLevelType w:val="multilevel"/>
    <w:tmpl w:val="95A0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49690B"/>
    <w:multiLevelType w:val="multilevel"/>
    <w:tmpl w:val="2830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5672C"/>
    <w:multiLevelType w:val="multilevel"/>
    <w:tmpl w:val="A90C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7135D"/>
    <w:multiLevelType w:val="multilevel"/>
    <w:tmpl w:val="33B4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7197D"/>
    <w:multiLevelType w:val="multilevel"/>
    <w:tmpl w:val="01B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129"/>
    <w:rsid w:val="000D6129"/>
    <w:rsid w:val="001E6C28"/>
    <w:rsid w:val="0038768C"/>
    <w:rsid w:val="00463297"/>
    <w:rsid w:val="004917BA"/>
    <w:rsid w:val="0074003F"/>
    <w:rsid w:val="007E3105"/>
    <w:rsid w:val="00865C70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5EDDF6-FC3A-46C9-A0F1-9F214C9A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61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D612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6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D61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6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1293</Words>
  <Characters>7373</Characters>
  <Application>Microsoft Office Word</Application>
  <DocSecurity>0</DocSecurity>
  <Lines>61</Lines>
  <Paragraphs>17</Paragraphs>
  <ScaleCrop>false</ScaleCrop>
  <Company/>
  <LinksUpToDate>false</LinksUpToDate>
  <CharactersWithSpaces>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2</cp:revision>
  <dcterms:created xsi:type="dcterms:W3CDTF">2026-02-24T15:56:00Z</dcterms:created>
  <dcterms:modified xsi:type="dcterms:W3CDTF">2026-02-24T15:59:00Z</dcterms:modified>
</cp:coreProperties>
</file>