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bookmarkStart w:id="0" w:name="_GoBack"/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DELIVERABLE 4</w:t>
      </w:r>
      <w:bookmarkEnd w:id="0"/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 THE CONSTRUCTIVE NEGOTIATION PLAYBOOK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To: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H.E. Mayor &amp; </w:t>
      </w: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Technical Steering Committee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Step-by-Step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Negotiation Script &amp; Counter-Proposal Strategy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Objective: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confidently guide the meeting with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Telecom, secure a right-sized Phase 1 infrastructure package, and eliminate up to 60% of unnecessary </w:t>
      </w:r>
      <w:proofErr w:type="spellStart"/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costs without damaging the strategic partnership.</w:t>
      </w:r>
    </w:p>
    <w:p w:rsidR="00363CC3" w:rsidRPr="00363CC3" w:rsidRDefault="00363CC3" w:rsidP="00363CC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363CC3" w:rsidRPr="00363CC3" w:rsidRDefault="00363CC3" w:rsidP="00363CC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EXECUTIVE NEGOTIATION POSTURE</w:t>
      </w:r>
    </w:p>
    <w:p w:rsidR="00363CC3" w:rsidRPr="00363CC3" w:rsidRDefault="00363CC3" w:rsidP="00363C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playbook </w:t>
      </w: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designed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give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the absolute high ground.</w:t>
      </w:r>
    </w:p>
    <w:p w:rsidR="00363CC3" w:rsidRPr="00363CC3" w:rsidRDefault="00363CC3" w:rsidP="00363C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Telecom’s team will likely arrive prepared to defend a highly technical "Turnkey Enterprise Solution." If you debate them purely on technology (e.g., "Why Wi-Fi 6 instead of Wi-Fi 5?"), they will use technical jargon to overwhelm the committee.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Our Strategy: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Do not debate the technology. Debate the </w:t>
      </w: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Compliance, the Audit Laws, and the Service Alignment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will shift the conversation from </w:t>
      </w: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"Is this good equipment?"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</w:t>
      </w: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"Is this legally justifiable for our specific Phase 1 launch of 47 services?"</w:t>
      </w:r>
    </w:p>
    <w:p w:rsidR="00363CC3" w:rsidRPr="00363CC3" w:rsidRDefault="00363CC3" w:rsidP="00363C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Below are the </w:t>
      </w: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core negotiation modules, complete with the exact scripts, justifications, and "trap" questions your team must use in the room.</w:t>
      </w:r>
    </w:p>
    <w:p w:rsidR="00363CC3" w:rsidRPr="00363CC3" w:rsidRDefault="00363CC3" w:rsidP="00363CC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363CC3" w:rsidRPr="00363CC3" w:rsidRDefault="00363CC3" w:rsidP="00363CC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MODULE 1: THE OPENING STANCE (Setting the Rules of Engagement)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This sets the tone immediately. The Mayor or Lead Negotiator should open the meeting with this exact framing to establish control.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 Script (To </w:t>
      </w:r>
      <w:proofErr w:type="gramStart"/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be read/spoken</w:t>
      </w:r>
      <w:proofErr w:type="gramEnd"/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at the opening):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"Thank you to the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 team for your continued partnership. You are our primary digital backbone. However, we have thoroughly reviewed the submitted 174 Million ETB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against our Phase 1 Operational Blueprint.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is not launching a massive, untested facility—we are launching exactly 47 targeted, web-based services.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&gt;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We have also reviewed your recent deployments in other regions, such as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. We learned a valuable lesson: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City will not use an ICT vendor as a General Contractor for civil works, passive metals, and office furniture. Today, our goal is to strip away the heavy enterprise excess and focus strictly on a lean, high-performance Phase 1 Core Network."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Why this works: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It immediately signals that (A) we know exactly what we are building (47 services), and (B) we have seen the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contracts and know their pricing template.</w:t>
      </w:r>
    </w:p>
    <w:p w:rsidR="00363CC3" w:rsidRPr="00363CC3" w:rsidRDefault="00363CC3" w:rsidP="00363CC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7" style="width:0;height:1.5pt" o:hralign="center" o:hrstd="t" o:hrnoshade="t" o:hr="t" fillcolor="gray" stroked="f"/>
        </w:pict>
      </w:r>
    </w:p>
    <w:p w:rsidR="00363CC3" w:rsidRPr="00363CC3" w:rsidRDefault="00363CC3" w:rsidP="00363CC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MODULE 2: DISMANTLING THE "TEMPLATE MARGINS" (Transparency Demand)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 has hidden nearly 31 Million ETB in vague "Installation" and "Accessories" lines. This </w:t>
      </w:r>
      <w:proofErr w:type="gram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must be challenged</w:t>
      </w:r>
      <w:proofErr w:type="gram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on legal/audit grounds, not technical grounds.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Issue:</w:t>
      </w:r>
    </w:p>
    <w:p w:rsidR="00363CC3" w:rsidRPr="00363CC3" w:rsidRDefault="00363CC3" w:rsidP="00363CC3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11.9M ETB for an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unitemized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"Accessories Package".</w:t>
      </w:r>
    </w:p>
    <w:p w:rsidR="00363CC3" w:rsidRPr="00363CC3" w:rsidRDefault="00363CC3" w:rsidP="00363CC3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19.7M ETB for "Installation and Commissioning" (while </w:t>
      </w: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double-billing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 LED installation).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Script: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"As a municipal government, we are bound by strict federal auditing laws. If I approve an 11.9 Million ETB blank line item for 'Accessories', the City Council and the Auditor General will immediately flag it as illegal margin padding.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&gt; </w:t>
      </w: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Furthermore, we see a 19.7 Million ETB installation fee, yet you are charging an additional 177,000 ETB separately for LED installation. We cannot pay double for labor."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Hard Demand:</w:t>
      </w:r>
    </w:p>
    <w:p w:rsidR="00363CC3" w:rsidRPr="00363CC3" w:rsidRDefault="00363CC3" w:rsidP="00363CC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"Within 48 hours, we require a line-by-line Bill of Materials (BoM) for the 11.9M ETB Accessories line. Every cable, screw, and mount </w:t>
      </w:r>
      <w:proofErr w:type="gram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must be priced</w:t>
      </w:r>
      <w:proofErr w:type="gram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. We also require a breakdown of the 19.7M ETB labor fee by </w:t>
      </w:r>
      <w:proofErr w:type="gram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man-hours</w:t>
      </w:r>
      <w:proofErr w:type="gram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and rate. If you cannot itemize it, we must legally remove it from the contract."</w:t>
      </w:r>
    </w:p>
    <w:p w:rsidR="00363CC3" w:rsidRPr="00363CC3" w:rsidRDefault="00363CC3" w:rsidP="00363CC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363CC3" w:rsidRPr="00363CC3" w:rsidRDefault="00363CC3" w:rsidP="00363CC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MODULE 3: THE "UNBUNDLING" DIRECTIVE (Extracting Commodities)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 makes massive margins by selling commodities (laptops, TVs, kiosks, furniture) under the guise of an "integrated network."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Issue:</w:t>
      </w:r>
    </w:p>
    <w:p w:rsidR="00363CC3" w:rsidRPr="00363CC3" w:rsidRDefault="00363CC3" w:rsidP="00363CC3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5.2M ETB per Ticket Kiosk (Massively inflated).</w:t>
      </w:r>
    </w:p>
    <w:p w:rsidR="00363CC3" w:rsidRPr="00363CC3" w:rsidRDefault="00363CC3" w:rsidP="00363CC3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234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 ETB per Core i7 Laptop (Over-engineered for web portals).</w:t>
      </w:r>
    </w:p>
    <w:p w:rsidR="00363CC3" w:rsidRPr="00363CC3" w:rsidRDefault="00363CC3" w:rsidP="00363CC3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85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 ETB per MDF Office Table (IT vendor acting as furniture broker).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Script: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 xml:space="preserve">"To ensure we stay within our Phase 1 budget,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City is officially unbundling the endpoints. The 47 services we are launching are entirely browser-based. We do not need 48 engineering-grade Core i7 laptops, nor do we need a 5.2 Million ETB kiosk running a basic i3 processor.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&gt; </w:t>
      </w: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We are extracting all laptops, standard 21-inch monitors, printers, and office furniture from this </w:t>
      </w:r>
      <w:proofErr w:type="spellStart"/>
      <w:proofErr w:type="gram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proofErr w:type="gram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. We will procure standard Core i3/i5 Small Form Factor desktops and standard furniture via our local municipal supply chain at a fraction of the cost."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Vendor’s Likely Rebuttal: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"If you use your own hardware, we cannot guarantee system stability or integration."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Trap Question to counter: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"Are you stating that your enterprise cloud and network cannot support standard API calls from a standard Dell or HP computer? If your system is that fragile, it is not an enterprise solution. As long as we use standard operating systems, your network SLA must hold."</w:t>
      </w:r>
    </w:p>
    <w:p w:rsidR="00363CC3" w:rsidRPr="00363CC3" w:rsidRDefault="00363CC3" w:rsidP="00363CC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9" style="width:0;height:1.5pt" o:hralign="center" o:hrstd="t" o:hrnoshade="t" o:hr="t" fillcolor="gray" stroked="f"/>
        </w:pict>
      </w:r>
    </w:p>
    <w:p w:rsidR="00363CC3" w:rsidRPr="00363CC3" w:rsidRDefault="00363CC3" w:rsidP="00363CC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MODULE 4: REJECTING REDUNDANCY &amp; VISUAL EXCESS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Cutting the heavy hardware that does not serve the immediate Phase 1 citizen experience.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Issue:</w:t>
      </w:r>
    </w:p>
    <w:p w:rsidR="00363CC3" w:rsidRPr="00363CC3" w:rsidRDefault="00363CC3" w:rsidP="00363CC3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11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 ETB for a 40KVA UPS.</w:t>
      </w:r>
    </w:p>
    <w:p w:rsidR="00363CC3" w:rsidRPr="00363CC3" w:rsidRDefault="00363CC3" w:rsidP="00363CC3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8.4M ETB for a "Situation Room" Video Wall (redundant to the 15.5M ETB LED Wall).</w:t>
      </w:r>
    </w:p>
    <w:p w:rsidR="00363CC3" w:rsidRPr="00363CC3" w:rsidRDefault="00363CC3" w:rsidP="00363CC3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2.1M ETB for Attendance Software (already provided by EAII/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University).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Script: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"We are applying a 'Minimum Viable Service' rule. The 8.4 Million ETB Situation Room Video Wall is a Phase 2 aesthetic luxury; we are striking it today. We will keep the central LED screen for public queuing. Regarding the </w:t>
      </w:r>
      <w:proofErr w:type="gram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40KVA</w:t>
      </w:r>
      <w:proofErr w:type="gram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UPS priced at 11 Million ETB—our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University engineers confirm this is roughly 400% above global market rates for Tier 1 brands like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Vertiv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or APC. We will source our power redundancy independently. Finally, we are removing the 2.1 Million ETB Attendance Software. The Ethiopian AI Institute (EAII) and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University's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GovTech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Lab are managing our software layer. We only need you for connectivity."</w:t>
      </w:r>
    </w:p>
    <w:p w:rsidR="00363CC3" w:rsidRPr="00363CC3" w:rsidRDefault="00363CC3" w:rsidP="00363CC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0" style="width:0;height:1.5pt" o:hralign="center" o:hrstd="t" o:hrnoshade="t" o:hr="t" fillcolor="gray" stroked="f"/>
        </w:pict>
      </w:r>
    </w:p>
    <w:p w:rsidR="00363CC3" w:rsidRPr="00363CC3" w:rsidRDefault="00363CC3" w:rsidP="00363CC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MODULE 5: THE TELEBIRR LEVERAGE (The Revenue Pivot)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Do not just ask for discounts. Offer them transaction volume in exchange for infrastructure subsidies.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Strategy:</w:t>
      </w:r>
    </w:p>
    <w:p w:rsidR="00363CC3" w:rsidRPr="00363CC3" w:rsidRDefault="00363CC3" w:rsidP="00363C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Ethio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Telecom's future is not selling hardware; it is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Telebirr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transaction fees. The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Center will process thousands of municipal payments daily (Land lease, taxes, trade licenses).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Script: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"Let us talk about a true partnership.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City is prepared to mandate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as the exclusive digital payment gateway for all 47 Phase 1 services at the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Mesob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Center. This guarantees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 millions of Birr in daily transaction volume.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In exchange for this monopoly on our citizen transaction flow, we expect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 </w:t>
      </w:r>
      <w:proofErr w:type="gram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to heavily subsidize</w:t>
      </w:r>
      <w:proofErr w:type="gram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the core networking hardware (Routers, Switches, and APs). We are offering you OPEX revenue; we expect CAPEX relief in return. What percentage discount on the core network will you provide to secure the </w:t>
      </w:r>
      <w:proofErr w:type="spell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exclusivity?"</w:t>
      </w:r>
    </w:p>
    <w:p w:rsidR="00363CC3" w:rsidRPr="00363CC3" w:rsidRDefault="00363CC3" w:rsidP="00363CC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1" style="width:0;height:1.5pt" o:hralign="center" o:hrstd="t" o:hrnoshade="t" o:hr="t" fillcolor="gray" stroked="f"/>
        </w:pict>
      </w:r>
    </w:p>
    <w:p w:rsidR="00363CC3" w:rsidRPr="00363CC3" w:rsidRDefault="00363CC3" w:rsidP="00363CC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SUMMARY OF IMMEDIATE NEXT STEPS TO CONCLUDE THE MEETING</w:t>
      </w:r>
    </w:p>
    <w:p w:rsidR="00363CC3" w:rsidRPr="00363CC3" w:rsidRDefault="00363CC3" w:rsidP="00363C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 not let the meeting end with vague promises to "look into it." The Mayor or Committee Chair must close with clear, binding directives.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Closing Directives to </w:t>
      </w:r>
      <w:proofErr w:type="spellStart"/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Telecom:</w:t>
      </w:r>
    </w:p>
    <w:p w:rsidR="00363CC3" w:rsidRPr="00363CC3" w:rsidRDefault="00363CC3" w:rsidP="00363CC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Submit a Revised </w:t>
      </w:r>
      <w:proofErr w:type="spellStart"/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within 7 Days: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new </w:t>
      </w:r>
      <w:proofErr w:type="spellStart"/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must completely remove laptops, basic monitors, kiosks, printers, furniture, the Situation Room Video Wall, the 40KVA UPS, and the Attendance software.</w:t>
      </w:r>
    </w:p>
    <w:p w:rsidR="00363CC3" w:rsidRPr="00363CC3" w:rsidRDefault="00363CC3" w:rsidP="00363CC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Itemize the Margins: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revised </w:t>
      </w:r>
      <w:proofErr w:type="spellStart"/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must include a full Bill of Materials for the "Accessories" and a labor breakdown for "Installation."</w:t>
      </w:r>
    </w:p>
    <w:p w:rsidR="00363CC3" w:rsidRPr="00363CC3" w:rsidRDefault="00363CC3" w:rsidP="00363CC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Bring the Core Prices to Market Reality: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remaining core network components (APs, Routers, LED screen) </w:t>
      </w:r>
      <w:proofErr w:type="gram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must be priced</w:t>
      </w:r>
      <w:proofErr w:type="gram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competitively, factoring in the </w:t>
      </w:r>
      <w:proofErr w:type="spellStart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Telebirr</w:t>
      </w:r>
      <w:proofErr w:type="spellEnd"/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revenue-sharing offer.</w:t>
      </w:r>
    </w:p>
    <w:p w:rsidR="00363CC3" w:rsidRPr="00363CC3" w:rsidRDefault="00363CC3" w:rsidP="00363C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363CC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Final Remark for the Room:</w:t>
      </w:r>
      <w:r w:rsidRPr="00363CC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"We are ready to move fast. If you provide a right-sized, transparent, core-network-only </w:t>
      </w:r>
      <w:proofErr w:type="spellStart"/>
      <w:proofErr w:type="gramStart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proofErr w:type="gramEnd"/>
      <w:r w:rsidRPr="00363CC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next week, we will sign it. If the prices remain artificially inflated or bundled with passive hardware, we will move this to an open, multi-vendor national tender. The choice is yours."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1ACC"/>
    <w:multiLevelType w:val="multilevel"/>
    <w:tmpl w:val="5C4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F2639"/>
    <w:multiLevelType w:val="multilevel"/>
    <w:tmpl w:val="1EC6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836C3"/>
    <w:multiLevelType w:val="multilevel"/>
    <w:tmpl w:val="082E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54F49"/>
    <w:multiLevelType w:val="multilevel"/>
    <w:tmpl w:val="CA10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B7A99"/>
    <w:multiLevelType w:val="multilevel"/>
    <w:tmpl w:val="13B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CC3"/>
    <w:rsid w:val="001E6C28"/>
    <w:rsid w:val="00363CC3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17AF9-6ED7-4042-85F1-C9FBBD59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3C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63CC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3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93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58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6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3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305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2026-04-07T23:55:00Z</dcterms:created>
  <dcterms:modified xsi:type="dcterms:W3CDTF">2026-04-07T23:56:00Z</dcterms:modified>
</cp:coreProperties>
</file>