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bookmarkStart w:id="0" w:name="_GoBack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VOLUME 1: THE MASTER EXECUTIVE BRIEFING &amp; STRATEGIC AUDIT REPORT</w:t>
      </w:r>
    </w:p>
    <w:bookmarkEnd w:id="0"/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Audience: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H.E. Mayor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Tiratu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Beyene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City Executive Cabinet, and the MESOB Steering Committee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Strategic Realignment of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MESOB Center Infrastructure (Forensic Audit of the 174.3M ETB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Highly Confidential – For Internal Alignment and Negotiation Preparation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1.0 EXECUTIVE CONTEXT &amp; THE "MEDEMER" PHILOSOPHY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1.1 The True Mandate of the MESOB Center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MESOB One-Stop Service Center is not fundamentally an IT procurement project, nor is it merely a construction endeavor. It is a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Governance Transformation Instrument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Rooted in the national philosophy of "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Medemer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" (Synergy), the MESOB initiative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designed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cure what our institutional diagnostic calls the </w:t>
      </w:r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"Loneliness Defect"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—the historical fragmentation of city bureaus where citizens are forced to act as physical couriers between disconnected government offices.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By orchestrating these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siloed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entities into a unified "Service Mesh,"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aims to restore public trust, eliminate corruption vulnerabilities, and accelerate municipal revenue collection.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1.2 The Strategic Dilemma: Service-Driven Dimensioning vs. Vendor-Driven Sizing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operationalize this vision,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Telecom—our primary national digital backbone provider—has submitted a comprehensive Bill of Quantity (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totaling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174,308,798.54 ETB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While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remains an indispensable partner for our core fiber connectivity and cloud infrastructure, a rigorous forensic audit of this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reveals a critical misalignment. The proposal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dimensioned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a "Maximum Capacity / Final Phase" enterprise deployment. It relies heavily on premium, luxury-tier hardware and massive aesthetic visual systems that do not correspond to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Hawassa's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immediate operational reality.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If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accepts this proposal as submitted, we will violate the core principle of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Service-Driven Dimensioning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We will lock tens of millions of Birr into depreciating hardware, redundant software, and opaque "installation" fees, severely limiting our ability to invest in actual service delivery and citizen outreach.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Master Executive Briefing provides the City Leadership with the evidence, the financial autopsies, and the strategic mandate required to legally and politically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right-size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this procurement without alienating our federal telecom partner.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lastRenderedPageBreak/>
        <w:t>2.0 THE OPERATIONAL REALITY (PHASE 1 DEPLOYMENT)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2.1 The Scope of the "Minimum Viable Launch"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negotiate effectively, we must first define exactly what we are buying infrastructure to support. According to our Phase 1 Priority Services Operational Blueprint (Document 2),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MESOB Center is launching with exactly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47 targeted, high-impact services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breakdown of these services dictates our true hardware requirements:</w:t>
      </w:r>
    </w:p>
    <w:p w:rsidR="00DA3713" w:rsidRPr="00DA3713" w:rsidRDefault="00DA3713" w:rsidP="00DA371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Land &amp; Cadaster: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15 Services (e.g., Lease auctions, property boundary changes, collateral registration).</w:t>
      </w:r>
    </w:p>
    <w:p w:rsidR="00DA3713" w:rsidRPr="00DA3713" w:rsidRDefault="00DA3713" w:rsidP="00DA371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Revenue: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12 Services (e.g., Tax clearance, business tax assessments).</w:t>
      </w:r>
    </w:p>
    <w:p w:rsidR="00DA3713" w:rsidRPr="00DA3713" w:rsidRDefault="00DA3713" w:rsidP="00DA371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Trade &amp; Industry: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8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Services (e.g., Enterprise registration, business health checks).</w:t>
      </w:r>
    </w:p>
    <w:p w:rsidR="00DA3713" w:rsidRPr="00DA3713" w:rsidRDefault="00DA3713" w:rsidP="00DA371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Investment: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Services (e.g., Investment land allocation, project expansion permits).</w:t>
      </w:r>
    </w:p>
    <w:p w:rsidR="00DA3713" w:rsidRPr="00DA3713" w:rsidRDefault="00DA3713" w:rsidP="00DA371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Health &amp; Education: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Services (e.g., Clinic licensing, educational institution renewals).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2.2 The Technical Reality: Browser-Based E-Governance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most critical technical fact of Phase 1 is this: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These 47 services </w:t>
      </w:r>
      <w:proofErr w:type="gram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are executed</w:t>
      </w:r>
      <w:proofErr w:type="gramEnd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via web-based portals and APIs.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counter staff do not need to run heavy 3D rendering software, localized databases, or complex engineering applications. They require a secure internet browser (e.g., Chrome/Edge) to access federal and regional cloud portals, and a reliable network connection.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Disconnect in the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has proposed outfitting 48 counters with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Dell Core i7 Laptops (16GB RAM, 512GB SSD) at a cost of 234,782 ETB each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(Total: 11.2M ETB). Deploying Core i7 laptops for web-portal data entry is the equivalent of purchasing a fleet of heavy-duty industrial tractors for a daily highway commute. It is an astronomical waste of CAPEX. Furthermore, laptops introduce severe security vulnerabilities (easy to steal) and operational liabilities (battery degradation within 24 months).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Remedy: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Phase 1 requires reliable, hard-wired Small Form Factor (SFF) Core i3 or i5 desktop computers, which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can be procured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locally at a fraction of the cost, inherently aligning with our "Lean Edge" technical philosophy.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3.0 THE FINANCIAL AUTOPSY OF THE 174.3M ETB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BoQ</w:t>
      </w:r>
      <w:proofErr w:type="spellEnd"/>
      <w:proofErr w:type="gramEnd"/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Our audit team has cross-referenced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against the finalized contracts executed between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and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Regional State MESOB Center (August/October 2025). This comparative intelligence has exposed systemic pricing tactics that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must immediately counter.</w:t>
      </w:r>
    </w:p>
    <w:p w:rsidR="00DA3713" w:rsidRPr="00DA3713" w:rsidRDefault="00DA3713" w:rsidP="00DA371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3.1 The Discovery of the "Template Margin"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not designing a bespoke architecture tailored to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Hawassa's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47 services. They are applying a highly profitable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"Regional E-Governance Template."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This template operates by maximizing passive hardware sales and hiding vast profit margins within non-itemized service lines.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 fell victim to this template, paying an astonishing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52.1 Million ETB strictly for office furniture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and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6 Million ETB for raised flooring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through their telecom contract.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acts as a "General Contractor" in these scenarios, layering heavy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middleman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markups on non-ICT commodities.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Hawassa’s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shows the exact same strategy in its infancy (e.g., quoting 85,000 ETB for basic MDF office tables and 2.4 Million ETB for metal TV brackets).</w:t>
      </w:r>
    </w:p>
    <w:p w:rsidR="00DA3713" w:rsidRPr="00DA3713" w:rsidRDefault="00DA3713" w:rsidP="00DA371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3.2 The 31.7M ETB Opaque Bundling Trap (The Audit Violation)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most alarming financial risk in the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lies in two generalized line items:</w:t>
      </w:r>
    </w:p>
    <w:p w:rsidR="00DA3713" w:rsidRPr="00DA3713" w:rsidRDefault="00DA3713" w:rsidP="00DA371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"Accessories Package": 11,982,044.92 ETB</w:t>
      </w:r>
    </w:p>
    <w:p w:rsidR="00DA3713" w:rsidRPr="00DA3713" w:rsidRDefault="00DA3713" w:rsidP="00DA371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"Installation &amp; Commission Service": 19,770,374.12 ETB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Combined, these represent nearly 32 Million ETB (roughly 18% of the total contract) with absolutely no breakdown of parts, labor hours, or technical specifications.</w:t>
      </w:r>
    </w:p>
    <w:p w:rsidR="00DA3713" w:rsidRPr="00DA3713" w:rsidRDefault="00DA3713" w:rsidP="00DA371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</w:t>
      </w:r>
      <w:proofErr w:type="spell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Precedent: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paid 17.1M ETB for "Accessories" and 35.3M ETB for "Installation." This proves that these numbers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not based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 actual room measurements or engineering calculations; they are arbitrary percentage-based profit buffers.</w:t>
      </w:r>
    </w:p>
    <w:p w:rsidR="00DA3713" w:rsidRPr="00DA3713" w:rsidRDefault="00DA3713" w:rsidP="00DA371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Legal Reality: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Under federal and municipal public procurement guidelines, the City Administration cannot legally authorize a nearly 12 Million ETB blind expenditure for "accessories." Approving this invites immediate censure from the Auditor General.</w:t>
      </w:r>
    </w:p>
    <w:p w:rsidR="00DA3713" w:rsidRPr="00DA3713" w:rsidRDefault="00DA3713" w:rsidP="00DA371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3.3 Hardware Extortion &amp; Hyper-Inflation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Where specific hardware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listed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the unit economics are heavily distorted compared to global and local enterprise benchmarks:</w:t>
      </w:r>
    </w:p>
    <w:p w:rsidR="00DA3713" w:rsidRPr="00DA3713" w:rsidRDefault="00DA3713" w:rsidP="00DA371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40KVA UPS (11,088,000 ETB):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standard, enterprise-grade 40KVA UPS from Tier-1 global manufacturers (e.g., APC,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Vertiv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Eaton) retails globally for under $30,000 USD. Even factoring in aggressive import duties, logistics, and local vendor margins, an 11 Million ETB price tag represents a staggering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~10x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markup.</w:t>
      </w:r>
    </w:p>
    <w:p w:rsidR="00DA3713" w:rsidRPr="00DA3713" w:rsidRDefault="00DA3713" w:rsidP="00DA371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Ticket Dispenser Kiosks (5,239,800 ETB per unit):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specifies a kiosk running an entry-level Intel Core i3 processor with 4GB of RAM. The software driving a queuing system is lightweight. Charging over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Million ETB for a metal chassis enclosing an i3 processor is predatory pricing. Standard interactive kiosks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can be manufactured locally or imported for under 400,000 ETB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DA3713" w:rsidRPr="00DA3713" w:rsidRDefault="00DA3713" w:rsidP="00DA371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Visual Display Redundancy (8.4M ETB Waste):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vendor has proposed a 15.5 Million ETB central LED Wall (which is justified for public queuing). However, they have </w:t>
      </w:r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also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proposed a 4-screen "Situation Room Video Wall" for an additional 7.4 Million ETB (including 600,000 ETB 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 xml:space="preserve">just for the metal mounting brackets).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does not require a cinematic Situation Room to launch Phase 1 services.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4.0 THE COMPREHENSIVE RISK REGISTER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If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approves this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without restructuring, we assume the following immediate systemic risks: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1: Vendor Lock-In &amp; API Hostage Situations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By purchasing "Turnkey Kiosks" at 5.2M ETB and "Attendance Systems" at 2.1M ETB, we risk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locking their core cloud APIs to this specific, hyper-inflated hardware. If a kiosk breaks in Year 2, the city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will be forced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buy another 5.2M ETB replacement because standard, cheaper kiosks "are not compatible with the software."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2: Audit &amp; Compliance Failure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Paying 19.7M ETB for general installation while simultaneously paying separate line items for LED installation (177K ETB) constitutes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double-billing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The lack of a Bill of Materials (BoM) for the accessories line exposes the Mayor's office and the Finance Bureau to allegations of fiscal mismanagement.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3: Misalignment with National DPI &amp; University Partnerships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charges 2.1M ETB for "Attendance and Time Management Software." The Ethiopian Artificial Intelligence Institute (EAII) already provides the government with a comprehensive HRMS. Furthermore, our Master Blueprint explicitly mandates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University’s "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Lab" to build out localized API integrations to ensure sustainable capacity building. Buying off-the-shelf software bypasses our own institutional strategy.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5.0 THE STRATEGIC MANDATE &amp; MAYORAL DIRECTIVE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not reject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Telecom. They are our chosen partner for the digital backbone. However,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will reject the General Contractor pricing model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successfully launch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Center, H.E. Mayor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Tiratu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Beyene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and the Steering Committee must adopt the following strategic posture for the upcoming vendor negotiations: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Directive 1: The "Unbundling" Mandate (Decouple Core from Commodity)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must explicitly inform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that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procure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Core IT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(Fiber, WAN, LAN routing, Security firewalls, and cloud hosting) from them. However,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 xml:space="preserve">unbundle and independently procure all </w:t>
      </w: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Commodities</w:t>
      </w: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(Endpoints, Laptops, Standard Monitors, Printers, Kiosks, and Furniture) via local municipal supply chains.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Directive 2: The Transparency Ultimatum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Steering Committee must issue a formal demand requiring a line-by-line Bill of Materials for the 11.9M ETB Accessories package and a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man-hour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breakdown for the 19.7M ETB Installation fee within 48 hours. If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refuses, these lines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will be stricken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from the contract.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Directive 3: The </w:t>
      </w:r>
      <w:proofErr w:type="spell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Revenue-Share Pivot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Instead of merely asking for discounts, we will alter the economic model.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processes massive daily transaction volumes for land leases and trade taxes. We will offer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exclusive rights to integrate </w:t>
      </w:r>
      <w:proofErr w:type="spellStart"/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the primary digital payment gateway for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Center. In exchange for this guaranteed, highly lucrative OPEX transaction flow,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must heavily subsidize the CAPEX costs of the core network infrastructure.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Directive 4: Enforce the "Minimum Viable Service" (MVS) Baseline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All redundant visual systems (the Situation Room Video Wall) and over-engineered power systems (the 11M ETB UPS) </w:t>
      </w:r>
      <w:proofErr w:type="gram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must be removed</w:t>
      </w:r>
      <w:proofErr w:type="gram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from the Phase 1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If service volume in Year 2 dictates a need for massive command center screens, it will be budgeted in a Phase 2 expansion.</w: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Conclusion of Volume 1</w:t>
      </w:r>
    </w:p>
    <w:p w:rsidR="00DA3713" w:rsidRPr="00DA3713" w:rsidRDefault="00DA3713" w:rsidP="00DA371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By adopting this Master Executive Briefing,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transforms from a passive buyer into an informed, aggressive negotiator. We will protect the municipal budget, enforce the rule of law regarding public audits, and ensure the </w:t>
      </w:r>
      <w:proofErr w:type="spellStart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 launches successfully, efficiently, and sustainably.</w:t>
      </w:r>
    </w:p>
    <w:p w:rsidR="00DA3713" w:rsidRPr="00DA3713" w:rsidRDefault="00DA3713" w:rsidP="00DA371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DA3713" w:rsidRPr="00DA3713" w:rsidRDefault="00DA3713" w:rsidP="00DA37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End of Volume 1. Please reply with </w:t>
      </w:r>
      <w:r w:rsidRPr="00DA3713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"Proceed with Volume 2"</w:t>
      </w:r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to generate the Forensic </w:t>
      </w:r>
      <w:proofErr w:type="spellStart"/>
      <w:proofErr w:type="gramStart"/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DA371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Reconstruction &amp; Intelligence Matrix (The ultimate, granular line-by-line breakdown).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25988"/>
    <w:multiLevelType w:val="multilevel"/>
    <w:tmpl w:val="DBC2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B0F2F"/>
    <w:multiLevelType w:val="multilevel"/>
    <w:tmpl w:val="628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03591"/>
    <w:multiLevelType w:val="multilevel"/>
    <w:tmpl w:val="549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956A0"/>
    <w:multiLevelType w:val="multilevel"/>
    <w:tmpl w:val="26D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713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A3713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009E88-E7FA-4F93-B52F-6B12D31E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3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A37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A37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371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2026-04-08T00:10:00Z</dcterms:created>
  <dcterms:modified xsi:type="dcterms:W3CDTF">2026-04-08T00:11:00Z</dcterms:modified>
</cp:coreProperties>
</file>