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States: The first line contains a list of all states in the automaton.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Symbols: The second line lists all input symbols.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State: The third line specifies the start state.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States: The fourth line enumerates the accept (final) states.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Transitions: Lines five through thirty-three define the state transitions. Each transition is represented on a separate line with three whitespace-separated elements: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State: The state from which the transition originates.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Symbol: The symbol that triggers the transition.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Destination State: The state to which the transition leads.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q0 q1 q2 q3 q4 q5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 M S I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q4 q5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q0 M q0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q0 S q0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q0 I q0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q0 D q0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q0 P q1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 P q1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q1 M q2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q1 S q2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q1 I q3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q2 P q4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q2 M q0</w:t>
        <w:br w:type="textWrapping"/>
        <w:t xml:space="preserve">q2 S q0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q2 I q0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 D q0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q3 D q5</w:t>
        <w:br w:type="textWrapping"/>
        <w:t xml:space="preserve">q3 M q0</w:t>
        <w:br w:type="textWrapping"/>
        <w:t xml:space="preserve">q3 S q0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q3 I q0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q3 P q1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q4 P q1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q4 M q0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q4 S q0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q4 I q0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q4 D q0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q5 P q1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q5 M q0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q5 S q0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q5 I q0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q5 D q0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