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4A27F"/>
          <w:sz w:val="22"/>
          <w:szCs w:val="22"/>
        </w:rPr>
        <w:t xml:space="preserve">PPWR Radar – by packaging journal</w:t>
      </w:r>
    </w:p>
    <w:p>
      <w:pPr>
        <w:spacing w:after="120" w:before="60"/>
      </w:pPr>
      <w:r>
        <w:rPr>
          <w:rFonts w:ascii="Arial" w:cs="Arial" w:eastAsia="Arial" w:hAnsi="Arial"/>
          <w:b/>
          <w:bCs/>
          <w:color w:val="004494"/>
          <w:sz w:val="40"/>
          <w:szCs w:val="40"/>
        </w:rPr>
        <w:t xml:space="preserve">Prüfpaket für Cattwyk Rechtsanwaltsgesellschaft</w:t>
      </w:r>
    </w:p>
    <w:p>
      <w:pPr>
        <w:spacing w:after="600" w:before="60"/>
      </w:pPr>
      <w:r>
        <w:rPr>
          <w:rFonts w:ascii="Arial" w:cs="Arial" w:eastAsia="Arial" w:hAnsi="Arial"/>
          <w:sz w:val="24"/>
          <w:szCs w:val="24"/>
        </w:rPr>
        <w:t xml:space="preserve">Verifikation der Wissensbasis · Rechtsstand 17.10.2026</w:t>
      </w:r>
    </w:p>
    <w:p>
      <w:pPr>
        <w:spacing w:after="60" w:before="60"/>
      </w:pPr>
      <w:r>
        <w:rPr>
          <w:rFonts w:ascii="Arial" w:cs="Arial" w:eastAsia="Arial" w:hAnsi="Arial"/>
          <w:sz w:val="22"/>
          <w:szCs w:val="22"/>
        </w:rPr>
        <w:t xml:space="preserve">Für: Dr. Julia Hörnig und Franziska Kaiser</w:t>
      </w:r>
    </w:p>
    <w:p>
      <w:pPr>
        <w:spacing w:after="60" w:before="60"/>
      </w:pPr>
      <w:r>
        <w:rPr>
          <w:rFonts w:ascii="Arial" w:cs="Arial" w:eastAsia="Arial" w:hAnsi="Arial"/>
          <w:sz w:val="22"/>
          <w:szCs w:val="22"/>
        </w:rPr>
        <w:t xml:space="preserve">Von: Jan Malte Andresen, packaging journal (ella Verlag und Medien GmbH)</w:t>
      </w:r>
    </w:p>
    <w:p>
      <w:pPr>
        <w:spacing w:after="600" w:before="60"/>
      </w:pPr>
      <w:r>
        <w:rPr>
          <w:rFonts w:ascii="Arial" w:cs="Arial" w:eastAsia="Arial" w:hAnsi="Arial"/>
          <w:sz w:val="22"/>
          <w:szCs w:val="22"/>
        </w:rPr>
        <w:t xml:space="preserve">Datum: 17. Oktober 2026</w:t>
      </w:r>
    </w:p>
    <w:p>
      <w:pPr>
        <w:spacing w:after="80" w:before="60"/>
      </w:pPr>
      <w:r>
        <w:rPr>
          <w:rFonts w:ascii="Arial" w:cs="Arial" w:eastAsia="Arial" w:hAnsi="Arial"/>
          <w:b/>
          <w:bCs/>
          <w:sz w:val="22"/>
          <w:szCs w:val="22"/>
        </w:rPr>
        <w:t xml:space="preserve">Inhalt</w:t>
      </w:r>
    </w:p>
    <w:p>
      <w:pPr>
        <w:pStyle w:val="ListParagraph"/>
        <w:numPr>
          <w:ilvl w:val="0"/>
          <w:numId w:val="2"/>
        </w:numPr>
        <w:spacing w:after="30" w:before="30"/>
      </w:pPr>
      <w:r>
        <w:rPr>
          <w:rFonts w:ascii="Arial" w:cs="Arial" w:eastAsia="Arial" w:hAnsi="Arial"/>
          <w:sz w:val="20"/>
          <w:szCs w:val="20"/>
        </w:rPr>
        <w:t xml:space="preserve">Teil A – Sammelfreigabe: 121 Datensätze ohne offenen Punkt, als Tabellen zum Querlesen (Zeitbedarf etwa 60 bis 90 Minuten).</w:t>
      </w:r>
    </w:p>
    <w:p>
      <w:pPr>
        <w:pStyle w:val="ListParagraph"/>
        <w:numPr>
          <w:ilvl w:val="0"/>
          <w:numId w:val="2"/>
        </w:numPr>
        <w:spacing w:after="30" w:before="30"/>
      </w:pPr>
      <w:r>
        <w:rPr>
          <w:rFonts w:ascii="Arial" w:cs="Arial" w:eastAsia="Arial" w:hAnsi="Arial"/>
          <w:sz w:val="20"/>
          <w:szCs w:val="20"/>
        </w:rPr>
        <w:t xml:space="preserve">Teil B – Einzelprüfung: 49 Datensätze mit konkreter Frage an die Kanzlei, je eine Karte mit drei Kästchen, darunter 17 neue Praxisfragen zur Rechtsentwicklung seit Juli 2026.</w:t>
      </w:r>
    </w:p>
    <w:p>
      <w:pPr>
        <w:pStyle w:val="ListParagraph"/>
        <w:numPr>
          <w:ilvl w:val="0"/>
          <w:numId w:val="2"/>
        </w:numPr>
        <w:spacing w:after="30" w:before="30"/>
      </w:pPr>
      <w:r>
        <w:rPr>
          <w:rFonts w:ascii="Arial" w:cs="Arial" w:eastAsia="Arial" w:hAnsi="Arial"/>
          <w:sz w:val="20"/>
          <w:szCs w:val="20"/>
        </w:rPr>
        <w:t xml:space="preserve">Teil C – Fundstellen-Bestätigungen: 68 markierte Stellen (!) in Anforderungen und Dokumentvorlagen, als Tabelle zum Abhaken.</w:t>
      </w:r>
    </w:p>
    <w:p>
      <w:pPr>
        <w:pStyle w:val="ListParagraph"/>
        <w:numPr>
          <w:ilvl w:val="0"/>
          <w:numId w:val="2"/>
        </w:numPr>
        <w:spacing w:after="30" w:before="30"/>
      </w:pPr>
      <w:r>
        <w:rPr>
          <w:rFonts w:ascii="Arial" w:cs="Arial" w:eastAsia="Arial" w:hAnsi="Arial"/>
          <w:sz w:val="20"/>
          <w:szCs w:val="20"/>
        </w:rPr>
        <w:t xml:space="preserve">Teil D – Gesamtfreigabe und Rückgabe.</w:t>
      </w:r>
    </w:p>
    <w:p>
      <w:pPr>
        <w:spacing w:after="200" w:before="60"/>
      </w:pPr>
      <w:r>
        <w:rPr>
          <w:rFonts w:ascii="Arial" w:cs="Arial" w:eastAsia="Arial" w:hAnsi="Arial"/>
          <w:sz w:val="20"/>
          <w:szCs w:val="20"/>
        </w:rPr>
        <w:t xml:space="preserve"/>
      </w:r>
    </w:p>
    <w:p>
      <w:pPr>
        <w:spacing w:after="60" w:before="60"/>
      </w:pPr>
      <w:r>
        <w:rPr>
          <w:rFonts w:ascii="Arial" w:cs="Arial" w:eastAsia="Arial" w:hAnsi="Arial"/>
          <w:color w:val="6B7280"/>
          <w:sz w:val="17"/>
          <w:szCs w:val="17"/>
        </w:rPr>
        <w:t xml:space="preserve">Vertraulich. Dieses Paket ist aus der Datenbank von PPWR Radar generiert (Stand 17.10.2026). Jeder Datensatz trägt seinen Code, mit dem die Entscheidung der Kanzlei direkt in das System übernommen wird.</w:t>
      </w:r>
    </w:p>
    <w:p>
      <w:pPr>
        <w:pStyle w:val="Heading1"/>
        <w:pageBreakBefore/>
        <w:spacing w:after="160" w:before="0"/>
      </w:pPr>
      <w:r>
        <w:rPr>
          <w:rFonts w:ascii="Arial" w:cs="Arial" w:eastAsia="Arial" w:hAnsi="Arial"/>
          <w:b/>
          <w:bCs/>
          <w:color w:val="004494"/>
          <w:sz w:val="32"/>
          <w:szCs w:val="32"/>
        </w:rPr>
        <w:t xml:space="preserve">So funktioniert dieses Paket</w:t>
      </w:r>
    </w:p>
    <w:p>
      <w:pPr>
        <w:spacing w:after="120" w:before="60"/>
      </w:pPr>
      <w:r>
        <w:rPr>
          <w:rFonts w:ascii="Arial" w:cs="Arial" w:eastAsia="Arial" w:hAnsi="Arial"/>
          <w:sz w:val="20"/>
          <w:szCs w:val="20"/>
        </w:rPr>
        <w:t xml:space="preserve">Liebe Frau Dr. Hörnig, liebe Frau Kaiser,</w:t>
      </w:r>
    </w:p>
    <w:p>
      <w:pPr>
        <w:spacing w:after="60" w:before="60"/>
      </w:pPr>
      <w:r>
        <w:rPr>
          <w:rFonts w:ascii="Arial" w:cs="Arial" w:eastAsia="Arial" w:hAnsi="Arial"/>
          <w:sz w:val="20"/>
          <w:szCs w:val="20"/>
        </w:rPr>
        <w:t xml:space="preserve">das Projekt lag seit August auf Eis, jetzt gehen wir an den Start. Die Wissensbasis von PPWR Radar erklärt Unternehmen, welche Rolle sie nach der PPWR haben und welche Pflichten daraus folgen, mit Fundstelle an jeder Aussage. Nichts davon ist Rechtsberatung; das Produkt „erklärt, ordnet ein, priorisiert, erstellt Entwürfe“. Ihre Aufgabe ist die juristische Plausibilisierung: Stimmt die Aussage, stimmt die Fundstelle, ist die Grenze richtig gezogen.</w:t>
      </w:r>
    </w:p>
    <w:p>
      <w:pPr>
        <w:spacing w:after="60" w:before="60"/>
      </w:pPr>
      <w:r>
        <w:rPr>
          <w:rFonts w:ascii="Arial" w:cs="Arial" w:eastAsia="Arial" w:hAnsi="Arial"/>
          <w:sz w:val="20"/>
          <w:szCs w:val="20"/>
        </w:rPr>
        <w:t xml:space="preserve">Wir haben alle Inhalte am 17.10.2026 gegen die Rechtsentwicklung seit Juli abgeglichen (Kommissions-FAQ 2. Edition vom 3. August, Berichtigung der deutschen PPWR-Fassung vom 4. August, ZSVR-Veröffentlichungen, Mindeststandard 2026, Rechtsprechung, laufende EU-Verfahren). Die Ergebnisse sind eingearbeitet; die Delta-Liste mit allen Quellen liegt bei.</w:t>
      </w:r>
    </w:p>
    <w:p>
      <w:pPr>
        <w:pStyle w:val="Heading2"/>
        <w:keepNext/>
        <w:spacing w:after="120" w:before="280"/>
      </w:pPr>
      <w:r>
        <w:rPr>
          <w:rFonts w:ascii="Arial" w:cs="Arial" w:eastAsia="Arial" w:hAnsi="Arial"/>
          <w:b/>
          <w:bCs/>
          <w:color w:val="111111"/>
          <w:sz w:val="26"/>
          <w:szCs w:val="26"/>
        </w:rPr>
        <w:t xml:space="preserve">Drei Stufen, drei Aufwände</w:t>
      </w:r>
    </w:p>
    <w:p>
      <w:pPr>
        <w:pStyle w:val="ListParagraph"/>
        <w:numPr>
          <w:ilvl w:val="0"/>
          <w:numId w:val="2"/>
        </w:numPr>
        <w:spacing w:after="30" w:before="30"/>
      </w:pPr>
      <w:r>
        <w:rPr>
          <w:rFonts w:ascii="Arial" w:cs="Arial" w:eastAsia="Arial" w:hAnsi="Arial"/>
          <w:sz w:val="20"/>
          <w:szCs w:val="20"/>
        </w:rPr>
        <w:t xml:space="preserve">Teil A ist zum Querlesen gedacht: eine Zeile je Datensatz, Kernaussage und Fundstelle. Was Ihnen auffällt, markieren Sie mit „Anm.“ und notieren den Hinweis am Rand. Alles andere geben Sie je Block mit einem Haken frei.</w:t>
      </w:r>
    </w:p>
    <w:p>
      <w:pPr>
        <w:pStyle w:val="ListParagraph"/>
        <w:numPr>
          <w:ilvl w:val="0"/>
          <w:numId w:val="2"/>
        </w:numPr>
        <w:spacing w:after="30" w:before="30"/>
      </w:pPr>
      <w:r>
        <w:rPr>
          <w:rFonts w:ascii="Arial" w:cs="Arial" w:eastAsia="Arial" w:hAnsi="Arial"/>
          <w:sz w:val="20"/>
          <w:szCs w:val="20"/>
        </w:rPr>
        <w:t xml:space="preserve">Teil B enthält die Stellen, an denen wir Ihre Einordnung wirklich brauchen: Grenzfälle, Divergenzen zwischen Kommission und ZSVR, Regeln der Rollen-Engine, Neues seit Juli. Je Karte drei Kästchen: freigeben, ändern, streichen.</w:t>
      </w:r>
    </w:p>
    <w:p>
      <w:pPr>
        <w:pStyle w:val="ListParagraph"/>
        <w:numPr>
          <w:ilvl w:val="0"/>
          <w:numId w:val="2"/>
        </w:numPr>
        <w:spacing w:after="30" w:before="30"/>
      </w:pPr>
      <w:r>
        <w:rPr>
          <w:rFonts w:ascii="Arial" w:cs="Arial" w:eastAsia="Arial" w:hAnsi="Arial"/>
          <w:sz w:val="20"/>
          <w:szCs w:val="20"/>
        </w:rPr>
        <w:t xml:space="preserve">Teil C sind reine Fundstellen-Bestätigungen: Stellen, an denen wir im Text eine Norm oder einen Absatz als unsicher (!) markiert haben. Bestätigen oder korrigieren.</w:t>
      </w:r>
    </w:p>
    <w:p>
      <w:pPr>
        <w:pStyle w:val="Heading2"/>
        <w:keepNext/>
        <w:spacing w:after="120" w:before="280"/>
      </w:pPr>
      <w:r>
        <w:rPr>
          <w:rFonts w:ascii="Arial" w:cs="Arial" w:eastAsia="Arial" w:hAnsi="Arial"/>
          <w:b/>
          <w:bCs/>
          <w:color w:val="111111"/>
          <w:sz w:val="26"/>
          <w:szCs w:val="26"/>
        </w:rPr>
        <w:t xml:space="preserve">Was für Sie am einfachsten ist</w:t>
      </w:r>
    </w:p>
    <w:p>
      <w:pPr>
        <w:pStyle w:val="ListParagraph"/>
        <w:numPr>
          <w:ilvl w:val="0"/>
          <w:numId w:val="2"/>
        </w:numPr>
        <w:spacing w:after="30" w:before="30"/>
      </w:pPr>
      <w:r>
        <w:rPr>
          <w:rFonts w:ascii="Arial" w:cs="Arial" w:eastAsia="Arial" w:hAnsi="Arial"/>
          <w:sz w:val="20"/>
          <w:szCs w:val="20"/>
        </w:rPr>
        <w:t xml:space="preserve">Word: Kästchen anklicken oder ein X setzen, Anmerkungen direkt in die Zeilen schreiben, Datei zurückschicken.</w:t>
      </w:r>
    </w:p>
    <w:p>
      <w:pPr>
        <w:pStyle w:val="ListParagraph"/>
        <w:numPr>
          <w:ilvl w:val="0"/>
          <w:numId w:val="2"/>
        </w:numPr>
        <w:spacing w:after="30" w:before="30"/>
      </w:pPr>
      <w:r>
        <w:rPr>
          <w:rFonts w:ascii="Arial" w:cs="Arial" w:eastAsia="Arial" w:hAnsi="Arial"/>
          <w:sz w:val="20"/>
          <w:szCs w:val="20"/>
        </w:rPr>
        <w:t xml:space="preserve">PDF: Ausdrucken oder im Reader kommentieren, Scan oder Datei zurückschicken.</w:t>
      </w:r>
    </w:p>
    <w:p>
      <w:pPr>
        <w:pStyle w:val="ListParagraph"/>
        <w:numPr>
          <w:ilvl w:val="0"/>
          <w:numId w:val="2"/>
        </w:numPr>
        <w:spacing w:after="30" w:before="30"/>
      </w:pPr>
      <w:r>
        <w:rPr>
          <w:rFonts w:ascii="Arial" w:cs="Arial" w:eastAsia="Arial" w:hAnsi="Arial"/>
          <w:sz w:val="20"/>
          <w:szCs w:val="20"/>
        </w:rPr>
        <w:t xml:space="preserve">Gemeinsam: Wir bieten eine Videosession von 90 Minuten an, in der wir Teil B zusammen durchgehen; die Entscheidungen werden dabei live im System gesetzt. Teil A und C können Sie vorab oder danach erledigen.</w:t>
      </w:r>
    </w:p>
    <w:p>
      <w:pPr>
        <w:pStyle w:val="Heading2"/>
        <w:keepNext/>
        <w:spacing w:after="120" w:before="280"/>
      </w:pPr>
      <w:r>
        <w:rPr>
          <w:rFonts w:ascii="Arial" w:cs="Arial" w:eastAsia="Arial" w:hAnsi="Arial"/>
          <w:b/>
          <w:bCs/>
          <w:color w:val="111111"/>
          <w:sz w:val="26"/>
          <w:szCs w:val="26"/>
        </w:rPr>
        <w:t xml:space="preserve">Legende</w:t>
      </w:r>
    </w:p>
    <w:p>
      <w:pPr>
        <w:pStyle w:val="ListParagraph"/>
        <w:numPr>
          <w:ilvl w:val="0"/>
          <w:numId w:val="2"/>
        </w:numPr>
        <w:spacing w:after="30" w:before="30"/>
      </w:pPr>
      <w:r>
        <w:rPr>
          <w:rFonts w:ascii="Arial" w:cs="Arial" w:eastAsia="Arial" w:hAnsi="Arial"/>
          <w:sz w:val="20"/>
          <w:szCs w:val="20"/>
        </w:rPr>
        <w:t xml:space="preserve">Fundstellen: PPWR = VO (EU) 2025/40 (rechtsverbindlich); VerpackDG = BGBl. 2026 I Nr. 207 (rechtsverbindlich); Leitfaden C(2026) 3702 und Kommissions-FAQ = unverbindliche Auslegung der EU-Kommission; ZSVR, UBA = Behördeninformation, keine Rechtsnorm.</w:t>
      </w:r>
    </w:p>
    <w:p>
      <w:pPr>
        <w:pStyle w:val="ListParagraph"/>
        <w:numPr>
          <w:ilvl w:val="0"/>
          <w:numId w:val="2"/>
        </w:numPr>
        <w:spacing w:after="30" w:before="30"/>
      </w:pPr>
      <w:r>
        <w:rPr>
          <w:rFonts w:ascii="Arial" w:cs="Arial" w:eastAsia="Arial" w:hAnsi="Arial"/>
          <w:sz w:val="20"/>
          <w:szCs w:val="20"/>
        </w:rPr>
        <w:t xml:space="preserve">Codes: #01–#40 Anforderungen (Pflichten), A/B/C Praxisfragen (Auslegungen), A1–C6 Regeln der Rollen-Engine, L01–L67 Glossar, T/V/U/E/Q-Pins aus früheren Paketen.</w:t>
      </w:r>
    </w:p>
    <w:p>
      <w:pPr>
        <w:pStyle w:val="ListParagraph"/>
        <w:numPr>
          <w:ilvl w:val="0"/>
          <w:numId w:val="2"/>
        </w:numPr>
        <w:spacing w:after="30" w:before="30"/>
      </w:pPr>
      <w:r>
        <w:rPr>
          <w:rFonts w:ascii="Arial" w:cs="Arial" w:eastAsia="Arial" w:hAnsi="Arial"/>
          <w:sz w:val="20"/>
          <w:szCs w:val="20"/>
        </w:rPr>
        <w:t xml:space="preserve">(!) markiert eine Stelle, an der wir uns nicht sicher waren und bewusst nicht stillschweigend interpretiert haben.</w:t>
      </w:r>
    </w:p>
    <w:p>
      <w:pPr>
        <w:pStyle w:val="ListParagraph"/>
        <w:numPr>
          <w:ilvl w:val="0"/>
          <w:numId w:val="2"/>
        </w:numPr>
        <w:spacing w:after="30" w:before="30"/>
      </w:pPr>
      <w:r>
        <w:rPr>
          <w:rFonts w:ascii="Arial" w:cs="Arial" w:eastAsia="Arial" w:hAnsi="Arial"/>
          <w:sz w:val="20"/>
          <w:szCs w:val="20"/>
        </w:rPr>
        <w:t xml:space="preserve">Datensätze, die Sie freigeben, erscheinen im Produkt mit dem Hinweis „juristisch plausibilisiert durch Cattwyk“. Bis dahin tragen redaktionell geprüfte Inhalte den Hinweis „juristische Prüfung läuft“.</w:t>
      </w:r>
    </w:p>
    <w:p>
      <w:pPr>
        <w:pStyle w:val="Heading1"/>
        <w:pageBreakBefore/>
        <w:spacing w:after="160" w:before="0"/>
      </w:pPr>
      <w:r>
        <w:rPr>
          <w:rFonts w:ascii="Arial" w:cs="Arial" w:eastAsia="Arial" w:hAnsi="Arial"/>
          <w:b/>
          <w:bCs/>
          <w:color w:val="004494"/>
          <w:sz w:val="32"/>
          <w:szCs w:val="32"/>
        </w:rPr>
        <w:t xml:space="preserve">Teil A – Sammelfreigabe</w:t>
      </w:r>
    </w:p>
    <w:p>
      <w:pPr>
        <w:spacing w:after="160" w:before="60"/>
      </w:pPr>
      <w:r>
        <w:rPr>
          <w:rFonts w:ascii="Arial" w:cs="Arial" w:eastAsia="Arial" w:hAnsi="Arial"/>
          <w:sz w:val="20"/>
          <w:szCs w:val="20"/>
        </w:rPr>
        <w:t xml:space="preserve">Je Zeile ein Datensatz. Kernaussage ist der erste Satz der Kurzerklärung; die vollständigen Texte liegen im System und können jederzeit nachgereicht werden. Prüfen Sie Kernaussage und Fundstelle; markieren Sie Auffälliges mit „Anm.“. Am Ende jedes Blocks die Sammelfreigabe.</w:t>
      </w:r>
    </w:p>
    <w:p>
      <w:pPr>
        <w:pStyle w:val="Heading2"/>
        <w:keepNext/>
        <w:spacing w:after="120" w:before="280"/>
      </w:pPr>
      <w:r>
        <w:rPr>
          <w:rFonts w:ascii="Arial" w:cs="Arial" w:eastAsia="Arial" w:hAnsi="Arial"/>
          <w:b/>
          <w:bCs/>
          <w:color w:val="111111"/>
          <w:sz w:val="26"/>
          <w:szCs w:val="26"/>
        </w:rPr>
        <w:t xml:space="preserve">A.1 Rollen-Definitionen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Begriff</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bevollmaechtigter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(authorised representative)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in der Union ansässige natürliche oder juristische Person, die vom ERZEUGER schriftlich beauftragt wurde, in dessen Namen bestimmte Aufgaben zur Erfüllung der Erzeugerpflichten wahrzunehmen.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19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bevollmaechtigter_ehv</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für die erweiterte Herstellerverantwortung (authorised representative for extended producer responsibility)</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Person mit Niederlassung im Ziel-Mitgliedstaat (in dem der Hersteller erstmals bereitstellt bzw. auspackt), benannt vom HERSTELLER gemäß Art. 8a Abs. 5 UAbs. 3 der Richtlinie 2008/98/EG, zur Erfüllung von dessen Pflichten nach Kapitel VIII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20 i. V. m. Art. 45 Abs. 3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endvertreiber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Endvertreiber (final distributor)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natürliche oder juristische Person in der Lieferkette, die verpackte Produkte – einschließlich durch Wiederverwendung – oder Produkte, die in Form einer Wiederbefüllung erworben werden können, an den Endabnehmer liefert.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erzeuger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Erzeuger (manufacturer)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die Verpackungen oder ein verpacktes Produkt herstellt; lit. a: bei Fertigung unter eigenem Namen/eigener Marke ist Erzeuger, wer entwickeln oder herstellen lässt (Markenkriterium), unabhängig von weiteren sichtbaren Marken; lit.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und b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hb_bereitstellung_markt</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Bereitstellung auf dem Markt (making available on the market)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entgeltliche oder unentgeltliche Abgabe befüllter oder unbefüllter Verpackungen zum Vertrieb, Verbrauch oder zur Verwendung auf dem Unionsmarkt im Rahmen einer Geschäftstätigkeit.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9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hb_erstinverkehrbringer_de</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Erstinverkehrbringer / Inverkehrbringer (national) (—)</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Erstinverkehrbringer: wer Verpackungen erstmals gewerbsmäßig im Bundesgebiet bereitstellt. Inverkehrbringer: wer Verpackungen unabhängig von Vertriebsmethode oder Handelsstufe im Bundesgebiet bereitstellt.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17 und 18 VerpackDG (BGBl. 2026 I Nr. 207; national ergänzend)</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hersteller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(producer)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Jeder Erzeuger, Importeur oder Vertreiber, der – unabhängig von der Verkaufsmethode, auch im Fernabsatz – (a) Transport-, Service- oder Primärproduktionsverpackungen (leer, Einweg oder Mehrweg) erstmals im Sitz-Mitgliedstaat und von dort aus bereitstellt;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a–e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importeur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Importeur (importer)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in der Union ansässige natürliche oder juristische Person, die Verpackungen aus einem Drittland in Verkehr bringt.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17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lieferant</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Lieferant (supplier)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die Verpackungen oder Verpackungsmaterial an einen Erzeuger liefert.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16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vertreiber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Vertreiber (distributor)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in der Lieferkette, die Verpackungen auf dem Markt bereitstellt, mit Ausnahme des Erzeugers oder des Importeurs.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18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wirtschaftsakteur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Wirtschaftsakteur (economic operator)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Sammelbegriff: der Erzeuger, der Lieferant, der Importeur, der Vertreiber, der Bevollmächtigte, der Endvertreiber und der Fulfillment-Dienstleister.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12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Rollen-Definitionen (11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A.2 Regeln der Rollen-Engine ohne offenen Punkt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Rechtsfolge</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 Verkaufs- und Umverpackungen ist Erzeuger regelmäßig, wer die finalen Verarbeitungsschritte (Zuschneiden, Befüllen, Versiegeln) vornimmt und die Verpackung bzw. das verpackte Produkt erstmals auf dem Unionsmarkt bereitstellt – häufig zugleich Markeninhaber des Produkts.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VO (EU) 2025/40; Leitfaden C(2026)3702, Abschn. 2 (Abfüller-Regel)</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Verpackung oder verpacktes Produkt unter eigenem Namen/eigener Marke entwickeln oder herstellen lässt, ist Erzeuger – unabhängig von physischer Produktion und unabhängig davon, ob weitere Marken sichtbar sind (Private-Label-Fall).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VO (EU) 2025/40; Leitfaden C(2026)3702, Abschn. 2 (Markenkriterium)</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Für leere Gebrauchsverpackungen ist der physische Hersteller Erzeuger, außer die Verpackung trägt die Marke des Verwenders. Unbrandete Sonderanfertigungen: Besteller mit Design-Hoheit.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VO (EU) 2025/40; Leitfaden C(2026)3702, Abschn. 2 (bei Transport-/Service-/Primärproduktionsverpackung regelmäßig der Verpackungshersteller; bei Branding durch den Nutzer dieser; ohne Marke: wer bestellt und Designspezifikationen festlegt)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 verpackten Produkten ist Hersteller, wer sie erstmals in DE bereitstellt: der inländische Abfüller ODER – bei Bezug verpackter Ware aus anderem Mitgliedstaat/Drittland – das erste inländische Unternehmen in der Lieferkette.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VO (EU) 2025/40; Leitfaden C(2026)3702, Abschn. 3 (Verkaufsverpackung: der Befüller, der erstmals im Mitgliedstaat bereitstellt); ErwG 122; EUNR-Papier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Z1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rollen_set_je_produktlinie (Mehrfachrollen möglich; keine pauschale Firmenrolle)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Output-Prinzip der Engine: Jede Produktlinie erhält ein Rollen-SET mit Herleitung (angewandte Regeln + Fundstellen). Typische Doppelrollen: Marken-Abfüller = Erzeuger + Hersteller; Eigenmarken-Importeur = Importeur + Erzeuger (Art. 21) + ggf. Hersteller; Händler mit Endkundengeschäft = Vertreiber + Endvertreiber +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Systematik Art. 3 Abs. 1 Nr. 12–21 VO (EU) 2025/40; Leitfaden C(2026)3702, Abschn. 2/3 (Tabelle Manufacturer vs. Producer)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vertreiber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Auffangrolle der Lieferkette mit Sorgfaltspflichten (u. a. Prüfung Registereintrag des Herstellers, Art. 44).</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18; Art. 19 VO (EU) 2025/40; —</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endvertreiber (zusätzlich)</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Zusatzrolle bei Lieferung an Endabnehmer (auch beruflicher Endabnehmer, auch via Website). Löst endkundennahe Pflichten aus (Mehrwegangebot, Rücknahme, Pfand).</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VO (EU) 2025/40; §§ 39 ff., 46 VerpackDG; Leitfaden C(2026)3702, Abschn. 22/23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lieferant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Informationspflichten gegenüber dem Erzeuger (Anhang VII); bei Serviceverpackungen zugleich potenzieller Vorvertreiber i. S. d. § 7 Abs. 2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16; Art. 16 VO (EU) 2025/40; Leitfaden C(2026)3702, Abschn. 2 (Kleinstunternehmen-Ausnahme: Lieferant kann Erzeuger werden, Regel A3)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pflicht: bevollmaechtigter_ehv beauftragen/benennen (vor erster Bereitstellung)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 hat die Drittlands-Option des Art. 45 Abs. 3 Satz 2 ausgeübt (§ 5 Abs. 2 Satz 2 VerpackDG). Nur ein Bevollmächtigter je Hersteller; schriftliche Vollmacht auf Deutsch; Benennung gegenüber ZSVR mit Bestätigung; Registrierung nicht delegierbar. | Delta 17.10.2026: Watch-Item, vgl. Praxisfrage A35.</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3 Satz 1 und 2 VO (EU) 2025/40; § 5 Abs. 2–6 VerpackDG (BGBl. 2026 I Nr. 207); Leitfaden C(2026)3702, Abschn. 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Rollen-Regeln (9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A.3 Anforderungen ohne offenen Punkt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Titel</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PFAS-Grenzwerte bei Lebensmittelkontakt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Verpackungen mit Lebensmittelkontakt dürfen seit dem 12.08.2026 nur in Verkehr gebracht werden, wenn sie die PFAS-Grenzwerte einhalten: 25 ppb je Einzelsubstanz, 250 ppb in der Summe und 50 ppm inklusive polymerer PFAS. Das trifft Erzeuger und Importeure.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5 Abs. 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Anforderungen an wiederverwendbare Verpackungen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eine Verpackung als Mehrweg einstuft oder vermarktet, muss alle Kriterien des Art. 11 erfüllen – von der Konzeption für mehrere Umläufe bis zur Rekonditionierbarkeit – und die Verpackung muss Teil eines Wiederverwendungssystems sein. Das gilt für alles, was seit dem 11.02.2025 in Verkehr kam.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11 Abs. 1 i. V. m. Anhang VI PPWR; Art. 15 Abs. 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Rollenzuordnung &amp; erweiterte Herstellerpflichten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PPWR und VerpackDG verteilen Pflichten strikt nach Rollen – und die Begriffe sind gegenläufig übersetzt: Der „Erzeuger“ (englisch manufacturer) trägt die Konformitätspflichten, der „Hersteller“ (englisch producer) die EPR-Pflichten wie Registrierung und Systembeteiligung.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Nr. 13/15 &amp; Art. 21 PPWR; §§ 6/7/13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für die EHV (grenzüberschreitender Direktvertrieb)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als Hersteller ohne Niederlassung im Zielland dort erstmals Verpackungen bereitstellt – vor allem im Direktvertrieb an Endkunden aus einem anderen Mitgliedstaat – muss vorab je Vertriebsland einen Bevollmächtigten für die erweiterte Herstellerverantwortung benennen.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3 &amp; Art. 3 Nr. 20 PPWR; § 5 Abs. 2–6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Was JETZT NICHT gilt (Entwarnung mit Frist) · gilt ab</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Entwarnung mit Ansage: Recyclingklassen, EU-Rezyklatquoten, das Sortierlabel, die Leerraumquote, die Anhang-V-Verbote und die Mehrwegquoten gelten noch nicht – sie kommen gestaffelt ab 2028/2030, teils erst nach ausstehenden EU-Rechtsakten.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6/7/10/12/24/25/29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Design-for-Recycling-Einstufung (Klassen A/B/C) · Rechtsakt ausstehend, geplant ab 2030-01-01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Künftig muss jede Verpackung recyclinggerecht designt und in Leistungsklassen (A/B/C) eingestuft sein – wer unter der Mindestklasse liegt, darf nicht mehr in Verkehr bringen. Die Detailkriterien legt die EU erst per delegierte Rechtsakte fest (Frist: 01.01.2028).</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 Abs. 4 PPWR (delegierte Rechtsakte bis 01.01.2028)</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Recycled at scale · Rechtsakt ausstehend, geplant ab 2035-01-01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 einer zweiten Stufe gilt eine Verpackung nur noch als recyclingfähig, wenn sie tatsächlich in großem Maßstab getrennt gesammelt, sortiert und recycelt wird. Die Methodik legt die EU erst per Durchführungsrechtsakte fest. Gelten wird das ab dem 01.01.2035 – vorher ist keine Maßnahme nötig, der Radar beobachtet.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 Abs. 2 lit. b &amp; Abs. 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Harmonisiertes Sortierlabel · Rechtsakt ausstehend, geplant ab 2028-08-12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 EU-weit einheitliches, piktogrammbasiertes Sortierlabel wird Pflicht – frühestens ab dem 12.08.2028, abhängig vom noch ausstehenden Durchführungsrechtsakt. Nationale Sortierhinweise werden dann verdrängt.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1/6 PPWR; §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Mehrweg-Kennzeichnung + QR-Datenträger · Rechtsakt ausstehend, geplant ab 2029-02-12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Mehrwegverpackungen bekommen künftig ein eigenes Label plus QR-Code oder anderen Datenträger – mit Infos zum System, zu Sammelstellen und zur Umlaufzählung. Das gilt ab dem 12.02.2029 oder 30 Monate nach dem noch ausstehenden Durchführungsrechtsakt.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2/6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Freiwillige Labels Rezyklat-/Bioanteil · Rechtsakt ausstehend, geplant ab 2028-08-12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Angaben zum Rezyklatanteil oder zum biobasierten Anteil bleiben freiwillig. Aber: Wer sie macht, muss ab Geltung der Regelung die harmonisierten EU-Spezifikationen nutzen – voraussichtlich ab dem 12.08.2028 oder 24 Monate nach dem noch ausstehenden Rechtsakt. (Art. 12 Abs. 4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4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SUPD-Schnittstelle: EPS-/XPS-Verbote &amp; EWKVerbotsV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bestehenden Verbote für Lebensmittelbehälter und Becher aus expandiertem Polystyrol (EPS) gelten weiter. Ab dem 01.01.2030 kommen die entsprechenden Formate aus extrudiertem Polystyrol (XPS) hinzu – unmittelbar über EU-Recht, ohne dass Deutschland etwas umsetzen muss.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EWKVerbotsV; Art. 67 Abs. 5 PPWR (XPS ab 2030)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Mehrwegquote Getränke (10 % ab 2030) · gilt ab 2030-01-01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Ab dem 01.01.2030 müssen Endvertreiber – Handel, Gastronomie, Online – mindestens 10 % ihrer Getränke in Mehrweg-Verkaufsverpackungen anbieten. Es zählt das Angebot, keine Verkaufsquote. Unabhängig davon gelten die deutschen EINWEG/MEHRWEG-Hinweispflichten am Regal schon heute. (Art. 29 Abs. 6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29 Abs. 6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Registrierung im Herstellerregister (LUCID)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als Hersteller Verpackungen in Deutschland erstmals bereitstellt – oder als gewerblicher Auspacker tätig wird – muss sich vorher bei der ZSVR im Register LUCID registrieren. Bestehende Registrierungen gelten fort, Änderungen sind bis zum 12.11.2026 mitzuteilen, erstmals Verpflichtete müssen sich bis zum 12.09.2026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 VerpackDG; Art. 44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Systembeteiligungspflicht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müssen sich vor der ersten Bereitstellung systembeteiligungspflichtiger Verpackungen an mindestens einem dualen System beteiligen – mit Mengen und Materialart. Ausgenommen sind unter anderem Mehrweg im funktionierenden System und pfandpflichtige Einweggetränke.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7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Vertreiber-Sorgfaltspflichten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Händler müssen vor der Bereitstellung zweierlei prüfen: Trägt die Verpackung die Pflichtkennzeichnungen – und ist der Hersteller im Register des jeweiligen Landes registriert? In Deutschland ist das LUCID, öffentlich einsehbar. Bei Zweifeln gilt: nicht bereitstellen und melden.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19 PPWR; Art. 44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#40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Lieferanten-Informationspflichten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Verpackungen oder Verpackungsmaterial an einen Erzeuger liefert, muss ihm alle Informationen und Unterlagen geben, die er für den Konformitätsnachweis braucht – von der Zusammensetzung inklusive Schwermetallen und PFAS bis zu Prüfberichten. Wer nicht liefert, riskiert die Haftungskette und den Listungsverlust.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16 Abs. 1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Anforderungen (16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A.4 Praxisfragen ohne offenen Punkt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Praxisfrage</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Lohnabfüllung: Wer ist der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PPWR trennt zwei Rollen, die das VerpackG in „Hersteller“ bündelte. Erzeuger (Konformitätsschiene) ist, wer die Verpackung oder das verpackte Produkt unter eigenem Namen oder eigener Marke entwickeln oder herstellen LÄSST – das eigene Abfüllen ist nicht nötig (Art. 3 Abs. 1 Nr. 13 lit. a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PPWR; Art. 15 Abs. 1 u. 2 PPWR;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Handels-Eigenmarke: Wer trägt welche Rolle?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Beim mehrstufigen Private Label fallen die Rollen typischerweise auseinander. Erzeuger ist der Händler, weil das Produkt unter SEINER Marke hergestellt wird (Art. 3 Abs. 1 Nr. 13 lit. a PPWR) – er trägt die Konformitätsverantwortung (Art. 15).</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PPWR; Art. 3 Abs. 1 Nr. 15 lit. b PPWR; §§ 6, 7, 9 VerpackDG; Leitfaden C(2026) 3702 Abschn. 2 u.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Kleiner Onlineshop mit Logo-Ware: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wenn die Kleinstunternehmen-Ausnahme greift: Fällt der Markeninhaber unter die am 11.02.2025 geltende Kleinstunternehmen-Definition der Empfehlung 2003/361/EG (unter 10 Beschäftigte UND Jahresumsatz oder Bilanzsumme max. 2 Mio.</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b PPWR; Empfehlung 2003/361/EG;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Kleinstunternehmen mit EU-Lieferant: Wer haftet?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entscheidend. Die Kleinstunternehmen-Entlastung des Art. 3 Abs. 1 Nr. 13 lit. b PPWR setzt zwingend voraus, dass der Verpackungslieferant im SELBEN Mitgliedstaat ansässig ist wie Sie. Sitzt er in Polen und Sie in Deutschland, ist die Bedingung nicht erfüllt.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u. b PPWR; §§ 6, 7 VerpackDG; § 9 Abs. 2 VerpackDG; § 10 Abs.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Auspacken von Palettenware: Neue Pflichten?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Der Berater hat vermutlich recht. „Hersteller“ ist in der PPWR keine Produktionsrolle, sondern die EPR-Rolle. Nach dem Auffangtatbestand des Art. 3 Abs. 1 Nr. 15 lit. e PPWR ist Hersteller, wer in einem Mitgliedstaat niedergelassen ist und verpackte Produkte AUSPACKT, ohne Endabnehmer zu sein – es sei denn, eine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e PPWR; § 6 Abs. 1 VerpackDG; § 7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Auspacker-Regel: Betrifft uns das?</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 dieser Konstellation regelmäßig nein, aus zwei Gründen. Erstens ist der Auspacker-Tatbestand subsidiär: Er greift nur, wenn NICHT bereits eine andere Person Hersteller nach Art. 3 Abs. 1 Nr. 15 lit. a–d PPWR ist.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e PPWR; Art. 3 Abs. 1 Nr. 23 PPWR; § 39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US-Konzern mit Zweigniederlassung: Wer ist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Importeur kann nur eine IN DER UNION ANSÄSSIGE natürliche oder juristische Person sein (Art. 3 Abs. 1 Nr. 17 PPWR). Nach der Kommissions-Auslegung erfüllt eine unselbstständige Zweigniederlassung dieses Merkmal nicht: Sie hat keine eigene Rechtspersönlichkeit, handelt nur unter der Identität der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17 PPWR; Art. 17 PPWR; § 5 Abs. 2 VerpackDG; Leitfaden C(2026) 3702 Abschn. 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vs. EPR-Bevollmächtigter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sind zwei völlig getrennte Institute auf zwei Schienen. Der Bevollmächtigte nach Art. 3 Abs. 1 Nr. 19 i. V. m. Art. 17 PPWR wird vom ERZEUGER schriftlich mandatiert und übernimmt Aufgaben der Konformitätsschiene (z. B. Ausstellung der EU-Konformitätserklärung) – er ist stets freiwillig.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19 u. 20 PPWR; Art. 17 PPWR; Art. 45 Abs. 3 PPWR; § 5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AT-Webshop an deutsche Endkunden: Pflichten?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Sie sind Hersteller in Deutschland nach Art. 3 Abs. 1 Nr. 15 lit. d PPWR (Erstbereitstellung verpackter Produkte direkt an Endabnehmer im Hoheitsgebiet eines anderen Mitgliedstaats); beim Online-Verkauf gilt bereits das Angebot an den Endkunden als Bereitstellung im Zielstaat (Leitfaden Abschn.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d PPWR; Art. 45 Abs. 3 Satz 1 PPWR; § 5 Abs. 2–5 VerpackDG; § 6 VerpackDG; § 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China-Lieferant über Marktplatz: Wer haftet?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Auch ein in einem Drittland niedergelassener Anbieter ist Hersteller in Deutschland, wenn er verpackte Produkte erstmals direkt an Endabnehmer im Bundesgebiet bereitstellt (Art. 3 Abs. 1 Nr. 15 lit. d PPWR: „in einem Mitgliedstaat oder in einem Drittland niedergelassen“). Deutschland hat die Option des Art.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d PPWR; Art. 45 Abs. 3 Satz 2 u. Abs. 4 PPWR; § 5 Abs. 2 Satz 2 VerpackDG; § 13 Abs. 3 u.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Bäckertüten vom Großhandel: Bin ich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Systematik hat sich zu Ihren Gunsten gedreht. Serviceverpackungen gehören zu den Verpackungsarten, bei denen die Herstellerrolle an der LEEREN Verpackung ansetzt: Hersteller ist, wer die Transport-, Service- oder Primärproduktionsverpackung erstmals im Bundesgebiet bereitstellt (Art. 3 Abs. 1 Nr. 15 lit.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a PPWR; ErwG 122 PPWR; § 3 Abs. 6 VerpackDG; Leitfaden C(2026) 3702 Abschn.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Export nach Frankreich: Wer lizenziert dort?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Die Herstellerrolle entsteht je Mitgliedstaat dort, wo die Verpackung erstmals bereitgestellt wird – im Staat, in dem sie voraussichtlich zu Abfall wird (Art. 3 Abs. 1 Nr. 15 lit. b, ErwG 122 PPWR). Liefern Sie an den französischen Großhändler, erfolgt die erste Bereitstellung in Frankreich;</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PPWR; ErwG 122 PPWR; § 11 Nr. 4 VerpackDG; Leitfaden C(2026) 3702 Abschn.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Schweiz-Export: Zählt das in die Mengen?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Die erweiterte Herstellerverantwortung knüpft an die Bereitstellung im Hoheitsgebiet eines Mitgliedstaats an (Art. 45 Abs. 1 PPWR); wird die Ware in ein Drittland exportiert, wo sie zu Abfall wird, entsteht in keinem Mitgliedstaat eine Herstellerrolle (Leitfaden Abschn.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1 PPWR; § 11 Nr. 4 VerpackDG; Leitfaden C(2026) 3702 Abschn. 3; EUNR-Papier Producer Definition (Sekundärquelle)</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Importeur: Vom Alt-„Hersteller" zu welchen Rollen?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Typischerweise drei. (1) Importeur nach Art. 3 Abs. 1 Nr. 17 PPWR mit eigenen Konformitäts-Prüfpflichten: Sie dürfen nur Verpackungen in Verkehr bringen, bei denen der Erzeuger Konformitätsbewertung, Doku und Kennzeichnung erledigt hat, und müssen Ihre eigenen Kontaktangaben ergänzen (Art. 18, insb. Abs.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u. Nr. 17 PPWR; Art. 18 PPWR; Art. 21 PPWR; §§ 6, 7, 9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Eigenmarken-Handel: Werden wir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Bringt ein Importeur oder Vertreiber Verpackungen unter eigenem Namen oder eigener Marke in Verkehr, gilt er als Erzeuger und unterliegt den Erzeuger-Pflichten nach Art. 15 (Art. 21 UAbs. 1 PPWR) – also Konformitätsbewertung (Art. 38), technische Dokumentation (Anhang VII) und EU-Konformitätserklärung (Art.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21 PPWR; Art. 15 PPWR; Art. 16 PPWR; Art. 38 u. 39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Firmengruppe: Eine Registrierung oder drei?</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Hersteller ist „jede natürliche oder juristische Person“, die einen Tatbestand des Art. 3 Abs. 1 Nr. 15 PPWR erfüllt – die Rolle entsteht je Rechtsträger, nicht je Konzern. Jede GmbH, die selbst erstmals im Bundesgebiet bereitstellt (oder auspackt, lit. e), ist eigenständig registrierungspflichtig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PPWR; § 5 Abs. 1 Satz 2 VerpackDG; § 6 Abs. 1 u.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Eigene Limo im Handel: Welche Rollen haben wir?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Beides – die Doppelrolle ist der Normalfall des inländischen Markenabfüllers. Erzeuger sind Sie, weil die Verkaufsverpackung unter Ihrem Namen befüllt/versiegelt und in Verkehr gebracht wird (Art. 3 Abs. 1 Nr. 13 PPWR; Leitfaden Abschn. 2: Abfüller mit finalen Verarbeitungsschritten).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PPWR; Art. 3 Abs. 1 Nr. 15 lit. b PPWR; §§ 6, 7, 9, 10 VerpackDG; § 11 Nr.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Endvertreiber = alter Letztvertreiber?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Funktional ja, terminologisch neu. Endvertreiber ist die Person in der Lieferkette, die verpackte Produkte – auch im Wege der Wiederverwendung oder als Wiederbefüllung – an den Endabnehmer liefert (Art. 3 Abs. 1 Nr. 21 PPWR); das erfasst stationären Handel, Gastronomie und Fernabsatz gleichermaßen.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PPWR; Art. 19 PPWR; §§ 46, 47, 60 VerpackDG; § 12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Eine Rolle je Firma – oder je Produktlinie?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Es gibt keine pauschale Firmenrolle. Alle Rollen der PPWR (Erzeuger, Hersteller, Importeur, Vertreiber, Endvertreiber, Lieferant, Fulfilment-Dienstleister) knüpfen an konkrete Tätigkeiten in Bezug auf konkrete Verpackungen an (Art. 3 Abs. 1 Nr. 12–21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12–21 PPWR; Leitfaden C(2026) 3702 Abschn. 2–4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LUCID: Gilt die alte Registrierung weiter?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Sie gilt fort. Wer nach § 9 VerpackG (Fassung bis 11.08.2026) registriert ist, gilt auch nach § 6 VerpackDG als registriert (§ 68 Abs. 2 Satz 1 VerpackDG). Folge: Keine Neuregistrierung – aber eine Pflicht zur Aktualisierung: Änderungen der Registrierungsdaten nach neuem Recht (z. B. neue Angaben nach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2 Satz 1 u. 2 VerpackDG; § 6 Abs. 1 u.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Erstmals registrierungspflichtig: Frist?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Für Bestands-Konstellationen gibt es eine Nachfrist: Hersteller, die nach § 6 Abs. 1 VerpackDG erstmals registrierungspflichtig sind und nicht bereits nach § 9 VerpackG a. F. registrierungspflichtig waren, müssen sich bis zum 12. September 2026 registrieren (§ 68 Abs. 2 Satz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2 Satz 3 VerpackDG; § 6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Systemvertrag bis 2027: Weiterlaufen lassen?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Nur begrenzt. Systembeteiligungen nach § 7 VerpackG a. F., die vor dem 12.08.2026 erfolgt sind, gelten – vorbehaltlich abweichender privatrechtlicher Vereinbarungen – fort, längstens jedoch bis zum Ablauf des 31. Dezember 2026 (§ 68 Abs. 1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1 VerpackDG; § 7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Bußgeld-Moratorium bis 2027: Zeit lassen?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Gerücht verkürzt gefährlich. Richtig ist nur: Die Bußgeldtatbestände für Verstöße gegen die PPWR selbst (§ 66 Abs. 2 VerpackDG) sind erst ab dem 12. Februar 2027 anzuwenden (§ 68 Abs. 17). Falsch ist der Umkehrschluss: Die NATIONALEN Bußgeldtatbestände (§ 66 Abs. 1 –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66 Abs. 1 u. 2 VerpackDG; § 68 Abs. 17 VerpackDG; § 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Vollständigkeitserklärung: Ab welchen Mengen?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Schwellen stehen jetzt in § 10 Abs. 4 VerpackDG: Befreit ist, wer systembeteiligungspflichtige Verpackungen im vorangegangenen Kalenderjahr höchstens in folgenden Mengen im Bundesgebiet bereitgestellt hat – Glas unter 80 Tonnen, Papier/Pappe/Karton unter 50 Tonnen, übrige Materialarten (nach § 42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10 Abs. 4 VerpackDG; § 10 Abs. 1 u. 3 VerpackDG; § 56 Abs.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Parallelmeldung an die ZSVR: Wirklich sofort?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Grundsatz ja, mit Kleinmengen-Erleichterung. Hersteller müssen die im Rahmen der Systembeteiligung getätigten Angaben (Registrierungsnummer, Materialart/Masse, System, Zeitraum) unverzüglich nach Übermittlung an das System auch der ZSVR melden (§ 9 Abs. 1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9 Abs. 1 u. 2 VerpackDG; § 5 Abs. 1 Satz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Pfand: Was ändert sich für Saft und Limo?</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Inhaltlich weitgehend Kontinuität, jetzt in §§ 46/47 VerpackDG. Es bleibt beim Mindestpfand von 0,25 € je Einweggetränkeverpackung, der Pfandkennzeichnung vor der Bereitstellung, der Teilnahme am bundesweit einheitlichen Pfandsystem und den Rücknahme-/Erstattungspflichten auf allen Handelsstufen (§ 46 Abs. 1–3).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46 Abs. 1–5 VerpackDG; § 47 VerpackDG; § 11 Nr. 2 VerpackDG; Art. 50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EINWEG/MEHRWEG-Kennzeichnung im Onlineshop</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Die Hinweispflichten der Endvertreiber (EINWEG bei pfandpflichtigen Einweg-Getränkeverpackungen, MEHRWEG bei wiederverwendbaren Getränkeverpackungen) gelten im Fernabsatz entsprechend – die Hinweise sind in den jeweils verwendeten Darstellungsmedien zu geben (§ 47 Abs. 1–3 VerpackDG), also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47 Abs. 1–5 VerpackDG; § 66 Abs. 1 Nr. 26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vs. Erstinverkehrbringer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 Vorsicht Begriffsfalle. „Erstinverkehrbringer“ (jede Person, die Verpackungen erstmals gewerbsmäßig im Bundesgebiet bereitstellt) und „Inverkehrbringer“ sind rein nationale Hilfsbegriffe des § 3 Abs. 17 u. 18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17 u. 18 VerpackDG; § 46 VerpackDG; Art. 3 Abs. 1 Nr. 13 u. 15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Mehrwegkisten: Lizenz und Registrierung nötig?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Beides ja. Die Systembeteiligungspflicht (und §§ 8–10) gilt nicht für Hersteller wiederverwendbarer Verpackungen, deren tatsächliche Rücknahme und Wiederverwendung durch ein bestehendes Wiederverwendungssystem ermöglicht wird (§ 11 Nr. 1 VerpackDG). Die Registrierungspflicht bleibt davon aber unberührt: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11 Nr. 1 VerpackDG; § 6 Abs. 1 u. 2 VerpackDG; § 39 Abs. 1 Satz 1 Nr. 6 VerpackDG; Art. 11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Reine B2B-Transportverpackungen: Befreit?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Aus der Systembeteiligung meist ja, aus dem Pflichtenkreis nein. Systembeteiligungspflichtig sind nur Verpackungen, die typischerweise mehrheitlich in privaten Haushaltungen oder vergleichbaren Anfallstellen als Abfall anfallen (§ 3 Abs. 6 VerpackDG) – reine B2B-Transportverpackungen regelmäßig nicht.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6 u. 7 VerpackDG; § 39 Abs. 1 u. 3 VerpackDG; § 19 VerpackDG; § 68 Abs. 9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Branchenlösung: Bleibt sie zulässig?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aber es gibt eine Zulassungs-Uhr. Branchenlösungen bleiben als Erfüllungsweg erhalten (§ 8 VerpackDG: unentgeltliche Rücknahme bei nachweislich belieferten vergleichbaren Anfallstellen statt Systembeteiligung), neu ist eine Zulassungspflicht. Übergang: Wer den Betrieb vor dem 12.08.2026 nach § 8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8 VerpackDG; § 68 Abs. 6 u. 7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Händler-Prüfpflicht: Lieferanten in LUCID checken?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das ist zweifach angeordnet. EU-Ebene: Vertreiber müssen vor der Bereitstellung überprüfen, dass der Hersteller im Herstellerregister des jeweiligen Mitgliedstaats registriert ist (Art. 19 PPWR i. V. m. Art. 44) und dass die Kennzeichnungen nach Art. 15 Abs. 5/6 bzw. Art. 18 Abs. 3 vorhanden sind.</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19 PPWR; Art. 44 PPWR; § 13 Abs. 3 VerpackDG; § 6 Abs.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Lagerbestand aus 2025: Abverkauf erlaubt?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Entscheidend ist nicht das Produktionsdatum, sondern das Inverkehrbringen – die ERSTMALIGE Bereitstellung (Art. 3 Abs. 1 Nr. 10 u. 11 PPWR). Lebensmittelkontakt-Verpackungen, die ab dem 12.08.2026 in Verkehr gebracht werden, müssen die PFAS-Grenzwerte des Art. 5 Abs. 5 einhalten;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10 u. 11 PPWR; Art. 5 Abs. 5 PPWR; Leitfaden C(2026) 3702 Abschn. 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PFAS-Grenzwerte: Was müssen Lieferanten liefern?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Seit 12.08.2026 darf Lebensmittelkontakt-Verpackung nicht in Verkehr gebracht werden, wenn sie PFAS in folgenden Konzentrationen enthält: 25 ppb je Einzelsubstanz (gezielte Analyse, polymere PFAS ausgenommen), 250 ppb als Summe der gezielten Analysen (ggf.</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5 Abs. 5 PPWR; Leitfaden C(2026) 3702 Abschn. 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Private Label: Wer unterschreibt die Erklärung?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Erklärung ist Sache des Erzeugers – beim Private Label also des Markeninhabers (Art. 3 Abs. 1 Nr. 13 lit. a, Art. 39 PPWR). Delegation ist zweistufig möglich: (1) Das Konformitätsbewertungsverfahren selbst darf ein Dritter im Auftrag durchführen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39 PPWR; Art. 15 Abs. 2 PPWR; Art. 16 Abs. 1 PPWR; Art. 17 PPWR;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Als „Mehrweg" vermarkten: Was ist nötig?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Als wiederverwendbar gilt eine Verpackung nur, wenn sie ALLE Kriterien des Art. 11 Abs. 1 lit. a–i PPWR erfüllt (u. a. Konzeption für Mehrfachumläufe, Entleer-/Wiederbefüllbarkeit ohne Beschädigung, Rekonditionierbarkeit nach Anhang VI Teil B, Kennzeichnungsfähigkeit, Recyclingfähigkeit am Lebensende) UND Teil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11 Abs. 1 i. V. m. Anhang VI PPWR; Art. 15 Abs. 9 PPWR; Leitfaden C(2026) 3702 Abschn. 12; § 11 Nr.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Kleines Café: Mehrweg-Angebotspflicht?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Mehrwegangebotspflicht gilt weiter (Fortführung aus §§ 33/34 VerpackG): Endvertreiber, die Einwegkunststoff-Lebensmittelverpackungen oder Einweg-Getränkebecher erst vor Ort befüllen, müssen die Ware auch in wiederverwendbaren Verpackungen anbieten – nicht teurer und nicht zu schlechteren Bedingungen,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60 VerpackDG; § 61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Praxisfragen (37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A.5 Glossar ohne offenen Punkt (48)</w:t>
      </w:r>
    </w:p>
    <w:p>
      <w:pPr>
        <w:spacing w:after="60" w:before="60"/>
      </w:pPr>
      <w:r>
        <w:rPr>
          <w:rFonts w:ascii="Arial" w:cs="Arial" w:eastAsia="Arial" w:hAnsi="Arial"/>
          <w:sz w:val="19"/>
          <w:szCs w:val="19"/>
        </w:rPr>
        <w:t xml:space="preserve">Das Glossar enthält keine eigenständigen Rechtsaussagen, nur beschreibende Einordnung und Verweise auf die geprüften Datensätze. Prüfbitte: Ist ein Begriff falsch einsortiert oder ein Verweis irreführend?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Lemma</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Marmeladenglas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Glas mit Metall-Twist-off-Deckel und Etikett – eine Verpackungseinheit aus mehreren Bestandteilen (Glaskörper, Deckel, Etikett). Im Handel praktisch immer Einweg, auch wenn Kunden das Glas zu Hause weiterverwenden;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#07, #32, A01, A02, C06, erzeuger,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Versandkarton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Wellpappe-Verpackung, in der Ware im Versandhandel zum Endkunden geht – die PPWR kennt dafür den eigenen Typ E-Commerce-Versandverpackung. Fällt typischerweise beim privaten Endkunden als Abfall an.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#19, #27, #32, hersteller, endvertreiber, fulfillment_dienstleister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Getränkedose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Einweg-Getränkeverkaufsverpackung aus Aluminium oder Weißblech mit Aufreißdeckel. Der klassische Pfand-Fall: Dosen gehören zu den Formaten, bei denen die Getränke-Ausnahmen vom Pfand gerade nicht greifen (Rückausnahme).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#01, #31, B08,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Skin-/Wurstverpackung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für Fleisch- und Wurstwaren, bei der eine Folie das Produkt hauteng auf einer Trägerschale fixiert (Skin) oder unter Schutzatmosphäre verschließt (MAP).</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#11, #12,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Coffee-to-go-Becher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Einweg-Getränkebecher, der erst an der Theke befüllt wird – damit eine Serviceverpackung. Meist Papier mit PE-Innenbeschichtung (Verbund) plus Kunststoffdeckel. Kernformat der Mehrwegangebotspflicht in Gastronomie und To-go; direkter Lebensmittelkontakt.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#29, #26, #32, C08, A14,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Bäckertüte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 in Reinform: Die Tüte wird erst an der Verkaufsstelle befüllt und an den Kunden abgegeben. Meist Papier, teils mit Folien-Sichtfenster oder Pergamin-Einlage. Direkter Lebensmittelkontakt; fettabweisende Ausrüstungen sind der PFAS-Prüfpunkt.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#32, A14, A15, endvertreiber, hersteller,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Glas-Mehrwegflasche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Wiederverwendbare Getränkeverkaufsverpackung aus Glas im Pool- oder Individualsystem, mit Umlauf über Kästen und Rücknahme. Der Mehrweg-Status setzt Kriterien-Erfüllung plus Zugehörigkeit zu einem Wiederverwendungssystem voraus – Stabilität allein genügt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#30, #36, C06, B11,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Getränkekarton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Karton-Kunststoff-(teils Aluminium-)Verbund für Getränke und flüssige Lebensmittel. Als Verbund mit relevantem Kunststoffanteil ein Kernfall der Verbund-Diskussion im Recycling-Design;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#11, #12, #24, B08,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Joghurtbecher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PP oder PS, oft mit Aluminium-Platine als Deckel und teils Kartonmantel (K3) – eine Verpackungseinheit aus mehreren, getrennt entsorgbaren Bestandteilen. Genau diese Bestandteil-Logik (integriert vs.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#11, #12, #19,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Konservendose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Weißblech (verzinntem Stahl) mit Innenlackierung für haltbare Lebensmittel. Kein Pfand-Fall – Konserven sind keine Getränkeverpackungen. Lebensmittelkontakt über die Innenlackierung.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Tube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Aluminium oder Kunststoff-Laminat (oft mit Alu-Barriereschicht) für pastöse Füllgüter von Senf bis Kosmetik. Laminattuben sind ein typischer Mehrschicht-Verbund-Fall im Recycling-Design. Lebensmittelkontakt je nach Füllgut.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Blisterverpackung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bei der das Produkt zwischen tiefgezogener Kunststoffschale (klassisch PVC oder PET) und Karton- oder Folienrückseite sitzt – als Pharma-Durchdrückblister oder Sicht-/Hängeverpackung im Non-Food. Der Materialmix Kunststoff/Karton bzw.</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#19,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Faltschachtel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 oder Umverpackung aus Karton, flach angeliefert und beim Abpacken aufgerichtet. Mit Sichtfenster oder Beschichtung wird aus dem Mono-Material schnell ein Verbund-Kandidat. Lebensmittelkontakt typischerweise mittelbar über Innenbeutel.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#11, #17,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Papiertragetasche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Tragetasche aus Papier, an der Kasse oder als Versandbeipack. Vom deutschen Tragetaschenverbot nicht erfasst – das zielt auf Kunststoff. An der Verkaufsstelle Teil der Serviceverpackungs-Kette.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#25, #32, A14,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Menüschale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 der Gastronomie für Speisen zum Mitnehmen oder Liefern – als Kunststoffschale, Faserguss-/Bagasse-Schale oder beschichtete Kartonschale, historisch auch EPS. Kernformat der Mehrwegangebotspflicht bei Einwegkunststoff-Varianten;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#29, #26, #32, C08,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Eimer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 oder Transportverpackung aus PP/HDPE mit Bügel und Deckel – für Farben, Baustoffe oder Großgebinde-Lebensmittel. Gehört zu den Formaten der Transport-Mehrwegquoten; im reinen B2B-Strom greift die Rücknahme-Logik statt der Systembeteiligung.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#32, B12,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Kanister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Transport- und Verkaufsverpackung aus HDPE (teils Metall) für flüssige Füllgüter von Reinigern bis Chemikalien. Bei schadstoffhaltigen Füllgütern gelten eigene Rücknahme-Pfade statt dualem System;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#32, B12,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IBC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Großgebinde (typisch 1.000 Liter) aus HDPE-Blase, Stahl-Gitterrahmen und Palette – Transportverpackung im industriellen Umlauf, regelmäßig rekonditioniert und wiederverwendet.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#03, #30, #34, C07, B12, hersteller,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Tray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Umverpackung, die mehrere Verkaufseinheiten bündelt – als offener Karton-Tray, oft mit Schrumpffolie kombiniert. Wird sie vor dem Regal entsorgt, ist sie eine eigene Verpackungseinheit. Leerraum- und Minimierungs-Themen laufen hier zusammen.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#17, #18, #32,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Chipstüte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mehrschichtiger, häufig metallisierter Kunststofffolie (teils mit Alu- oder Papierlage) – der Standardfall des flexiblen Verbunds. Recycling-Design und die Verbund-Einstufung nach Kunststoffanteil sind die Praxisthemen.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#24,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Getränkekasten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Wiederverwendbare Transport-/Umverpackung aus HDPE für Mehrwegflaschen – mit Pfand belegt und in Poolsystemen im Umlauf. Kunststoffkästen mit Rezyklateinsatz sind neben Paletten der Anwendungsfall der deutschen Schwermetall-Ausnahme für geschlossene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#01, #30, C05, C06, B11,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Papier/Pappe/Karton (PPK)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Sammelbegriff der faserbasierten Verpackungsmaterialien und eigene Materialfraktion mit eigener VE-Schwelle. Gilt als etabliert recycelbar, wird aber mit Beschichtung, Sichtfenster oder Nassfestmitteln schnell zum Verbund-Fall.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#02, B06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Polyethylen (PE)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Mengenmäßig wichtigster Verpackungskunststoff: als LDPE für Folien, Beutel und Stretchfolie, als HDPE für Flaschen, Kanister, Kästen und Paletten. Kennzeichnungsnummern 2 (HDPE) und 4 (LDPE).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#25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Polypropylen (PP)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Kunststoff Nr. 5 der Kennzeichnungssystematik; Standard für Becher, Verschlüsse, Eimer und mikrowellenfeste Schalen. Temperaturbeständiger als PE und verbreiteter Werkstoff für Mehrweg-Geschirr und -Behälter.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Polystyrol (PS)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Kunststoff Nr. 6 der Kennzeichnungssystematik – klassisch für Becher, Molkereiverpackungen und Trägermaterial. In geschäumter Form der Ausgangsstoff für EPS/XPS mit eigener Verbotslage.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#26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EPS/XPS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Geschäumte Polystyrol-Varianten: EPS (Partikelschaum, „Styropor“) und XPS (extrudiert). Im Lebensmittel-To-go-Bereich gelten für EPS bereits Verbote, XPS folgt 2030 – die saubere Unterscheidung der beiden Schaumtypen ist deshalb der Prüfpunkt in den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#26, #24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Glas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Materialfraktion mit eigener VE-Schwelle und eigener Kennzeichnungsgruppe (GL 70–72 nach Farbe). Praktisch beliebig oft recycelbar; hoher Rezyklateinsatz ist Standard – dafür existiert die deutsche Schwermetall-Sonderregel für rezyklatbedingte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#19, B06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Aluminium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Metall-Verpackungsmaterial für Dosen, Tuben, Platinen und Kapseln sowie als Barriereschicht in Verbunden. Als Mono-Material gut recycelbar; als dünne Verbundschicht der klassische Design-Zielkonflikt zwischen Barrierewirkung und Recyclingfähigkeit.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#36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Weißblech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Verzinnter Stahl für Konserven, Getränkedosen, Kronkorken und Deckel – magnetisch sortierbar und als Metallfraktion etabliert im Recycling. Den Lebensmittelkontakt stellen Innenlackierungen her.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Rezyklat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Aus Recyclingprozessen gewonnenes Material, das Primärrohstoff ersetzt – in der PPWR-Terminologie „Sekundärrohstoff“. Rezyklateinsatz ist zugleich Quotenthema (PET heute, EU-weit ab 2030), Kostenhebel über die Ökomodulation und Sonderfall bei den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#14, #15, #35, #01, #02, C05, C10, B15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Pfand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Geldbetrag, der bei pfandpflichtigen Einweg-Getränkeverpackungen auf allen Handelsstufen erhoben und bei Rückgabe erstattet wird – in Deutschland mindestens 0,25 € im bundesweiten DPG-System.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B08, B09,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Private Label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Produkte, die unter der Marke des Händlers gefertigt werden. Verpackungsrechtlich der Lehrbuchfall auseinanderfallender Rollen: Markeninhaber auf der Konformitätsschiene, Abfüller/Lieferant auf der EPR-Schiene – mit Sonderregel für Kleinstunternehmen.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#08, #04, #06, A03, A20, A04, C04, erzeuger,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Verpackung, die dem Endabnehmer als Verkaufseinheit mit dem Produkt angeboten wird – die innerste Verpackungsebene. Im Produkt der wichtigste Verpackungstyp der Kombinatorik, weil hier Lebensmittelkontakt, Kennzeichnung und Systembeteiligung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#07, #17, erzeuger,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Umverpackung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Verpackungsebene, die mehrere Verkaufseinheiten bündelt – vom Tray bis zur Multipack-Folie – und entfernt werden kann, ohne das Produkt zu beeinträchtigen. Eigenes Regulierungs-Feld bei Leerraum und Minimierung.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#17, #32,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Transportverpackung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Verpackungsebene für Handhabung und Transport zwischen Wirtschaftsakteuren – Paletten, Kisten, Fässer, Wickelfolien und Co. Hauptschauplatz der kommenden Mehrwegquoten und der B2B-Rücknahmelogik;</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#19, B12,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für mehrere Umläufe konzipiert ist und in einem Wiederverwendungssystem tatsächlich rotiert – erst beides zusammen macht den Mehrweg-Status aus, robuste Bauweise allein genügt nicht.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#30, #20, C06, C07, B11,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Einwegverpackung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Verpackung, die keine Mehrwegverpackung ist – die Auffangkategorie mit den Massenpflichten von Systembeteiligung bis Pfand. Eine Falsch-Einstufung als Mehrweg kippt automatisch in die Einweg-Folgen zurück.</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#32, #29, C06,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Systembeteiligung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Finanzierungsbeteiligung des Herstellers an einem dualen System für Verpackungen, die typischerweise beim privaten Endverbraucher anfallen. Die Entgelte werden ökologisch moduliert – Recyclingfähigkeit wird damit zum direkten Kostenfaktor.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#35, B03, B15, A14,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Registrierung (LUCID)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Der öffentliche Registereintrag des Herstellers bei der Zentralen Stelle Verpackungsregister – für alle Verpackungsarten, nicht nur lizenzpflichtige. Praktisch die Eintrittskarte in den Markt: Händler und Fulfillment-Dienstleister prüfen den Registerstatus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#31, #38, #39, B01, B02, A21, B14, hersteller, vertreiber, fulfillment_dienstleister, bevollmaechtigter_ehv</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Inverkehrbringen / Bereitstellung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Scharnier des ganzen Systems: „Bereitstellung“ ist jede Abgabe zum Vertrieb oder Verbrauch, „Inverkehrbringen“ die erste davon. An diesem Zeitpunkt hängen Stichtage und Bestandsschutz – unverkaufte Lagerware ist noch nicht in Verkehr gebracht.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#10, #08, C01, A16, erzeuger, hersteller, importeur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Lebensmittelkontakt-Verpackung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bestimmungsgemäß mit Lebensmitteln in Berührung kommt – im Produkt das Filterkriterium für die schärfsten Stoffregeln, allen voran PFAS. „Kontaktempfindlich“ ist der weitere PPWR-Begriff, der darüber hinaus u. a.</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#14, C01, C02, erzeuger, importeur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E-Commerce-Verpackung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im Fernabsatz für den Versand an den Endabnehmer verwendet wird – typischerweise der Versandkarton samt Füll- und Polstermaterial (Art. 3 Abs. 1 Nr. 8 PPWR). Eigene Kategorie neben Verkaufs-, Um- und Transportverpackung, u. a.</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A12,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Primärproduktionsverpackung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für Erzeugnisse der Primärproduktion (Landwirtschaft, Fischerei), die bei der ersten Bereitstellung verwendet wird – etwa Steigen und Kisten ab Hof (Art. 3 Abs. 1 Nr. 4 PPWR). Für die Erzeuger-Zuordnung gelten hier eigene Regeln.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Physische Verpackungsherstellung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eigentliche Fertigung leerer Verpackungen oder Packmittel – Kartonagen, Folien, Gläser, Dosen. Wer nur physisch fertigt, ist nicht automatisch „Erzeuger" im PPWR-Sinn: Bei Markenware entscheidet die Marken-Konstellation (siehe Rollen-Klärung).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A01, A23,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Befüllen / Versiegeln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Tätigkeit, bei der Ware in die Verpackung gelangt und diese verschlossen wird – vom Lebensmittel-Abfüllen bis zum Konfektionieren. Für Verkaufsverpackungen ein zentraler Anknüpfungspunkt der Rollenbestimmung; die genaue Zuordnung leitet der Wizard her.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A01, A22, erzeuger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Gewerbliches Auspacken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gewerbsmäßige Entfernen von Um- oder Transportverpackungen angelieferter Ware, z. B. beim Kommissionieren im Lager. Kann seit dem VerpackDG eigene Pflichten auslösen – ein häufig übersehener 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A07, A08,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Eigenmarke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Produkt bzw. die Verpackung trägt Namen oder Marke des eigenen Unternehmens. Die Marken-Konstellation ist ein Schlüsselkriterium der Erzeuger-Zuordnung – wer unter eigener Marke in Verkehr bringt, rückt in die Konformitätsverantwortung.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A20, A15, erzeuger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Ware ohne Marke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Weder Produkt noch Verpackung tragen eine Marke. Die Rollen richten sich dann nach der physischen Herstellung bzw. der Auftrags-Konstellation (wer bestellt und spezifiziert) – relevant vor allem bei Transport- und Serviceverpackungen.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A23,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Glossar (48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1"/>
        <w:pageBreakBefore/>
        <w:spacing w:after="160" w:before="0"/>
      </w:pPr>
      <w:r>
        <w:rPr>
          <w:rFonts w:ascii="Arial" w:cs="Arial" w:eastAsia="Arial" w:hAnsi="Arial"/>
          <w:b/>
          <w:bCs/>
          <w:color w:val="004494"/>
          <w:sz w:val="32"/>
          <w:szCs w:val="32"/>
        </w:rPr>
        <w:t xml:space="preserve">Teil B – Einzelprüfung</w:t>
      </w:r>
    </w:p>
    <w:p>
      <w:pPr>
        <w:spacing w:after="160" w:before="60"/>
      </w:pPr>
      <w:r>
        <w:rPr>
          <w:rFonts w:ascii="Arial" w:cs="Arial" w:eastAsia="Arial" w:hAnsi="Arial"/>
          <w:sz w:val="20"/>
          <w:szCs w:val="20"/>
        </w:rPr>
        <w:t xml:space="preserve">49 Datensätze mit einer konkreten Frage an die Kanzlei. Je Karte: unsere Aussage, die Fundstellen, der offene Punkt, drei Kästchen. Wenn Sie „Ändern“ wählen, genügt ein Satz in der Anmerkungszeile; wir formulieren den Datensatz um und legen ihn Ihnen erneut vor.</w:t>
      </w:r>
    </w:p>
    <w:p>
      <w:pPr>
        <w:pStyle w:val="Heading2"/>
        <w:keepNext/>
        <w:spacing w:after="120" w:before="280"/>
      </w:pPr>
      <w:r>
        <w:rPr>
          <w:rFonts w:ascii="Arial" w:cs="Arial" w:eastAsia="Arial" w:hAnsi="Arial"/>
          <w:b/>
          <w:bCs/>
          <w:color w:val="111111"/>
          <w:sz w:val="26"/>
          <w:szCs w:val="26"/>
        </w:rPr>
        <w:t xml:space="preserve">B.1 Neu seit Juli 2026 (17 Praxisfragen)</w:t>
      </w:r>
    </w:p>
    <w:p>
      <w:pPr>
        <w:spacing w:after="120" w:before="60"/>
      </w:pPr>
      <w:r>
        <w:rPr>
          <w:rFonts w:ascii="Arial" w:cs="Arial" w:eastAsia="Arial" w:hAnsi="Arial"/>
          <w:sz w:val="19"/>
          <w:szCs w:val="19"/>
        </w:rPr>
        <w:t xml:space="preserve">Diese Datensätze sind aus der Rechtsentwicklung seit dem 17.07.2026 entstanden und waren noch in keinem Paket. Die wichtigsten Konflikte: Versandetikett und Zusammenfügen von Versandverpackungen (Kommission vs. ZSVR, A30/A31), Lagerware per Begleitdokument (C15, Spannung zu #10), Kennzeichnungstermine als Mindestdaten (C14), Bevollmächtigter zwischen Rechtslage und Politik (A35).</w:t>
      </w:r>
    </w:p>
    <w:p>
      <w:pPr>
        <w:keepNext/>
        <w:pBdr>
          <w:top w:val="single" w:color="24A27F" w:sz="6" w:space="4"/>
        </w:pBdr>
        <w:spacing w:after="40" w:before="240"/>
      </w:pPr>
      <w:r>
        <w:rPr>
          <w:rFonts w:ascii="Arial" w:cs="Arial" w:eastAsia="Arial" w:hAnsi="Arial"/>
          <w:b/>
          <w:bCs/>
          <w:color w:val="004494"/>
          <w:sz w:val="22"/>
          <w:szCs w:val="22"/>
        </w:rPr>
        <w:t xml:space="preserve">A30  </w:t>
      </w:r>
      <w:r>
        <w:rPr>
          <w:rFonts w:ascii="Arial" w:cs="Arial" w:eastAsia="Arial" w:hAnsi="Arial"/>
          <w:b/>
          <w:bCs/>
          <w:sz w:val="22"/>
          <w:szCs w:val="22"/>
        </w:rPr>
        <w:t xml:space="preserve">Versandetikett auf dem Karton: Werden wir dadurch zum Erzeuger?</w:t>
      </w:r>
    </w:p>
    <w:p>
      <w:pPr>
        <w:spacing w:after="60" w:before="60"/>
      </w:pPr>
      <w:r>
        <w:rPr>
          <w:rFonts w:ascii="Arial" w:cs="Arial" w:eastAsia="Arial" w:hAnsi="Arial"/>
          <w:color w:val="6B7280"/>
          <w:sz w:val="17"/>
          <w:szCs w:val="17"/>
        </w:rPr>
        <w:t xml:space="preserve">Block A – Rollen-Grenzfälle · Rollen / EPR · unverbindliche Auslegung · Bezug: #08, #07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Onlinehändler und kleben auf fertig gekaufte Versandkartons nur unser Versandetikett. Im Sommer hieß es, damit würden wir zum Erzeuger. Stimmt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Frage ist derzeit zwischen EU-Kommission und ZSVR unterschiedlich beantwortet. Die Kommission stellt in der 2. Edition ihrer FAQ (Kap. II FAQ 6/7) klar, dass ein Aufkleber zu Versandzwecken kein „Branding“ ist und den Versender daher nicht zum Erzeuger im Sinne des Art. 3 Abs. 1 Nr. 13 PPWR macht; ein handelsüblicher Karton ist mit seiner Herstellung fertig (FAQ 5). Die ZSVR behandelt das Etikett auf ihrer Themenseite nicht gesondert, sieht aber denjenigen als Erzeuger, der Materialien erst zur vollständigen Versandverpackung zusammenfügt, und bei Hinzufügen zu einer fertigen Verpackung eine Erzeugereigenschaft nach Art. 21 PPWR nur, wenn die Recyclingfähigkeit beeinflusst werden kann. Folge: Nach der Kommissionslesart entsteht durch das reine Etikett keine Erzeugerrolle und damit keine Pflicht zur Konformitätsbewertung, technischen Dokumentation und Konformitätserklärung für den Karton; diese bleiben beim Kartonhersteller.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PPWR (VO (EU) 2025/40); Art. 21 PPWR; Kommissions-FAQ zur PPWR, 2. Edition (03.08.2026), Kap. II FAQ 5–7 (unverbindliche Auslegung der EU-Kommission); ZSVR: „Versand- und Onlinehandel: Was ändert sich durch die PPWR?“ (verpackungsregister.org, Behördeninformation, keine Rechtsnorm)</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Divergenz Kommission (FAQ 2. Ed. Kap. II FAQ 6/7: Versandaufkleber ist kein Branding) vs. ZSVR-Themenseite Versandhandel (Zusammenfügen zur Versandverpackung macht zum Erzeuger; Etikett nicht eigens behandelt). Schriftliche ZSVR-Stellungnahme zum Etikett bis 17.10.2026 nicht auffindbar. Cattwyk-Einordnung, welche Lesart ausgespielt wird.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A31  </w:t>
      </w:r>
      <w:r>
        <w:rPr>
          <w:rFonts w:ascii="Arial" w:cs="Arial" w:eastAsia="Arial" w:hAnsi="Arial"/>
          <w:b/>
          <w:bCs/>
          <w:sz w:val="22"/>
          <w:szCs w:val="22"/>
        </w:rPr>
        <w:t xml:space="preserve">Flach gelieferter Karton, Klebeband, Füllmaterial: Wer ist Erzeuger der Versandverpackung?</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kaufen Faltkartons flach ein, falten sie, kleben sie mit unserem Klebeband zu und füllen mit Luftpolsterfolie. Sind wir Erzeuger dieser Versandverpackung?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Kommission betrachtet jedes Verpackungselement einzeln: Erzeuger einer Transportverpackung ist, wer die leere Verpackung in ihre endgültige Form bringt. Ein Faltkarton ist nach der Kommissions-FAQ bereits mit seiner Herstellung fertig, auch wenn er flach geliefert wird; Klebeband, Folie und Palette haben jeweils ihren eigenen Erzeuger, eine Sendung kann daher mehrere Erzeuger haben (FAQ 2. Ed. Kap. II FAQ 5). Die ZSVR sieht es enger: Wer Materialien zur vollständigen Versandverpackung zusammenfügt, ist nach ihrer Themenseite Erzeuger (Fall B.2); wer einer fertigen Verpackung Klebeband oder Füllmaterial hinzufügt, nur dann, wenn dies die Recyclingfähigkeit beeinflussen kann (Fall B.3, Art. 21 PPWR). Folge: Nach der Kommissionslesart bleiben Konformitätsbewertung und Konformitätserklärung beim jeweiligen Materialhersteller; Sie benötigen von jedem Lieferanten die Angaben nach Art. 16 PPWR. Nach der ZSVR-Lesart treffen Sie als Erzeuger der zusammengefügten Versandverpackung die Pflichten der Art. 15, 38 und 39 PPWR.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PPWR (VO (EU) 2025/40); Art. 21 PPWR; Kommissions-FAQ zur PPWR, 2. Edition (03.08.2026), Kap. II FAQ 4 und 5 (unverbindliche Auslegung der EU-Kommission); ZSVR: „Versand- und Onlinehandel“, Fälle B.2 und B.3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II FAQ 5 („mehrere Hersteller je Sendung“) gegen ZSVR-Fälle B.2/B.3 (Zusammenfügen beim Händler). Abgleich mit Regel B1 und A5 der Rollen-Engine; B1-Flag ggf. auflösbar.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A32  </w:t>
      </w:r>
      <w:r>
        <w:rPr>
          <w:rFonts w:ascii="Arial" w:cs="Arial" w:eastAsia="Arial" w:hAnsi="Arial"/>
          <w:b/>
          <w:bCs/>
          <w:sz w:val="22"/>
          <w:szCs w:val="22"/>
        </w:rPr>
        <w:t xml:space="preserve">Handels-Eigenmarke mit genanntem Abfüller: Wer ist Erzeuger?</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Auf unserer Handelsmarke steht zusätzlich „hergestellt für … von Molkerei XY“. Sind wir trotzdem Erzeuger der Verpackung?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Erzeuger ist nach Art. 3 Abs. 1 Nr. 13 lit. a PPWR, wer eine Verpackung unter eigenem Namen oder eigener Marke in Verkehr bringt. Die Kommissions-FAQ (2. Ed. Kap. II FAQ 6) stellt klar, dass bei Verpackungen mit Marke derjenige Erzeuger ist, dessen Name oder Marke aufgebracht ist, sofern er die maßgebliche vertragliche Kontrolle über Gestaltung und Herstellung hat; ist zusätzlich ein Fremdname genannt, entscheidet der Vertrag (FAQ 7). Die ZSVR liest das so, dass bei Handels-Eigenmarken das Handelsunternehmen Hersteller nach VerpackDG und in der Regel auch Erzeuger ist, auch wenn der Abfüller mitgenannt wird. Folge: Als Markeninhaber mit Gestaltungsvorgaben tragen Sie die Erzeugerpflichten (Art. 15, 38, 39 PPWR) und die Herstellerpflichten nach VerpackDG. Der Abfüller bleibt Lieferant nach Art. 16 PPWR und muss Ihnen die Konformitätsangaben liefern. Quellen: Art. 3 Abs. 1 Nr. 13 lit. a, Nr. 15 lit. b PPWR; Kommissions-FAQ 2. Ed. Kap. II FAQ 6/7 (unverbindlich); ZSVR-Meldung 12.08.2026 (Behördeninformation).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a und Nr. 15 lit. b PPWR (VO (EU) 2025/40); Kommissions-FAQ zur PPWR, 2. Edition (03.08.2026), Kap. II FAQ 6 und 7 (unverbindliche Auslegung der EU-Kommission); ZSVR-Meldung vom 12.08.2026: „Zweite Fassung der PPWR-FAQ: Klarstellung zur Erzeugereigenschaft bei Eigenmarken des Handels“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Ergänzt A03/A20 um Kommissions-FAQ 2. Ed. Kap. II FAQ 6/7 und ZSVR-Meldung vom 12.08.2026. ZSVR-Lesart („Handelsunternehmen in der Regel auch Erzeuger“) gegen Einzelfallvorbehalt der Kommission bei Lizenzmodellen abgleichen.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A33  </w:t>
      </w:r>
      <w:r>
        <w:rPr>
          <w:rFonts w:ascii="Arial" w:cs="Arial" w:eastAsia="Arial" w:hAnsi="Arial"/>
          <w:b/>
          <w:bCs/>
          <w:sz w:val="22"/>
          <w:szCs w:val="22"/>
        </w:rPr>
        <w:t xml:space="preserve">Maßgefertigte neutrale Transportverpackung: Erzeuger ist der Auftraggeber?</w:t>
      </w:r>
    </w:p>
    <w:p>
      <w:pPr>
        <w:spacing w:after="60" w:before="60"/>
      </w:pPr>
      <w:r>
        <w:rPr>
          <w:rFonts w:ascii="Arial" w:cs="Arial" w:eastAsia="Arial" w:hAnsi="Arial"/>
          <w:color w:val="6B7280"/>
          <w:sz w:val="17"/>
          <w:szCs w:val="17"/>
        </w:rPr>
        <w:t xml:space="preserve">Block A – Rollen-Grenzfälle · Rollen / EPR · unverbindliche Auslegung · Bezug: #08, #40</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lassen uns unbedruckte Transportkartons nach unseren Maßen und Spezifikationen fertigen. Ist der Kartonagenhersteller oder sind wir der Erzeuger?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Bei kundenspezifisch gefertigter, unbedruckter Transportverpackung ordnet die Kommission die Erzeugerrolle dem Auftraggeber zu, der die Spezifikation festlegt (FAQ 2. Ed. Kap. X FAQ 14). Der fertigende Betrieb ist in diesem Fall Lieferant nach Art. 3 Abs. 1 Nr. 16 PPWR. Folge: Sie tragen als Erzeuger die Pflichten aus Art. 15 PPWR (Konformitätsbewertung nach Art. 38, technische Dokumentation nach Anhang VII, Konformitätserklärung nach Art. 39). Der Lieferant muss Ihnen nach Art. 16 Abs. 1 PPWR alle Informationen und Unterlagen liefern, die Sie für den Konformitätsnachweis brauchen; vereinbaren Sie das ausdrücklich im Liefervertrag. Quellen: Art. 3 Abs. 1 Nr. 13 und 16, Art. 15, 16 PPWR; Kommissions-FAQ 2. Ed. Kap. X FAQ 14 (unverbindlich). Grenze: Kauft derselbe Betrieb Standardkartons aus dem Katalog, bleibt der Kartonagenhersteller Erzeuger (vgl. A31).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PPWR (VO (EU) 2025/40); Art. 16 Abs. 1 PPWR; Kommissions-FAQ zur PPWR, 2. Edition (03.08.2026), Kap. X FAQ 14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 FAQ 14. Prüfen gegen Regel A4 (physische Herstellung) – FAQ ordnet bei kundenspezifischer Spezifikation dem Auftraggeber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A34  </w:t>
      </w:r>
      <w:r>
        <w:rPr>
          <w:rFonts w:ascii="Arial" w:cs="Arial" w:eastAsia="Arial" w:hAnsi="Arial"/>
          <w:b/>
          <w:bCs/>
          <w:sz w:val="22"/>
          <w:szCs w:val="22"/>
        </w:rPr>
        <w:t xml:space="preserve">Konzerninterne Verbringung: Inverkehrbringen oder nicht?</w:t>
      </w:r>
    </w:p>
    <w:p>
      <w:pPr>
        <w:spacing w:after="60" w:before="60"/>
      </w:pPr>
      <w:r>
        <w:rPr>
          <w:rFonts w:ascii="Arial" w:cs="Arial" w:eastAsia="Arial" w:hAnsi="Arial"/>
          <w:color w:val="6B7280"/>
          <w:sz w:val="17"/>
          <w:szCs w:val="17"/>
        </w:rPr>
        <w:t xml:space="preserve">Block A – Rollen-Grenzfälle · Rollen / EPR · unverbindliche Auslegung · Bezug: #08, #10</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verpacken Teile in unserem Werk in Polen und schicken sie an unser eigenes Werk in Deutschland. Bringen wir diese Verpackung in Verkehr?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Inverkehrbringen setzt eine erstmalige Bereitstellung auf dem Unionsmarkt voraus, also eine Abgabe im Rahmen einer Geschäftstätigkeit an einen anderen (Art. 3 Abs. 1 Nr. 10 und 11 PPWR). Die Kommission stellt klar, dass die Verbringung eigener Verpackungen innerhalb desselben Rechtsträgers ohne Handelsgeschäft kein Inverkehrbringen ist (FAQ 2. Ed. Kap. II FAQ 13). Folge: Für reine Werksverkehre innerhalb einer juristischen Person entstehen keine Erzeugerpflichten nach Art. 15 PPWR. Sobald die Verpackung einen anderen Rechtsträger erreicht, auch eine Konzernschwester, liegt eine Bereitstellung vor. Quellen: Art. 3 Abs. 1 Nr. 10 und 11 PPWR; Kommissions-FAQ 2. Ed. Kap. II FAQ 13 (unverbindlich). Grenze: Die Herstellerpflichten nach VerpackDG (Registrierung, Systembeteiligung) knüpfen an die erstmalige Bereitstellung im Bundesgebiet an; ob und ab wann diese im Konzern vorliegt, hängt von der konkreten Gesellschaftsstruktur ab (vgl. A21).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10 und 11 PPWR (VO (EU) 2025/40); Kommissions-FAQ zur PPWR, 2. Edition (03.08.2026), Kap. II FAQ 13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II FAQ 13. Verhältnis zur Definition Art. 3 Abs. 1 Nr. 10/11 und zu Datensatz #10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A35  </w:t>
      </w:r>
      <w:r>
        <w:rPr>
          <w:rFonts w:ascii="Arial" w:cs="Arial" w:eastAsia="Arial" w:hAnsi="Arial"/>
          <w:b/>
          <w:bCs/>
          <w:sz w:val="22"/>
          <w:szCs w:val="22"/>
        </w:rPr>
        <w:t xml:space="preserve">Bevollmächtigter nach Art. 45 Abs. 3: Gilt die Pflicht noch, oder wird sie ausgesetzt?</w:t>
      </w:r>
    </w:p>
    <w:p>
      <w:pPr>
        <w:spacing w:after="60" w:before="60"/>
      </w:pPr>
      <w:r>
        <w:rPr>
          <w:rFonts w:ascii="Arial" w:cs="Arial" w:eastAsia="Arial" w:hAnsi="Arial"/>
          <w:color w:val="6B7280"/>
          <w:sz w:val="17"/>
          <w:szCs w:val="17"/>
        </w:rPr>
        <w:t xml:space="preserve">Block A – Rollen-Grenzfälle · Rollen / EPR · rechtsverbindlich · Bezug: #09</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Es heißt, die Pflicht zum Bevollmächtigten für ausländische Online-Händler werde wieder gekippt. Müssen wir jetzt überhaupt noch einen benennen?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Art. 45 Abs. 3 PPWR gilt seit dem 12.08.2026 unverändert, in Deutschland umgesetzt durch § 5 Abs. 2 VerpackDG (vgl. A26). Richtig ist, dass eine Änderung diskutiert wird: Die Kommission hat mit COM(2025) 982 vorgeschlagen, die Pflicht für Kleinst- und Kleinunternehmen mit EU-Sitz bis zum 01.01.2035 auszusetzen; der Umweltausschuss des Parlaments hat am 05.10.2026 zugestimmt, die Plenarabstimmung ist für den 20.10.2026 angesetzt, der Rat hat seine Verhandlungen im Juni 2026 eingestellt. Die Bundesregierung fordert zusätzlich, Händler unter 10 Tonnen Verpackung pro Jahr auszunehmen und die Registrierungspflicht im Zielland bis Mitte 2028 auszusetzen. Die Kommission hat die Mitgliedstaaten gebeten, die Pflicht bis zur Entscheidung „konstruktiv und pragmatisch“ durchzusetzen und auf Sanktionen zu verzichten. Folge: Rechtlich besteht die Pflicht fort; die Benennung muss vor der ersten Bereitstellung erfolgen. Ein Verzicht im Vertrauen auf die Diskussion ist ein Risiko, das Sie bewusst eingehen würden. Quellen: Art. 45 Abs. 3 PPWR; § 5 Abs. 2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45 Abs. 3 PPWR (VO (EU) 2025/40); § 5 Abs. 2 VerpackDG (BGBl. 2026 I Nr. 207); Kommissionsvorschlag COM(2025) 982 (Verfahren 2025/0395(COD)); ENVI-Bericht A10-0266/2026 vom 09.10.2026 (Gesetzgebungsverfahren, nicht erlassen); DG ENV: „Extended producer responsibility for packaging: small businesses“ (environment.ec.europa.eu, politische Aussage, unverbindlich); BMUKN-Meldung vom 08.09.2026: „Kritik an der EU-Verpackungsverordnung (PPWR): Bundesregierung setzt sich für Entlastungen ein“ (politische Position)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Rechtslage unverändert, aber politisches Watch-Item: Omnibus VIII COM(2025) 982 (EP-Plenum 20.10.2026), Bundesregierung 08.09.2026, Kommissions-Appell „abstain from sanctioning“. Nach dem 20.10.2026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B18  </w:t>
      </w:r>
      <w:r>
        <w:rPr>
          <w:rFonts w:ascii="Arial" w:cs="Arial" w:eastAsia="Arial" w:hAnsi="Arial"/>
          <w:b/>
          <w:bCs/>
          <w:sz w:val="22"/>
          <w:szCs w:val="22"/>
        </w:rPr>
        <w:t xml:space="preserve">Vollständigkeitserklärung für 2026: Welche Regeln gelten für das Übergangsjahr?</w:t>
      </w:r>
    </w:p>
    <w:p>
      <w:pPr>
        <w:spacing w:after="60" w:before="60"/>
      </w:pPr>
      <w:r>
        <w:rPr>
          <w:rFonts w:ascii="Arial" w:cs="Arial" w:eastAsia="Arial" w:hAnsi="Arial"/>
          <w:color w:val="6B7280"/>
          <w:sz w:val="17"/>
          <w:szCs w:val="17"/>
        </w:rPr>
        <w:t xml:space="preserve">Block B – PPWR × VerpackDG · Rollen / EPR · rechtsverbindlich · Bezug: #33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 Wirtschaftsprüfer fragt, ob wir für 2026 zwei Vollständigkeitserklärungen brauchen, eine nach altem und eine nach neuem Recht. Wie läuft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das Bezugsjahr 2026 ist nach den Hinweisen der ZSVR nur eine Vollständigkeitserklärung je Hersteller zu hinterlegen, und zwar nach § 10 VerpackDG (§ 68 Abs. 5 VerpackDG). Die Prüfleitlinien vom 19.11.2024 gelten für das gesamte Jahr 2026 fort, ab dem 12.08.2026 sinngemäß. Für Mengen bis zum 11.08.2026 richten sich Herstellereigenschaft und Verpackungsarten nach dem VerpackG und dem alten Katalog, ab dem 12.08.2026 nach PPWR, VerpackDG und dem neuen Katalog; bestandskräftige Einordnungsentscheidungen bleiben wirksam (§ 68 Abs. 15 VerpackDG). Folge: Eine Erklärung, aber zwei Bewertungsmaßstäbe innerhalb des Jahres; Ihr Prüfer muss die Mengen entsprechend trennen. Neu ist außerdem die Schulungspflicht für registrierte Prüfer: Bestandsprüfer müssen den Nachweis bis zum 31.12.2027 erbringen, sonst wird die Registrierung ab dem 01.01.2028 aufgehoben (§ 56 Abs. 4, § 68 Abs. 16 VerpackDG). Quellen: §§ 10, 56 Abs. 4, 68 Abs. 5, 15 und 16 VerpackDG; ZSVR-Hinweise VE 2026 (Behördeninformation). Grenze: Neue Prüfleitlinien erscheinen erst für das Bezugsjahr 2027;</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10 VerpackDG (BGBl. 2026 I Nr. 207); § 68 Abs. 5 VerpackDG; § 56 Abs. 4 Satz 3 und 4 VerpackDG; § 68 Abs. 16 VerpackDG; ZSVR: „Aktuelle Hinweise zur Prüfung der Vollständigkeitserklärung 2026 und Schulungspflicht VE-Prüfung 2026“ (verpackungsregister.org, Behördeninformation, keine Rechtsnorm)</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Grundlage ZSVR-Hinweise 2026 (PDF undatiert, verbreitet 13.08.2026); Normzitate § 68 Abs. 5 Satz 4, § 56 Abs. 4, § 68 Abs. 16 VerpackDG am Volltext prüfen. Ergänzt B05/B06.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B19  </w:t>
      </w:r>
      <w:r>
        <w:rPr>
          <w:rFonts w:ascii="Arial" w:cs="Arial" w:eastAsia="Arial" w:hAnsi="Arial"/>
          <w:b/>
          <w:bCs/>
          <w:sz w:val="22"/>
          <w:szCs w:val="22"/>
        </w:rPr>
        <w:t xml:space="preserve">Mindeststandard 2026 veröffentlicht: Was ändert sich für die Ökomodulation?</w:t>
      </w:r>
    </w:p>
    <w:p>
      <w:pPr>
        <w:spacing w:after="60" w:before="60"/>
      </w:pPr>
      <w:r>
        <w:rPr>
          <w:rFonts w:ascii="Arial" w:cs="Arial" w:eastAsia="Arial" w:hAnsi="Arial"/>
          <w:color w:val="6B7280"/>
          <w:sz w:val="17"/>
          <w:szCs w:val="17"/>
        </w:rPr>
        <w:t xml:space="preserve">Block B – PPWR × VerpackDG · Rollen / EPR · rechtsverbindlich · Bezug: #35, #12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Die ZSVR hat einen neuen Mindeststandard veröffentlicht. Gilt der schon, und was heißt das für unsere Beteiligungsentgelte?</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ZSVR und Umweltbundesamt haben am 31.08.2026 den Mindeststandard 2026 nach § 26 Abs. 3 VerpackDG veröffentlicht. Er gilt für Verpackungen, die im Kalenderjahr nach der Veröffentlichung, also 2027, in Verkehr gebracht werden. Die Methodik bleibt unverändert; Gestaltungsparameter wurden ergänzt und zusammengefasst, recyclingunverträgliche Merkmale führen weiterhin zu einer Recyclingfähigkeit von null Prozent, pauschale Materialboni gibt es nicht. Folge: Die Systeme müssen ihre Beteiligungsentgelte nach § 26 VerpackDG an der Recyclingfähigkeit ausrichten; bis die delegierten Rechtsakte nach Art. 6 Abs. 4 PPWR (Leistungsklassen A bis C) gelten, bleiben Verordnungen zur Ökomodulierung nach § 26a VerpackDG an den Mindeststandard gebunden. Prüfen Sie Ihre Verpackungen für 2027 gegen den neuen Katalog der Gestaltungsparameter. Quellen: §§ 26, 26a VerpackDG; Art. 6 Abs. 4 PPWR; Mindeststandard 2026 (ZSVR/UBA, Verwaltungsvorschrift). Grenze: Der Mindeststandard ist kein Gesetz, sondern eine Verwaltungsvorschrift; eine Rechtsverordnung nach § 26a VerpackDG liegt noch nicht vor.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26 Abs. 3 VerpackDG (BGBl. 2026 I Nr. 207); § 26a VerpackDG; Art. 6 Abs. 4 PPWR (VO (EU) 2025/40); ZSVR/UBA: „Mindeststandard für die Bemessung der Recyclingfähigkeit systembeteiligungspflichtiger Verpackungen gemäß § 26 Abs. 3 VerpackDG“, Osnabrück 31.08.2026 (Verwaltungsvorschrift,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Mindeststandard ist Verwaltungsvorschrift nach § 26 Abs. 3 VerpackDG; Verhältnis zu künftigen Verordnungen nach § 26a und zu den delegierten Rechtsakten nach Art. 6 Abs. 4 PPWR prüfen. Ergänzt B15/#35.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B20  </w:t>
      </w:r>
      <w:r>
        <w:rPr>
          <w:rFonts w:ascii="Arial" w:cs="Arial" w:eastAsia="Arial" w:hAnsi="Arial"/>
          <w:b/>
          <w:bCs/>
          <w:sz w:val="22"/>
          <w:szCs w:val="22"/>
        </w:rPr>
        <w:t xml:space="preserve">Permanenttragetaschen: Systembeteiligungspflichtig trotz Mehrfachnutzung?</w:t>
      </w:r>
    </w:p>
    <w:p>
      <w:pPr>
        <w:spacing w:after="60" w:before="60"/>
      </w:pPr>
      <w:r>
        <w:rPr>
          <w:rFonts w:ascii="Arial" w:cs="Arial" w:eastAsia="Arial" w:hAnsi="Arial"/>
          <w:color w:val="6B7280"/>
          <w:sz w:val="17"/>
          <w:szCs w:val="17"/>
        </w:rPr>
        <w:t xml:space="preserve">Block B – PPWR × VerpackDG · Rollen / EPR · rechtsverbindlich · Bezug: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geben an der Kasse stabile Mehrfach-Tragetaschen aus recyceltem PET ab. Sind das Produkte oder lizenzpflichtige Verpackungen?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Das Bundesverwaltungsgericht hat am 23.07.2026 entschieden, dass eine Permanenttragetasche, die am Verkaufsort zum Transport der gekauften Waren abgegeben wird, systembeteiligungspflichtige Verpackung ist, unabhängig von Material, Haltbarkeit, Zweitnutzung und davon, ob sie entgeltlich oder unentgeltlich abgegeben wird (10 C 6.25, zu § 3 Abs. 8, § 7 VerpackG). Maßgeblich ist die Zweckbestimmung zum Transport am Verkaufsort. Die Definitionen des VerpackDG (§ 3 Abs. 6, § 7 Abs. 1) sind insoweit inhaltsgleich. Folge: Wer solche Taschen als Letztvertreiber oder Hersteller erstmals in Verkehr bringt, muss sie registrieren und an einem System beteiligen. Die ZSVR weist darauf hin, dass sich daraus auch rückwirkende Beteiligungspflichten ergeben können und Prüfer der Vollständigkeitserklärung dies künftig kontrollieren. Quellen: § 3 Abs. 6, § 7 Abs. 1 VerpackDG; BVerwG 10 C 6.25; ZSVR-PM 23.07.2026. Grenze: Das Urteil ist zum alten Recht ergangen; die Übertragung auf das VerpackDG ist naheliegend, aber noch nicht gerichtlich bestätigt.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3 Abs. 6 und § 7 Abs. 1 VerpackDG (BGBl. 2026 I Nr. 207); BVerwG, Urteil vom 23.07.2026 – 10 C 6.25 (Pressemitteilung Nr. 57/2026; ergangen zu § 3 Abs. 8, § 7 VerpackG); ZSVR-Pressemitteilung vom 23.07.2026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BVerwG-Urteil 23.07.2026 ergangen zu § 3 Abs. 8, § 7 VerpackG; Übertragung auf § 3 Abs. 6, § 7 Abs. 1 VerpackDG ist unsere Zuordnung, nicht die des Gerichts. Rückwirkende Beteiligungspflichten laut ZSVR möglich.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B21  </w:t>
      </w:r>
      <w:r>
        <w:rPr>
          <w:rFonts w:ascii="Arial" w:cs="Arial" w:eastAsia="Arial" w:hAnsi="Arial"/>
          <w:b/>
          <w:bCs/>
          <w:sz w:val="22"/>
          <w:szCs w:val="22"/>
        </w:rPr>
        <w:t xml:space="preserve">Neuer Katalog 2026: E-Commerce-Verpackungen immer systembeteiligungspflichtig?</w:t>
      </w:r>
    </w:p>
    <w:p>
      <w:pPr>
        <w:spacing w:after="60" w:before="60"/>
      </w:pPr>
      <w:r>
        <w:rPr>
          <w:rFonts w:ascii="Arial" w:cs="Arial" w:eastAsia="Arial" w:hAnsi="Arial"/>
          <w:color w:val="6B7280"/>
          <w:sz w:val="17"/>
          <w:szCs w:val="17"/>
        </w:rPr>
        <w:t xml:space="preserve">Block B – PPWR × VerpackDG · Rollen / EPR · rechtsverbindlich · Bezug: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versenden ausschließlich an Gewerbekunden. Trotzdem sagt die ZSVR, unsere Versandkartons seien systembeteiligungspflichtig. Wie passt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zum 12.08.2026 neu gefasste Allgemeine Teil des Katalogs stellt auf eine Gesamtmarktbetrachtung ab: Entscheidend ist, wo Verpackungen einer Art typischerweise als Abfall anfallen, nicht die individuelle Vertriebsstruktur eines Unternehmens. Transportverpackungen für den Versand an Endkunden gelten danach als systembeteiligungspflichtig, Transportverpackungen für die Speditionslogistik in der Regel nicht; Serviceverpackungen sind stets pflichtig. Das VG Osnabrück hat diese typisierende Betrachtung am 30.09.2026 bestätigt und den Katalog als norminterpretierende Verwaltungsvorschrift eingeordnet (7 A 112/24, nicht rechtskräftig). Folge: Versandkartons an gewerbliche Kunden sind systembeteiligungspflichtig, wenn sie einer Katalogposition entsprechen, die typischerweise beim privaten Endverbraucher oder vergleichbaren Anfallstellen (§ 3 Abs. 7 VerpackDG) anfällt. Eine Befreiung über den Nachweis eigener B2B-Kunden ist nicht vorgesehen; eine herstellereigene Rücknahme ist keine Branchenlösung nach § 8 VerpackDG. Quellen: § 3 Abs. 6 und 7, § 7 Abs. 1, § 8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3 Abs. 6 und 7 VerpackDG (BGBl. 2026 I Nr. 207); § 7 Abs. 1 Satz 1, § 8, § 54 Abs. 1 Satz 2 Nr. 33 VerpackDG; ZSVR: Katalog systembeteiligungspflichtiger Verpackungen, Allgemeiner Teil, Stand 08/2026, gültig ab 12.08.2026 (Verwaltungsvorschrift, Behördeninformation); VG Osnabrück, Urteil vom 30.09.2026 – 7 A 112/24 (nicht rechtskräftig)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Katalog Allgemeiner Teil Stand 08/2026 ist norminterpretierende Verwaltungsvorschrift (§ 54 Abs. 1 Satz 2 Nr. 33 VerpackDG); VG Osnabrück 30.09.2026 nicht rechtskräftig. Verhältnis zu B12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C13  </w:t>
      </w:r>
      <w:r>
        <w:rPr>
          <w:rFonts w:ascii="Arial" w:cs="Arial" w:eastAsia="Arial" w:hAnsi="Arial"/>
          <w:b/>
          <w:bCs/>
          <w:sz w:val="22"/>
          <w:szCs w:val="22"/>
        </w:rPr>
        <w:t xml:space="preserve">Berichtigung der deutschen Fassung: Art. 29 Abs. 4 lit. b PPWR sagt jetzt „Waren“</w:t>
      </w:r>
    </w:p>
    <w:p>
      <w:pPr>
        <w:spacing w:after="60" w:before="60"/>
      </w:pPr>
      <w:r>
        <w:rPr>
          <w:rFonts w:ascii="Arial" w:cs="Arial" w:eastAsia="Arial" w:hAnsi="Arial"/>
          <w:color w:val="6B7280"/>
          <w:sz w:val="17"/>
          <w:szCs w:val="17"/>
        </w:rPr>
        <w:t xml:space="preserve">Block C – Konformität, Stoffe, Mehrweg · Mehrweg · rechtsverbindlich · Bezug: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In unserem Ausdruck der PPWR steht bei den Mehrweg-Ausnahmen für Transportverpackungen „Rohstoffe“. Gilt die Ausnahme nur für Rohstofftransporte?</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Nein. Die deutsche Sprachfassung des Art. 29 Abs. 4 lit. b PPWR enthielt einen Übersetzungsfehler, der mit Berichtigung vom 04.08.2026 (ABl. L 2026/90654) korrigiert wurde: Die Ausnahme von den Mehrwegquoten gilt für Transportverpackungen, die für den Transport großer Maschinen, Ausrüstungen und „Waren“ verwendet werden, für die die Verpackung nach den individuellen Anforderungen des beauftragenden Wirtschaftsakteurs konzipiert ist; bisher stand dort „Rohstoffe“. Die anderen Sprachfassungen waren bereits korrekt. Folge: Maßgefertigte Transportverpackungen für individuelle Güter aller Art fallen unter die Ausnahme, nicht nur Rohstofftransporte. Prüfen Sie, ob Ihre Transportverpackungen kundenspezifisch konzipiert sind; dann greift Art. 29 Abs. 4 lit. b. Quellen: Art. 29 Abs. 4 lit. b PPWR in der berichtigten Fassung; ABl. L 2026/90654. Grenze: Die Berichtigung ändert nichts an den übrigen Voraussetzungen der Mehrwegquoten ab 2030 (vgl. #27) und an der Ausnahme für Palettenwicklungen und Umreifungsbänder (vgl. C11).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29 Abs. 4 lit. b PPWR (VO (EU) 2025/40); Berichtigung der Verordnung (EU) 2025/40, ABl. L 2026/90654 vom 04.08.2026 (deutsche Sprachfassung, rechtsverbindlich)</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Berichtigung ABl. L 2026/90654 vom 04.08.2026 betrifft nur die deutsche Sprachfassung. Datensatz #27 und Glossar-/Erklärtexte, die „Rohstoffe“ zitieren, anpassen.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C14  </w:t>
      </w:r>
      <w:r>
        <w:rPr>
          <w:rFonts w:ascii="Arial" w:cs="Arial" w:eastAsia="Arial" w:hAnsi="Arial"/>
          <w:b/>
          <w:bCs/>
          <w:sz w:val="22"/>
          <w:szCs w:val="22"/>
        </w:rPr>
        <w:t xml:space="preserve">Kennzeichnungspflichten: Verschieben sich die Termine 2028/2029?</w:t>
      </w:r>
    </w:p>
    <w:p>
      <w:pPr>
        <w:spacing w:after="60" w:before="60"/>
      </w:pPr>
      <w:r>
        <w:rPr>
          <w:rFonts w:ascii="Arial" w:cs="Arial" w:eastAsia="Arial" w:hAnsi="Arial"/>
          <w:color w:val="6B7280"/>
          <w:sz w:val="17"/>
          <w:szCs w:val="17"/>
        </w:rPr>
        <w:t xml:space="preserve">Block C – Konformität, Stoffe, Mehrweg · Kennzeichnung · rechtsverbindlich · Bezug: #19, #20, #21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planen unsere Verpackungsdrucke für 2028. Steht das harmonisierte Sortierlabel wirklich zum 12.08.2028 fest?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Kommission hätte die Durchführungsrechtsakte zu den harmonisierten Kennzeichnungen (Art. 12 Abs. 6, Art. 13 Abs. 2 PPWR) bis zum 12.08.2026 erlassen müssen. Das ist nicht geschehen; der Entwurf ist als Initiative 19243 angekündigt, die Annahme für das vierte Quartal 2026 geplant. Die Kennzeichnungspflichten gelten nach der Verordnung ab dem 12.08.2028 (Materialkennzeichnung, freiwillige Rezyklat- und Bio-Labels) bzw. 12.02.2029 (Mehrweg-Kennzeichnung) oder 24 bzw. 30 Monate nach Geltungsbeginn des Durchführungsakts, je nachdem, welcher Zeitpunkt der spätere ist. Folge: Wird der Durchführungsakt erst Ende 2026 oder 2027 wirksam, verschieben sich die Pflichten rechnerisch in das Jahr 2029. Die Termine 2028 sind damit Mindestdaten, keine festen Stichtage. Planen Sie Druckvorlagen so, dass das Label nach Veröffentlichung der Spezifikationen nachgezogen werden kann. Unverändert gilt bereits seit dem 12.08.2026 das Irreführungsverbot des Art. 12 Abs. 8. Quellen: Art. 12 Abs. 1, 2, 4, 6, 8, Art. 13 PPWR; Initiative 19243; Kommissions-FAQ 2. Ed. Kap. VIII (unverbindlich).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12 Abs. 1, 2, 4, 6 und 7 PPWR (VO (EU) 2025/40); Art. 13 Abs. 1 und 2 PPWR; Europäische Kommission, Have your say, Initiative 19243 „Packaging and packaging waste – new Commission implementing rules on harmonised labels“ (Entwurf angekündigt, Annahme geplant Q4 2026); Kommissions-FAQ zur PPWR, 2. Edition (03.08.2026), Kap. VIII FAQ 1–4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Durchführungsakt nach Art. 12 Abs. 6 / Art. 13 Abs. 2 verfehlt die Frist 12.08.2026 (Have-your-say-Initiative 19243, Annahme geplant Q4 2026). Folgetermine über „je nachdem, welcher Zeitpunkt der spätere ist“ errechnen; exakte Wortlaute Art. 12 Abs. 1, 2, 4 und Art. 13 Abs. 1 am Volltext pinnen. Datensätze #19–#21 angepasst.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C15  </w:t>
      </w:r>
      <w:r>
        <w:rPr>
          <w:rFonts w:ascii="Arial" w:cs="Arial" w:eastAsia="Arial" w:hAnsi="Arial"/>
          <w:b/>
          <w:bCs/>
          <w:sz w:val="22"/>
          <w:szCs w:val="22"/>
        </w:rPr>
        <w:t xml:space="preserve">Lagerware von vor dem 12.08.2026: Umetikettieren oder Begleitdokument?</w:t>
      </w:r>
    </w:p>
    <w:p>
      <w:pPr>
        <w:spacing w:after="60" w:before="60"/>
      </w:pPr>
      <w:r>
        <w:rPr>
          <w:rFonts w:ascii="Arial" w:cs="Arial" w:eastAsia="Arial" w:hAnsi="Arial"/>
          <w:color w:val="6B7280"/>
          <w:sz w:val="17"/>
          <w:szCs w:val="17"/>
        </w:rPr>
        <w:t xml:space="preserve">Block C – Konformität, Stoffe, Mehrweg · Konformität · unverbindliche Auslegung · Bezug: #10, #07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haben Verpackungen im Lager, die vor dem 12. August produziert wurden, aber noch nicht verkauft sind. Müssen wir die jetzt alle mit Erzeugerangaben nachkennzeichnen?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Vor dem 12.08.2026 produzierte, aber noch nicht in Verkehr gebrachte Verpackungen unterliegen beim Inverkehrbringen den Anforderungen der PPWR (Art. 3 Abs. 1 Nr. 10 und 11; vgl. C01). Die Kommission hat in der 2. Edition ihrer FAQ (Kap. X FAQ 5) aber klargestellt, dass sie keine Vernichtung, Umarbeitung oder Umetikettierung solcher Bestände erwartet: Die Angaben zur Erzeugeridentifikation nach Art. 15 Abs. 5 und 6 dürfen für diese Ware über Begleitdokumente erfolgen; eine Einzelstückkennzeichnung verlangt Art. 15 Abs. 5 ohnehin nicht, eine Chargennummer genügt. Ist der Lieferant nicht mehr erreichbar, erwartet die Kommission „best efforts“. Bereits in Verkehr gebrachte Ware darf ohnehin am Markt bleiben. Folge: Dokumentieren Sie je Charge Erzeugername, Marke, Anschrift und Kontaktweg in den Lieferpapieren und halten Sie die Konformitätsangaben nach Art. 5 bereit; eine physische Nachkennzeichnung des Lagerbestands ist nach Kommissionslesart nicht erforderlich. Quellen: Art. 3 Abs. 1 Nr. 10 und 11, Art. 15 Abs. 5 und 6 PPWR; Kommissions-FAQ 2. Ed. Kap.</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10 und 11 PPWR (VO (EU) 2025/40); Art. 15 Abs. 5 und 6 PPWR; Kommissions-FAQ zur PPWR, 2. Edition (03.08.2026), Kap. X FAQ 5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 FAQ 5 ist pragmatischer als unsere Lesart in #10 und C01 (kein Abverkaufsprivileg): keine Vernichtung/Umetikettierung, Art. 15 Abs. 5/6 per Begleitdokument. Spannung zu #10 für Cattwyk aufbereiten.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C16  </w:t>
      </w:r>
      <w:r>
        <w:rPr>
          <w:rFonts w:ascii="Arial" w:cs="Arial" w:eastAsia="Arial" w:hAnsi="Arial"/>
          <w:b/>
          <w:bCs/>
          <w:sz w:val="22"/>
          <w:szCs w:val="22"/>
        </w:rPr>
        <w:t xml:space="preserve">Konformitätserklärung: Eine je Verpackungseinheit, und darf sie der Bevollmächtigte ausstellen?</w:t>
      </w:r>
    </w:p>
    <w:p>
      <w:pPr>
        <w:spacing w:after="60" w:before="60"/>
      </w:pPr>
      <w:r>
        <w:rPr>
          <w:rFonts w:ascii="Arial" w:cs="Arial" w:eastAsia="Arial" w:hAnsi="Arial"/>
          <w:color w:val="6B7280"/>
          <w:sz w:val="17"/>
          <w:szCs w:val="17"/>
        </w:rPr>
        <w:t xml:space="preserve">Block C – Konformität, Stoffe, Mehrweg · Konformität · unverbindliche Auslegung · Bezug: #06, #05, #37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Brauchen wir für jeden Karton, jede Folie und jedes Etikett eine eigene Konformitätserklärung? Und darf unser Bevollmächtigter die unterschreiben?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der Kommissions-FAQ kann eine Konformitätsbewertung und eine Konformitätserklärung die gesamte Verpackungseinheit abdecken, also alle Bestandteile, die zusammen in Verkehr gebracht werden (2. Ed. Kap. XV FAQ 5). Die Erklärung ist in der Sprache des Mitgliedstaats abzufassen, in dem die Verpackung bereitgestellt wird; in Deutschland genügt Deutsch oder Englisch (§ 62 VerpackDG). Prüfungen und Zertifizierungen dürfen an Labore delegiert werden, die Erstellung der technischen Dokumentation nach Anhang VII bleibt Sache des Erzeugers (Kap. XV FAQ 8). Ein Bevollmächtigter nach Art. 17 PPWR darf die Konformitätserklärung mit schriftlichem Mandat ausstellen (Kap. XV FAQ 14). Importeure müssen sicherstellen, dass der Drittlandserzeuger Konformitätsbewertung und Erklärung vorgenommen hat (Kap. X FAQ 9, Art. 18 PPWR). Folge: Eine Erklärung je Verpackungseinheit statt je Bestandteil ist zulässig; die Aufbewahrungsfrist beträgt fünf Jahre bei Einweg- und zehn Jahre bei Mehrwegverpackungen (Art. 15 Abs. 3). Quellen: Art. 15 Abs. 3, 17, 18, 38, 39, Anhang VII und VIII PPWR;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15 Abs. 3 PPWR (VO (EU) 2025/40); Art. 17 PPWR; Art. 18 PPWR; Art. 38 und 39 i. V. m. Anhang VII und VIII PPWR; § 62 VerpackDG (BGBl. 2026 I Nr. 207); Kommissions-FAQ zur PPWR, 2. Edition (03.08.2026), Kap. XV FAQ 5, 8 und 14 sowie Kap. X FAQ 9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XV FAQ 5/8/14 und Kap. X FAQ 9. Ergänzt C03/C04; Aussage „TD-Erstellung nicht delegierbar“ gegen Art. 17 Abs. 2 PPWR pinnen. Relevanz für Dokumenten-Generator (Ebene Verpackungseinheit).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C17  </w:t>
      </w:r>
      <w:r>
        <w:rPr>
          <w:rFonts w:ascii="Arial" w:cs="Arial" w:eastAsia="Arial" w:hAnsi="Arial"/>
          <w:b/>
          <w:bCs/>
          <w:sz w:val="22"/>
          <w:szCs w:val="22"/>
        </w:rPr>
        <w:t xml:space="preserve">Marktüberwachung ab Tag eins: Droht sofort ein Vertriebsverbot?</w:t>
      </w:r>
    </w:p>
    <w:p>
      <w:pPr>
        <w:spacing w:after="60" w:before="60"/>
      </w:pPr>
      <w:r>
        <w:rPr>
          <w:rFonts w:ascii="Arial" w:cs="Arial" w:eastAsia="Arial" w:hAnsi="Arial"/>
          <w:color w:val="6B7280"/>
          <w:sz w:val="17"/>
          <w:szCs w:val="17"/>
        </w:rPr>
        <w:t xml:space="preserve">Block C – Konformität, Stoffe, Mehrweg · Konformität · unverbindliche Auslegung · Bezug: #04, #06</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Wenn unsere Konformitätserklärung noch nicht fertig ist, kann die Behörde unsere Verpackungen sofort vom Markt nehmen?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Art. 62 PPWR fordert die Marktüberwachungsbehörde bei formaler Nichtkonformität, etwa fehlender Konformitätserklärung oder technischer Dokumentation, den Wirtschaftsakteur zunächst auf, den Mangel zu beheben. Weitergehende Maßnahmen bis zur Rücknahme vom Markt folgen erst, wenn die Nichtkonformität fortbesteht. Die Kommission hat in ihrer FAQ (2. Ed. Kap. XVI FAQ 1) klargestellt, dass eine Nichtkonformität ab dem 12.08.2026 nicht automatisch zu einem Vertriebsverbot führt, und den Behörden einen unterstützenden Ansatz empfohlen. In Deutschland sind die Bußgeldtatbestände für Verstöße gegen die PPWR (§ 66 Abs. 2 VerpackDG) erst ab dem 12.02.2027 anwendbar (§ 68 Abs. 17). Folge: Sie haben eine Abhilfephase, aber keine Freistellung. Nutzen Sie die Zeit bis Februar 2027, um Dokumentation und Erklärung zu vervollständigen; die Pflicht selbst gilt seit dem 12.08.2026. Quellen: Art. 62 PPWR; § 66 Abs. 2, § 68 Abs. 17 VerpackDG; Kommissions-FAQ 2. Ed. Kap. XVI (unverbindlich). Grenze: Die Übergangsregel des § 68 Abs. 17 betrifft nur die Bußgeldtatbestände des Abs. 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62 PPWR (VO (EU) 2025/40); § 66 Abs. 2 und § 68 Abs. 17 VerpackDG (BGBl. 2026 I Nr. 207); Kommissions-FAQ zur PPWR, 2. Edition (03.08.2026), Kap. XVI FAQ 1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XVI FAQ 1 (Art. 62, „supportive approach“) plus Instagram-Äußerung der Kommission vom 12.08.2026 (keine förmliche Mitteilung gefunden). Nationale Ebene: § 68 Abs. 17 VerpackDG unverändert. Ergänzt B04.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C18  </w:t>
      </w:r>
      <w:r>
        <w:rPr>
          <w:rFonts w:ascii="Arial" w:cs="Arial" w:eastAsia="Arial" w:hAnsi="Arial"/>
          <w:b/>
          <w:bCs/>
          <w:sz w:val="22"/>
          <w:szCs w:val="22"/>
        </w:rPr>
        <w:t xml:space="preserve">Rezyklatanteil Kunststoff: Welche Rechtsakte fehlen noch, und wann kommen sie?</w:t>
      </w:r>
    </w:p>
    <w:p>
      <w:pPr>
        <w:spacing w:after="60" w:before="60"/>
      </w:pPr>
      <w:r>
        <w:rPr>
          <w:rFonts w:ascii="Arial" w:cs="Arial" w:eastAsia="Arial" w:hAnsi="Arial"/>
          <w:color w:val="6B7280"/>
          <w:sz w:val="17"/>
          <w:szCs w:val="17"/>
        </w:rPr>
        <w:t xml:space="preserve">Block C – Konformität, Stoffe, Mehrweg · Stoffrecht · rechtsverbindlich · Bezug: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Ab 2030 müssen unsere Kunststoffverpackungen Rezyklat enthalten. Nach welcher Methode wird das berechnet, und ist das schon geregelt?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Mindestrezyklatanteile des Art. 7 Abs. 1 PPWR gelten ab dem 01.01.2030 (vgl. #14). Die Berechnungs- und Nachweismethodik (Art. 7 Abs. 8), die Nachhaltigkeitskriterien für Recyclingtechnologien (Art. 7 Abs. 9) und die Bedingungen für die Anrechnung von Rezyklat aus Drittstaaten (Art. 7 Abs. 10) muss die Kommission bis zum 31.12.2026 festlegen. Dazu laufen seit August 2026 drei Verfahren; die Sondierung endete am 16.09.2026, Rechtsaktentwürfe liegen noch nicht vor, die Annahme ist für das vierte Quartal 2026 geplant. Folge: Für die Planung Ihrer Rezyklatbeschaffung stehen heute nur die Zielwerte fest, nicht die Methode. Ob chemisches Recycling angerechnet wird und unter welchen Bedingungen Importrezyklat zählt, entscheidet sich mit diesen Rechtsakten. Quellen: Art. 7 PPWR; Initiativen 18753, 19033, 18752 (Vorstufe). Grenze: Für PET-Einweggetränkeflaschen gelten bereits die nationale Quote des § 45 VerpackDG und die SUPD-Berechnungsmethode (vgl. C10, C12).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7 Abs. 1, 8, 9 und 10 PPWR (VO (EU) 2025/40); Europäische Kommission, Have your say, Initiativen 18753 (Art. 7 Abs. 8, Berechnung und Verifizierung), 19033 (Art. 7 Abs. 9, Nachhaltigkeitskriterien Recyclingtechnologien) und 18752 (Art. 7 Abs. 10, Drittlandsrezyklat), Call for Evidence 14.08.–16.09.2026 (Vorstufe, nicht erlassen)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Drei Kommissions-Initiativen (18753, 19033, 18752) im Call-for-Evidence-Stadium, Annahme geplant Q4 2026, gesetzliche Frist 31.12.2026. Ergänzt #14, C10, C12.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C19  </w:t>
      </w:r>
      <w:r>
        <w:rPr>
          <w:rFonts w:ascii="Arial" w:cs="Arial" w:eastAsia="Arial" w:hAnsi="Arial"/>
          <w:b/>
          <w:bCs/>
          <w:sz w:val="22"/>
          <w:szCs w:val="22"/>
        </w:rPr>
        <w:t xml:space="preserve">Herstellerregister: Kommt ein einheitliches EU-Meldeformat?</w:t>
      </w:r>
    </w:p>
    <w:p>
      <w:pPr>
        <w:spacing w:after="60" w:before="60"/>
      </w:pPr>
      <w:r>
        <w:rPr>
          <w:rFonts w:ascii="Arial" w:cs="Arial" w:eastAsia="Arial" w:hAnsi="Arial"/>
          <w:color w:val="6B7280"/>
          <w:sz w:val="17"/>
          <w:szCs w:val="17"/>
        </w:rPr>
        <w:t xml:space="preserve">Block C – Konformität, Stoffe, Mehrweg · Rollen / EPR · rechtsverbindlich · Bezug: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in mehreren EU-Ländern registrierungspflichtig. Gibt es bald ein einheitliches Formular oder sogar ein zentrales Register?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Art. 44 Abs. 14 PPWR ermächtigt die Kommission, das Format für Registrierung und Berichterstattung in den nationalen Herstellerregistern zu harmonisieren. Der Entwurf einer Durchführungsverordnung lag vom 06.08. bis 10.09.2026 zur Rückmeldung aus; er sieht einheitliche Registrierungs- und Meldeformate sowie ein vereinfachtes Format für Hersteller unter zehn Tonnen pro Jahr und Mitgliedstaat vor. Die ursprünglich für Anfang 2026 geplante Annahme ist überfällig. Ein zentrales EU-Register ist in der Verordnung nicht vorgesehen; die Bundesregierung und mehrere Mitgliedstaaten fordern ein EU-Registrierungsportal, bevor die Registrierungspflicht im Zielland durchgesetzt wird. Folge: Bis zur Annahme gelten die nationalen Formate weiter, in Deutschland die LUCID-Registrierung nach § 6 VerpackDG (vgl. #31, B01, B02). Quellen: Art. 44 PPWR; § 6 VerpackDG; Initiative 15352 (Entwurf). Grenze: Inhalt und Zeitpunkt der endgültigen Verordnung sind offen; der PPWR Radar meldet die Veröffentlichung.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44 Abs. 1 und 14 PPWR (VO (EU) 2025/40); § 6 VerpackDG (BGBl. 2026 I Nr. 207); Europäische Kommission, Have your say, Initiative 15352 „Packaging and packaging waste – rules on national registers of producers“, Entwurf Ares(2026)7688068 (Durchführungsverordnung, nicht erlassen)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Entwurf Durchführungsverordnung Art. 44 Abs. 14 (Initiative 15352, Feedback 06.08.–10.09.2026, 7.667 Rückmeldungen), Annahme überfällig; AT/CZ/EE fordern Zurückstellung (Sekundärquelle). Ergänzt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2"/>
        <w:keepNext/>
        <w:spacing w:after="120" w:before="280"/>
      </w:pPr>
      <w:r>
        <w:rPr>
          <w:rFonts w:ascii="Arial" w:cs="Arial" w:eastAsia="Arial" w:hAnsi="Arial"/>
          <w:b/>
          <w:bCs/>
          <w:color w:val="111111"/>
          <w:sz w:val="26"/>
          <w:szCs w:val="26"/>
        </w:rPr>
        <w:t xml:space="preserve">B.2 Rollen-Engine: Regeln und Definitionen mit Vorbehalt (11)</w:t>
      </w:r>
    </w:p>
    <w:p>
      <w:pPr>
        <w:spacing w:after="120" w:before="60"/>
      </w:pPr>
      <w:r>
        <w:rPr>
          <w:rFonts w:ascii="Arial" w:cs="Arial" w:eastAsia="Arial" w:hAnsi="Arial"/>
          <w:sz w:val="19"/>
          <w:szCs w:val="19"/>
        </w:rPr>
        <w:t xml:space="preserve">Die Rollen-Engine ist das sensibelste Modul: Aus diesen Regeln leitet das System je Produktlinie ab, ob ein Unternehmen Erzeuger, Hersteller, Importeur oder Vertreiber ist. Regeln mit Vorbehalt (!) werden dem Nutzer heute mit einem Hinweis ausgespielt; nach Ihrer Freigabe entfällt der Hinweis.</w:t>
      </w:r>
    </w:p>
    <w:p>
      <w:pPr>
        <w:keepNext/>
        <w:pBdr>
          <w:top w:val="single" w:color="24A27F" w:sz="6" w:space="4"/>
        </w:pBdr>
        <w:spacing w:after="40" w:before="240"/>
      </w:pPr>
      <w:r>
        <w:rPr>
          <w:rFonts w:ascii="Arial" w:cs="Arial" w:eastAsia="Arial" w:hAnsi="Arial"/>
          <w:b/>
          <w:bCs/>
          <w:color w:val="004494"/>
          <w:sz w:val="22"/>
          <w:szCs w:val="22"/>
        </w:rPr>
        <w:t xml:space="preserve">Regel A3  </w:t>
      </w:r>
      <w:r>
        <w:rPr>
          <w:rFonts w:ascii="Arial" w:cs="Arial" w:eastAsia="Arial" w:hAnsi="Arial"/>
          <w:sz w:val="20"/>
          <w:szCs w:val="20"/>
        </w:rPr>
        <w:t xml:space="preserve">Block „erzeuger“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regel A2 erfüllt UND unternehmensgroesse = kleinstunternehmen (Stand 11.02.2025) UND verpackungslieferant_sitz = gleicher_mitgliedstaat</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erzeuger_ist_lieferant (eigene Rolle: lieferant_als_erzeuger; Markeninhaber entlastet)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b VO (EU) 2025/40; Leitfaden C(2026)3702, Abschn. 2 (gilt unabhängig davon, ob der Lieferant selbst Kleinstunternehmen ist; Verbund-/Franchise-Berechnung nach Art. 3 Empf. 2003/361/EG)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Kleinstunternehmen: &lt; 10 Beschäftigte UND Jahresumsatz ODER Bilanzsumme ≤ 2 Mio. EUR (Empfehlung 2003/361/EG in der am 11.02.2025 geltenden Fassung). Beide Bedingungen (Größe + Lieferant im selben Mitgliedstaat) müssen kumulativ vorliegen, sonst bleibt der Markeninhaber Erzeuger.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A5  </w:t>
      </w:r>
      <w:r>
        <w:rPr>
          <w:rFonts w:ascii="Arial" w:cs="Arial" w:eastAsia="Arial" w:hAnsi="Arial"/>
          <w:sz w:val="20"/>
          <w:szCs w:val="20"/>
        </w:rPr>
        <w:t xml:space="preserve">Block „erzeuger“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rolle_basis IN (importeur, vertreiber) UND (bringt_unter_eigenem_namen_in_verkehr = ja ODER veraendert_verpackung_konformitaetsrelevant = ja) UND NOT regel A3</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 (Zurechnung; zusätzlich zur Basisrolle)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21 VO (EU) 2025/40; Leitfaden C(2026)3702, Abschn. 2</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Importeure und Vertreiber gelten als Erzeuger, wenn sie Verpackungen unter eigenem Namen/eigener Marke in Verkehr bringen oder bereits in Verkehr gebrachte Verpackungen so verändern, dass die Konformität berührt sein kann. Übernahme sämtlicher Erzeugerpflichten. [Ergänzt 18.07.2026, aus App-Engine-Test: Der NOT-A3-Vorbehalt verhindert, dass die Art.-21-Zurechnung die Kleinstunternehmen-Entlastung des Art. 3 Abs. 1 Nr. 13 lit. b wieder aushebelt – Wechselwirkung über die Auffang-Vertreiberrolle. In Cattwyk-Session bestätigen.] | Delta 17.10.2026: vgl. Praxisfrage A30 (Versandetikett ist kein Branding, Kommissions-FAQ 2. Ed.).</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B1  </w:t>
      </w:r>
      <w:r>
        <w:rPr>
          <w:rFonts w:ascii="Arial" w:cs="Arial" w:eastAsia="Arial" w:hAnsi="Arial"/>
          <w:sz w:val="20"/>
          <w:szCs w:val="20"/>
        </w:rPr>
        <w:t xml:space="preserve">Block „hersteller“ · DE (je Mitgliedstaat)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verpackungsart IN (transport, service, primaerproduktion) UND zustand = leer UND sitz = DE UND erste_bereitstellung_aus_DE_in_DE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a VO (EU) 2025/40; Leitfaden C(2026)3702, Abschn. 3; ErwG 122; EUNR-Papier 06/2026 (Sekundärquelle: Lieferkette beginnt bei der fertigen leeren Verpackung; bei Folien u. ä. erst mit der Befüllung)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Für Transport-, Service- und Primärproduktionsverpackungen wird der Hersteller anhand der LEEREN Verpackung bestimmt (Entlastung kleiner Befüller). Erst-Bereitsteller in DE = Hersteller. | Delta 17.10.2026: vgl. Praxisfrage A31 (Finalform-Doktrin, Kommissions-FAQ 2. Ed.).</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B3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vertriebsweg ENTHÄLT fernabsatz_direkt_an_endabnehmer_DE UND sitz IN (anderer_mitgliedstaat, drittland)</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 (in DE) + pflicht_bevollmaechtigter_ehv</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und d VO (EU) 2025/40; § 5 Abs. 2 VerpackDG (BGBl. 2026 I Nr. 207); Leitfaden C(2026)3702, Abschn. 3 (distance seller is the producer; Plattform-Prüfpflichten); ErwG 123, 132</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Wer aus dem Ausland direkt an Endabnehmer in DE liefert, ist Hersteller in DE. Ohne Niederlassung im Bundesgebiet: Pflicht zur Beauftragung/Benennung eines Bevollmächtigten für die erweiterte Herstellerverantwortung vor der ersten Bereitstellung (Registrierung selbst ausgenommen). | Delta 17.10.2026: Watch-Item, vgl. Praxisfrage A35.</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B4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packt_aus UND ist_endabnehmer = nein UND kein_anderer_hersteller_nach_a_bis_d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 (Auffangtatbestand)</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e VO (EU) 2025/40; § 6 Abs. 1 VerpackDG (Registrierung vor dem Auspacken); Leitfaden C(2026)3702, Abschn. 3 (Logistikunternehmen: Umpacken von Drittlandsware macht zum Hersteller der Transportverpackung, auch ohne Eigentum); ErwG 123</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Auspacker-Tatbestand: Wer verpackte Produkte auspackt, ohne Endabnehmer zu sein, wird Hersteller der anfallenden Verpackung, sofern kein anderer Hersteller nach lit. a–d existiert. Kernfall: Fulfillment/Logistik mit Drittlandsware. Registrierung VOR dem Auspacken.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B5  </w:t>
      </w:r>
      <w:r>
        <w:rPr>
          <w:rFonts w:ascii="Arial" w:cs="Arial" w:eastAsia="Arial" w:hAnsi="Arial"/>
          <w:sz w:val="20"/>
          <w:szCs w:val="20"/>
        </w:rPr>
        <w:t xml:space="preserve">Block „hersteller“ · DE/EU</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warenstrom = export_aus_EU</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kein_hersteller (für diese Mengen)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i. V. m. Art. 45 VO (EU) 2025/40 (Systematik); Leitfaden C(2026)3702, Abschn. 3 (Export: kein producer, da kein Abfall in der EU erwartet; bei Weitervertrieb in anderen Mitgliedstaat: Gebührenerstattung)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Exportmengen lösen keine EPR in DE aus. Wird nach Gebührenzahlung in DE erstmals in einem anderen Mitgliedstaat bereitgestellt, sind die Beiträge zu erstatten; die Pflicht entsteht dort neu.</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B6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rolle = hersteller UND verpackung IN systembeteiligungspflichtig (§ 3 Abs. 6 VerpackDG)</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rechtsfolgen_DE: registrierung_zsvr + systembeteiligung + datenmeldung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6, 7, 9, 10 VerpackDG; Art. 44, 45 VO (EU) 2025/40; § 68 VerpackDG (Übergang, final: LUCID-Registrierungen gelten fort, Abs. 2 Satz 1; Änderungsmitteilungen bis 12.11.2026, Abs. 2 Satz 2; erstmals Verpflichtete bis 12.09.2026, Abs. 2 Satz 3; Alt-Systembeteiligungen längstens bis 31.12.2026, Abs. 1); § 68 Abs. 17: Bußgeldtatbestände für PPWR-Verstöße (§ 66 Abs. 2) erst ab 12.02.2027 anwendbar</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Rechtsfolgen-Kaskade in DE: Registrierung bei der ZSVR vor erstmaliger Bereitstellung bzw. vor dem Auspacken (§ 6 Abs. 1); Systembeteiligung mit Materialart/Masse (§ 7 Abs. 1); bei Serviceverpackungen Übertragungsmöglichkeit auf Vorvertreiber (§ 7 Abs. 2 – Auslegungsfrage, s. Review); Datenmeldung § 9; ggf. Vollständigkeitserklärung § 10.</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C1  </w:t>
      </w:r>
      <w:r>
        <w:rPr>
          <w:rFonts w:ascii="Arial" w:cs="Arial" w:eastAsia="Arial" w:hAnsi="Arial"/>
          <w:sz w:val="20"/>
          <w:szCs w:val="20"/>
        </w:rPr>
        <w:t xml:space="preserve">Block „weitere“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importiert_drittland UND bringt_in_verkehr = ja UND eu_rechtspersoenlichkeit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importeur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17; Art. 18 VO (EU) 2025/40; Leitfaden C(2026)3702, Abschn. 4 (Zweigniederlassung genügt nicht; harmonisierter Begriff)</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Importeur ist nur, wer mit eigener EU-Rechtspersönlichkeit Drittlandsverpackungen erstmals auf dem Unionsmarkt bereitstellt. Zweigniederlassung/USt-Registrierung reicht nicht: dann Tochtergesellschaft oder Bevollmächtigter erforderlich.</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C4  </w:t>
      </w:r>
      <w:r>
        <w:rPr>
          <w:rFonts w:ascii="Arial" w:cs="Arial" w:eastAsia="Arial" w:hAnsi="Arial"/>
          <w:sz w:val="20"/>
          <w:szCs w:val="20"/>
        </w:rPr>
        <w:t xml:space="preserve">Block „weitere“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lagert_und_versendet_fuer_dritte UND eigentum_an_ware = nein UND dienstleistungen &gt;= 2 aus (lagerhaltung, verpackung, adressierung, versand)</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fulfillment_dienstleister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UAbs. 3 VO (EU) 2025/40 i. V. m. Art. 3 Nr. 11 VO (EU) 2019/1020; Art. 20 VO (EU) 2025/40; ErwG 133; Leitfaden C(2026)3702, Abschn. 3</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Mindestens zwei der vier Dienstleistungen ohne Eigentum an der Ware; Post-/Paket-/Frachtdienste ausgenommen. Bei Umpacken von Drittlandsware zusätzlich Prüfung Regel B4.</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Fulfillment-Dienstleister (fulfilment service provider)  </w:t>
      </w:r>
      <w:r>
        <w:rPr>
          <w:rFonts w:ascii="Arial" w:cs="Arial" w:eastAsia="Arial" w:hAnsi="Arial"/>
          <w:sz w:val="20"/>
          <w:szCs w:val="20"/>
        </w:rPr>
        <w:t xml:space="preserve">(fulfillment_dienstleister, kernrolle)</w:t>
      </w:r>
    </w:p>
    <w:p>
      <w:pPr>
        <w:spacing w:after="40" w:before="40"/>
      </w:pPr>
      <w:r>
        <w:rPr>
          <w:rFonts w:ascii="Arial" w:cs="Arial" w:eastAsia="Arial" w:hAnsi="Arial"/>
          <w:b/>
          <w:bCs/>
          <w:sz w:val="19"/>
          <w:szCs w:val="19"/>
        </w:rPr>
        <w:t xml:space="preserve">Definition: </w:t>
      </w:r>
      <w:r>
        <w:rPr>
          <w:rFonts w:ascii="Arial" w:cs="Arial" w:eastAsia="Arial" w:hAnsi="Arial"/>
          <w:sz w:val="19"/>
          <w:szCs w:val="19"/>
        </w:rPr>
        <w:t xml:space="preserve">Per Verweis definiert: natürliche oder juristische Person, die im Rahmen einer Geschäftstätigkeit mindestens zwei der folgenden Dienstleistungen anbietet: Lagerhaltung, Verpackung, Adressierung und Versand von Produkten, an denen sie kein Eigentumsrecht hat – ausgenommen Postdienste, Paketzustelldienste und sonstige Post-/Frachtdienste (Wortlaut gegen VO (EU) 2019/1020 pinnen).</w:t>
      </w:r>
    </w:p>
    <w:p>
      <w:pPr>
        <w:spacing w:after="40" w:before="40"/>
      </w:pPr>
      <w:r>
        <w:rPr>
          <w:rFonts w:ascii="Arial" w:cs="Arial" w:eastAsia="Arial" w:hAnsi="Arial"/>
          <w:b/>
          <w:bCs/>
          <w:sz w:val="19"/>
          <w:szCs w:val="19"/>
        </w:rPr>
        <w:t xml:space="preserve">Abgrenzung: </w:t>
      </w:r>
      <w:r>
        <w:rPr>
          <w:rFonts w:ascii="Arial" w:cs="Arial" w:eastAsia="Arial" w:hAnsi="Arial"/>
          <w:sz w:val="19"/>
          <w:szCs w:val="19"/>
        </w:rPr>
        <w:t xml:space="preserve">Kein Eigentum an der Ware; reine Transport-/Postdienstleister sind ausgenommen. Abgrenzung zum Vertreiber: der Fulfillment-Dienstleister stellt nicht selbst auf dem Markt bereit.</w:t>
      </w:r>
    </w:p>
    <w:p>
      <w:pPr>
        <w:spacing w:after="40" w:before="40"/>
      </w:pPr>
      <w:r>
        <w:rPr>
          <w:rFonts w:ascii="Arial" w:cs="Arial" w:eastAsia="Arial" w:hAnsi="Arial"/>
          <w:b/>
          <w:bCs/>
          <w:sz w:val="19"/>
          <w:szCs w:val="19"/>
        </w:rPr>
        <w:t xml:space="preserve">Fundstelle: </w:t>
      </w:r>
      <w:r>
        <w:rPr>
          <w:rFonts w:ascii="Arial" w:cs="Arial" w:eastAsia="Arial" w:hAnsi="Arial"/>
          <w:sz w:val="19"/>
          <w:szCs w:val="19"/>
        </w:rPr>
        <w:t xml:space="preserve">Art. 3 Abs. 1 UAbs. 3 VO (EU) 2025/40 i. V. m. Art. 3 Nr. 11 VO (EU) 2019/1020</w:t>
      </w:r>
    </w:p>
    <w:p>
      <w:pPr>
        <w:spacing w:after="40" w:before="40"/>
      </w:pPr>
      <w:r>
        <w:rPr>
          <w:rFonts w:ascii="Arial" w:cs="Arial" w:eastAsia="Arial" w:hAnsi="Arial"/>
          <w:b/>
          <w:bCs/>
          <w:sz w:val="19"/>
          <w:szCs w:val="19"/>
        </w:rPr>
        <w:t xml:space="preserve">VerpackDG-Bezug: </w:t>
      </w:r>
      <w:r>
        <w:rPr>
          <w:rFonts w:ascii="Arial" w:cs="Arial" w:eastAsia="Arial" w:hAnsi="Arial"/>
          <w:sz w:val="19"/>
          <w:szCs w:val="19"/>
        </w:rPr>
        <w:t xml:space="preserve">§ 13 Abs. 4 VerpackDG: Tätigkeitsverbot bei nicht registrierten Herstellern; verweist auf Art. 3 Nr. 11 VO (EU) 2019/1020 „in der Fassung vom 12. August 2026"; automatisierter Registerdatenabgleich der ZSVR. Bußgeldbewehrte Mitwirkungspflichten (§ 66 VerpackDG i. V. m. Art. 20).</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Definition ist als unsicher markiert (!). Bitte Wortlautnähe und Abgrenzung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Endabnehmer (end user)  </w:t>
      </w:r>
      <w:r>
        <w:rPr>
          <w:rFonts w:ascii="Arial" w:cs="Arial" w:eastAsia="Arial" w:hAnsi="Arial"/>
          <w:sz w:val="20"/>
          <w:szCs w:val="20"/>
        </w:rPr>
        <w:t xml:space="preserve">(hb_endabnehmer, hilfsbegriff)</w:t>
      </w:r>
    </w:p>
    <w:p>
      <w:pPr>
        <w:spacing w:after="40" w:before="40"/>
      </w:pPr>
      <w:r>
        <w:rPr>
          <w:rFonts w:ascii="Arial" w:cs="Arial" w:eastAsia="Arial" w:hAnsi="Arial"/>
          <w:b/>
          <w:bCs/>
          <w:sz w:val="19"/>
          <w:szCs w:val="19"/>
        </w:rPr>
        <w:t xml:space="preserve">Definition: </w:t>
      </w:r>
      <w:r>
        <w:rPr>
          <w:rFonts w:ascii="Arial" w:cs="Arial" w:eastAsia="Arial" w:hAnsi="Arial"/>
          <w:sz w:val="19"/>
          <w:szCs w:val="19"/>
        </w:rPr>
        <w:t xml:space="preserve">Natürliche oder juristische Person mit Wohnsitz/Niederlassung in der Union, der ein Produkt als Verbraucher oder beruflicher Endabnehmer bereitgestellt wird und die es in der gelieferten Form nicht erneut auf dem Markt bereitstellt.</w:t>
      </w:r>
    </w:p>
    <w:p>
      <w:pPr>
        <w:spacing w:after="40" w:before="40"/>
      </w:pPr>
      <w:r>
        <w:rPr>
          <w:rFonts w:ascii="Arial" w:cs="Arial" w:eastAsia="Arial" w:hAnsi="Arial"/>
          <w:b/>
          <w:bCs/>
          <w:sz w:val="19"/>
          <w:szCs w:val="19"/>
        </w:rPr>
        <w:t xml:space="preserve">Abgrenzung: </w:t>
      </w:r>
      <w:r>
        <w:rPr>
          <w:rFonts w:ascii="Arial" w:cs="Arial" w:eastAsia="Arial" w:hAnsi="Arial"/>
          <w:sz w:val="19"/>
          <w:szCs w:val="19"/>
        </w:rPr>
        <w:t xml:space="preserve">Beruflicher Endabnehmer: verwendet das Produkt selbst (z. B. Abfüller ist Endabnehmer der zugekauften LEEREN Folien/Paletten aus anderem Mitgliedstaat? NEIN – EUNR: der Befüller ist für Verpackungsmaterial gerade KEIN Endabnehmer; Klärung mit Cattwyk).</w:t>
      </w:r>
    </w:p>
    <w:p>
      <w:pPr>
        <w:spacing w:after="40" w:before="40"/>
      </w:pPr>
      <w:r>
        <w:rPr>
          <w:rFonts w:ascii="Arial" w:cs="Arial" w:eastAsia="Arial" w:hAnsi="Arial"/>
          <w:b/>
          <w:bCs/>
          <w:sz w:val="19"/>
          <w:szCs w:val="19"/>
        </w:rPr>
        <w:t xml:space="preserve">Fundstelle: </w:t>
      </w:r>
      <w:r>
        <w:rPr>
          <w:rFonts w:ascii="Arial" w:cs="Arial" w:eastAsia="Arial" w:hAnsi="Arial"/>
          <w:sz w:val="19"/>
          <w:szCs w:val="19"/>
        </w:rPr>
        <w:t xml:space="preserve">Art. 3 Abs. 1 Nr. 23 VO (EU) 2025/40</w:t>
      </w:r>
    </w:p>
    <w:p>
      <w:pPr>
        <w:spacing w:after="40" w:before="40"/>
      </w:pPr>
      <w:r>
        <w:rPr>
          <w:rFonts w:ascii="Arial" w:cs="Arial" w:eastAsia="Arial" w:hAnsi="Arial"/>
          <w:b/>
          <w:bCs/>
          <w:sz w:val="19"/>
          <w:szCs w:val="19"/>
        </w:rPr>
        <w:t xml:space="preserve">VerpackDG-Bezug: </w:t>
      </w:r>
      <w:r>
        <w:rPr>
          <w:rFonts w:ascii="Arial" w:cs="Arial" w:eastAsia="Arial" w:hAnsi="Arial"/>
          <w:sz w:val="19"/>
          <w:szCs w:val="19"/>
        </w:rPr>
        <w:t xml:space="preserve">—</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Definition ist als unsicher markiert (!). Bitte Wortlautnähe und Abgrenzung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2"/>
        <w:keepNext/>
        <w:spacing w:after="120" w:before="280"/>
      </w:pPr>
      <w:r>
        <w:rPr>
          <w:rFonts w:ascii="Arial" w:cs="Arial" w:eastAsia="Arial" w:hAnsi="Arial"/>
          <w:b/>
          <w:bCs/>
          <w:color w:val="111111"/>
          <w:sz w:val="26"/>
          <w:szCs w:val="26"/>
        </w:rPr>
        <w:t xml:space="preserve">B.3 Praxisfragen mit offenem Punkt aus früheren Paketen (21)</w:t>
      </w:r>
    </w:p>
    <w:p>
      <w:pPr>
        <w:keepNext/>
        <w:pBdr>
          <w:top w:val="single" w:color="24A27F" w:sz="6" w:space="4"/>
        </w:pBdr>
        <w:spacing w:after="40" w:before="240"/>
      </w:pPr>
      <w:r>
        <w:rPr>
          <w:rFonts w:ascii="Arial" w:cs="Arial" w:eastAsia="Arial" w:hAnsi="Arial"/>
          <w:b/>
          <w:bCs/>
          <w:color w:val="004494"/>
          <w:sz w:val="22"/>
          <w:szCs w:val="22"/>
        </w:rPr>
        <w:t xml:space="preserve">A02  </w:t>
      </w:r>
      <w:r>
        <w:rPr>
          <w:rFonts w:ascii="Arial" w:cs="Arial" w:eastAsia="Arial" w:hAnsi="Arial"/>
          <w:b/>
          <w:bCs/>
          <w:sz w:val="22"/>
          <w:szCs w:val="22"/>
        </w:rPr>
        <w:t xml:space="preserve">Lohnabfüllung: Wer registriert und lizenziert?</w:t>
      </w:r>
    </w:p>
    <w:p>
      <w:pPr>
        <w:spacing w:after="60" w:before="60"/>
      </w:pPr>
      <w:r>
        <w:rPr>
          <w:rFonts w:ascii="Arial" w:cs="Arial" w:eastAsia="Arial" w:hAnsi="Arial"/>
          <w:color w:val="6B7280"/>
          <w:sz w:val="17"/>
          <w:szCs w:val="17"/>
        </w:rPr>
        <w:t xml:space="preserve">Block A – Rollen-Grenzfälle · Rollen / EPR · unverbindliche Auslegung · Bezug: #08, #31,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Und wer von uns beiden muss dann bei LUCID registriert sein und lizenzieren – wir als Markeninhaber oder unser Lohnabfüller?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EPR-Rolle „Hersteller“ trägt, wer das verpackte Produkt erstmals im Bundesgebiet bereitstellt (Art. 3 Abs. 1 Nr. 15 lit. b PPWR). „Bereitstellung“ ist jede entgeltliche oder unentgeltliche Abgabe zum Vertrieb, Verbrauch oder zur Verwendung (Nr. 11). Bei klassischer Lohnfertigung bleibt die Ware im Eigentum des Auftraggebers; die erste Abgabe in die Lieferkette erfolgt dann durch den Auftraggeber – nach dieser Lesart sind SIE der Hersteller und müssen registrieren (§ 6 VerpackDG) und sich an einem System beteiligen (§ 7). Verkauft der Abfüller die befüllte Ware dagegen an Sie, stellt ER erstmals bereit (vgl. A03). Folge: Vertragskonstellation prüfen (Eigentumsübergang, wer gibt an wen ab); Rollen-Check je Produktlinie. Quellen: Art. 3 Abs. 1 Nr. 11 u. 15 lit. b PPWR; §§ 6, 7 VerpackDG; Leitfaden Abschn. 3 (unverbindlich: „Hersteller ist regelmäßig der Abfüller, der erstmals bereitstellt“). Grenze: Die Zuordnung bei Lohnfertigung ohne Eigentumsübergang ist im Leitfaden nicht ausdrücklich behandelt – Auslegung, in der Cattwyk-Session zu bestätigen (!).</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11 PPWR; Art. 3 Abs. 1 Nr. 15 lit. b PPWR; §§ 6, 7 VerpackDG;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Lohnfertigungs-Zuordnung in Session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A05  </w:t>
      </w:r>
      <w:r>
        <w:rPr>
          <w:rFonts w:ascii="Arial" w:cs="Arial" w:eastAsia="Arial" w:hAnsi="Arial"/>
          <w:b/>
          <w:bCs/>
          <w:sz w:val="22"/>
          <w:szCs w:val="22"/>
        </w:rPr>
        <w:t xml:space="preserve">Franchise: Zählen wir als Kleinstunternehmen?</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ein Franchise-Betrieb mit 4 Mitarbeitern – zählen wir als Kleinstunternehmen, oder zählt da der ganze Franchise-Verbund?</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die Kleinstunternehmen-Prüfung (Art. 3 Abs. 1 Nr. 13 lit. b, Art. 21 UAbs. 2 PPWR) sind verbundene und Partnerunternehmen nach Art. 3 des Anhangs der Empfehlung 2003/361/EG einzubeziehen. Der Leitfaden konkretisiert für Franchise: Ein Franchisenehmer kann Kleinstunternehmen sein, wenn der Franchisegeber nicht direkt oder indirekt 25 % oder mehr des Kapitals oder der Stimmrechte hält und keine Kontrolle oder keinen beherrschenden Einfluss ausübt; andernfalls sind die Daten des Franchisegebers hinzuzurechnen. Folge: Prüfen Sie den Franchisevertrag auf Beteiligungs- und Kontrollrechte; erst danach steht fest, ob die Erzeuger-Entlastung greift. Quellen: Art. 3 Abs. 1 Nr. 13 lit. b PPWR; Empfehlung 2003/361/EG, Anhang Art. 3; Leitfaden C(2026) 3702 Abschn. 2 (unverbindliche Auslegung der EU-Kommission). Grenze: Die Franchise-Aussage stammt allein aus dem Leitfaden und ist rechtlich nicht bindend; bei Kontroll-Zweifelsfällen Einzelfallberatung (Eskalation, vgl. U8 Rollen-Engine).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b PPWR; Empfehlung 2003/361/EG Anhang Art. 3; Leitfaden C(2026) 3702 Abschn. 2</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U8: Verbund-/Franchise-Eskalationsschwelle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A09  </w:t>
      </w:r>
      <w:r>
        <w:rPr>
          <w:rFonts w:ascii="Arial" w:cs="Arial" w:eastAsia="Arial" w:hAnsi="Arial"/>
          <w:b/>
          <w:bCs/>
          <w:sz w:val="22"/>
          <w:szCs w:val="22"/>
        </w:rPr>
        <w:t xml:space="preserve">Fulfillment für Drittland-Kunden: Unsere Rolle?</w:t>
      </w:r>
    </w:p>
    <w:p>
      <w:pPr>
        <w:spacing w:after="60" w:before="60"/>
      </w:pPr>
      <w:r>
        <w:rPr>
          <w:rFonts w:ascii="Arial" w:cs="Arial" w:eastAsia="Arial" w:hAnsi="Arial"/>
          <w:color w:val="6B7280"/>
          <w:sz w:val="17"/>
          <w:szCs w:val="17"/>
        </w:rPr>
        <w:t xml:space="preserve">Block A – Rollen-Grenzfälle · Rollen / EPR · unverbindliche Auslegung · Bezug: #39, #08,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Fulfillment-Dienstleister und packen für einen US-Kunden Container-Ware in kleinere Sendungen um. Die Ware gehört uns nie – kann uns das Verpackungsrecht trotzdem treffen?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doppelt. Erstens gelten für Sie als Fulfilment-Dienstleister (Definition über Art. 3 Abs. 1 UAbs. 3 PPWR i. V. m. Art. 3 Nr. 11 VO (EU) 2019/1020: mindestens zwei Leistungen aus Lagerhaltung, Verpackung, Adressierung, Versand ohne Eigentum) die Pflichten des Art. 20 PPWR sowie § 13 Abs. 4 VerpackDG: Sie dürfen für nicht ordnungsgemäß registrierte Hersteller nicht tätig werden; die ZSVR stellt dafür einen automatisierten Datenabgleich bereit. Zweitens werden Sie beim Umpacken importierter Drittlandsware nach der Kommissions-Auslegung selbst Hersteller der Transportverpackung nach Art. 3 Abs. 1 Nr. 15 lit. e – ausdrücklich AUCH ohne Eigentum an der Ware; Logistiker, die importierte Ware auspacken oder umpacken, sind keine Endabnehmer (Leitfaden Abschn. 3, letzter Absatz). Folge: eigene Registrierung vor dem Auspacken (§ 6 Abs. 1), Systembeteiligung soweit systembeteiligungspflichtig, plus Kunden-Screening gegen LUCID. Quellen: Art. 3 Abs. 1 UAbs. 3, Art. 3 Abs. 1 Nr. 15 lit. e, Art. 20, Art. 45 Abs. 7 PPWR; § 13 Abs. 4, § 6 Abs. 1 VerpackDG; Leitfaden Abschn.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e PPWR; Art. 20 PPWR; § 13 Abs. 4 VerpackDG;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U5: Wortlaut VO 2019/1020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A15  </w:t>
      </w:r>
      <w:r>
        <w:rPr>
          <w:rFonts w:ascii="Arial" w:cs="Arial" w:eastAsia="Arial" w:hAnsi="Arial"/>
          <w:b/>
          <w:bCs/>
          <w:sz w:val="22"/>
          <w:szCs w:val="22"/>
        </w:rPr>
        <w:t xml:space="preserve">Bedruckte Serviceverpackungen: Wessen Pflicht?</w:t>
      </w:r>
    </w:p>
    <w:p>
      <w:pPr>
        <w:spacing w:after="60" w:before="60"/>
      </w:pPr>
      <w:r>
        <w:rPr>
          <w:rFonts w:ascii="Arial" w:cs="Arial" w:eastAsia="Arial" w:hAnsi="Arial"/>
          <w:color w:val="6B7280"/>
          <w:sz w:val="17"/>
          <w:szCs w:val="17"/>
        </w:rPr>
        <w:t xml:space="preserve">Block A – Rollen-Grenzfälle · Rollen / EPR · unverbindliche Auslegung · Bezug: #32,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Imbisskette lässt Serviceverpackungen mit eigenem Logo bedrucken. Ein Kollege sagt, es gebe im neuen Gesetz noch eine Übertragungsmöglichkeit auf den Lieferanten – stimmt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aber eng zugeschnitten. § 7 Abs. 2 VerpackDG erlaubt die Übertragung der Systembeteiligungspflicht auf die Vorvertreiber der unbefüllten Serviceverpackungen – allerdings nur für den Hersteller, „der nach Artikel 21 der Verordnung (EU) 2025/40 als Erzeuger gilt“. Art. 21 erfasst Importeure/Vertreiber, die Verpackungen unter EIGENER Marke in Verkehr bringen oder konformitätsrelevant verändern. Mit Ihrem Logo-Druck können Sie in diese Konstellation fallen. Folge: Sie können vom Vorvertreiber verlangen, dass er sich hinsichtlich der gelieferten unbefüllten Serviceverpackungen am System beteiligt und Ihnen dies bestätigt; mit der Übertragung gehen die Pflichten aus §§ 6, 9, 10 insoweit über – Ihre EIGENE Registrierungspflicht bleibt aber bestehen, und bei vollständiger Übertragung geben Sie die Erklärung nach § 6 Abs. 2 Satz 3 ab („ausschließlich bereits systembeteiligte Serviceverpackungen“). Quellen: § 7 Abs. 2, § 6 Abs. 2 Satz 3 VerpackDG; Art. 21 PPWR. Grenze: Welcher Anwendungsbereich für die Übertragung im Vergleich zu § 7 Abs. 2 VerpackG a. F.</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7 Abs. 2 VerpackDG; § 6 Abs. 2 Satz 3 VerpackDG; Art. 21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U2: Anwendungsbereich § 7 Abs. 2 in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A17  </w:t>
      </w:r>
      <w:r>
        <w:rPr>
          <w:rFonts w:ascii="Arial" w:cs="Arial" w:eastAsia="Arial" w:hAnsi="Arial"/>
          <w:b/>
          <w:bCs/>
          <w:sz w:val="22"/>
          <w:szCs w:val="22"/>
        </w:rPr>
        <w:t xml:space="preserve">Nachträglicher Weiterexport: Lizenz zurückholen?</w:t>
      </w:r>
    </w:p>
    <w:p>
      <w:pPr>
        <w:spacing w:after="60" w:before="60"/>
      </w:pPr>
      <w:r>
        <w:rPr>
          <w:rFonts w:ascii="Arial" w:cs="Arial" w:eastAsia="Arial" w:hAnsi="Arial"/>
          <w:color w:val="6B7280"/>
          <w:sz w:val="17"/>
          <w:szCs w:val="17"/>
        </w:rPr>
        <w:t xml:space="preserve">Block A – Rollen-Grenzfälle · Rollen / EPR · unverbindliche Auslegung · Bezug: #32,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haben Ware in Deutschland lizenziert, unser Kunde hat sie dann doch komplett nach Österreich weiterverkauft. Bekommen wir die Beteiligungsentgelte zurück?</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PPWR-Systematik sieht das vor: Wird nach Gebührenzahlung in einem Mitgliedstaat die Verpackung durch einen Vertreiber erstmals im Hoheitsgebiet eines ANDEREN Mitgliedstaats bereitgestellt, sind die Entgelte zu erstatten („the fees must be reimbursed“, Leitfaden Abschn. 3 zu Art. 45 Abs. 1). Das VerpackDG regelt einen ausdrücklichen Erstattungsanspruch bislang nur für den Fall beschädigter/unverkäuflicher, nicht an Endabnehmer abgegebener Ware (§ 7 Abs. 3). Folge: Praktisch führt der Weg über das jeweilige System (vertragliche Export-Mengenkorrektur/Gutschrift) und über saubere Export-Nachweise; künftig vermeiden Sie die Doppelbelastung ex ante über § 11 Nr. 4 VerpackDG (nachweislich nicht im Bundesgebiet an Endabnehmer). Quellen: Art. 45 Abs. 1 PPWR; Leitfaden C(2026) 3702 Abschn. 3 (unverbindliche Auslegung der EU-Kommission); § 7 Abs. 3, § 11 Nr. 4 VerpackDG. Grenze: Anspruchsgrundlage, Verfahren und Nachweisanforderungen der Erstattung im deutschen Recht sind nicht ausdrücklich geregelt – konkrete Durchsetzung ist Einzelfall (Eskalation E02).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45 Abs. 1 PPWR; Leitfaden C(2026) 3702 Abschn. 3; § 7 Abs. 3 VerpackDG; § 11 Nr. 4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Erstattungsverfahren ungeregelt → Eskalation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A23  </w:t>
      </w:r>
      <w:r>
        <w:rPr>
          <w:rFonts w:ascii="Arial" w:cs="Arial" w:eastAsia="Arial" w:hAnsi="Arial"/>
          <w:b/>
          <w:bCs/>
          <w:sz w:val="22"/>
          <w:szCs w:val="22"/>
        </w:rPr>
        <w:t xml:space="preserve">Stretchfolie &amp; Paletten aus NL: Unsere Pflichten?</w:t>
      </w:r>
    </w:p>
    <w:p>
      <w:pPr>
        <w:spacing w:after="60" w:before="60"/>
      </w:pPr>
      <w:r>
        <w:rPr>
          <w:rFonts w:ascii="Arial" w:cs="Arial" w:eastAsia="Arial" w:hAnsi="Arial"/>
          <w:color w:val="6B7280"/>
          <w:sz w:val="17"/>
          <w:szCs w:val="17"/>
        </w:rPr>
        <w:t xml:space="preserve">Block A – Rollen-Grenzfälle · Rollen / EPR · unverbindliche Auslegung · Bezug: #08,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kaufen Stretchfolie und Paletten bei einem Händler in den Niederlanden und wickeln damit unsere Ware. Ist der Niederländer dann bei uns der „Hersteller“, weil er direkt an uns als Endkunden liefert?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der Verbandsauslegung nein. Der Fernabsatz-Tatbestand des Art. 3 Abs. 1 Nr. 15 lit. c PPWR setzt eine Lieferung „direkt an Endabnehmer“ voraus. Endabnehmer ist, wem ein Produkt bereitgestellt wird und wer es nicht in der gelieferten Form weiter bereitstellt (Nr. 23). Das EUNR-Papier stellt für lit. c auf den Endabnehmer des PRODUKTS ab: Ein Befüller, der Paletten oder Stretchfolie aus dem EU-Ausland bezieht, um seine Ware zu verpacken, ist für dieses Verpackungsmaterial KEIN Endabnehmer – die Verpackung geht mit der Ware weiter. Folge (nach dieser Lesart): Der niederländische Händler wird nicht über lit. c deutscher Hersteller; als erstes Glied der deutschen Lieferkette rückt vielmehr der inländische Verwender in die Herstellerrolle für diese Transportverpackung. Quellen: Art. 3 Abs. 1 Nr. 15 lit. c u. Nr. 23 PPWR; EUNR-Papier „Producer Definition“ (Juni 2026) – ausdrücklich Sekundärquelle/Verbandsauslegung; Leitfaden Abschn. 3 stützt die Produkt-Endabnehmer-Lesart nur implizit.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PPWR; Art. 3 Abs. 1 Nr. 23 PPWR; EUNR-Papier Producer Definition (Sekundärquelle);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U4: Session-Pflicht, bis dahin nicht_ausspielen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A26  </w:t>
      </w:r>
      <w:r>
        <w:rPr>
          <w:rFonts w:ascii="Arial" w:cs="Arial" w:eastAsia="Arial" w:hAnsi="Arial"/>
          <w:b/>
          <w:bCs/>
          <w:sz w:val="22"/>
          <w:szCs w:val="22"/>
        </w:rPr>
        <w:t xml:space="preserve">Auslands-Direktvertrieb: Bevollmächtigter ab 12.08.2026 Pflicht?</w:t>
      </w:r>
    </w:p>
    <w:p>
      <w:pPr>
        <w:spacing w:after="60" w:before="60"/>
      </w:pPr>
      <w:r>
        <w:rPr>
          <w:rFonts w:ascii="Arial" w:cs="Arial" w:eastAsia="Arial" w:hAnsi="Arial"/>
          <w:color w:val="6B7280"/>
          <w:sz w:val="17"/>
          <w:szCs w:val="17"/>
        </w:rPr>
        <w:t xml:space="preserve">Block A – Rollen-Grenzfälle · Rollen / EPR · rechtsverbindlich · Bezug: #09, #31,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sitzen in Österreich und verkaufen online direkt an Endkunden in Deutschland. Stimmt es, dass wir ab August zwingend einen Bevollmächtigten brauchen?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Wer ohne Niederlassung in Deutschland leere Verpackungen oder verpackte Produkte direkt an Endabnehmer im Bundesgebiet vertreibt, ist Hersteller nach Art. 3 Abs. 1 Nr. 15 lit. c bzw. d PPWR und muss einen Bevollmächtigten für die erweiterte Herstellerverantwortung benennen: für EU-ansässige Hersteller folgt das aus Art. 45 Abs. 3 Satz 1 PPWR, für Drittstaaten-Hersteller hat Deutschland die Option des Art. 45 Abs. 3 Satz 2 PPWR in § 5 Abs. 2 Satz 2 VerpackDG verbindlich ausgeübt. Konkrete Folge: Die Beauftragung muss vor dem erstmaligen Bereitstellen im Bundesgebiet erfolgen (§ 5 Abs. 2 VerpackDG); die bislang freiwillige Bevollmächtigung wird damit zum 12.08.2026 zur Pflicht. Eine Befreiung ist nicht vorgesehen. Grenze: Die Registrierung im Verpackungsregister LUCID bleibt ausgenommen – sie ist höchstpersönliche Pflicht des Herstellers (§ 5 Abs. 2 i. V. m. § 6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und d PPWR (VO (EU) 2025/40); Art. 45 Abs. 3 PPWR; § 5 Abs. 2 VerpackDG (BGBl. 2026 I Nr. 207); § 6 VerpackDG; ZSVR: „PPWR und VerpackDG – was sich für Sie ändert" und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A27  </w:t>
      </w:r>
      <w:r>
        <w:rPr>
          <w:rFonts w:ascii="Arial" w:cs="Arial" w:eastAsia="Arial" w:hAnsi="Arial"/>
          <w:b/>
          <w:bCs/>
          <w:sz w:val="22"/>
          <w:szCs w:val="22"/>
        </w:rPr>
        <w:t xml:space="preserve">Bevollmächtigter: Was übernimmt er, was bleibt beim Hersteller?</w:t>
      </w:r>
    </w:p>
    <w:p>
      <w:pPr>
        <w:spacing w:after="60" w:before="60"/>
      </w:pPr>
      <w:r>
        <w:rPr>
          <w:rFonts w:ascii="Arial" w:cs="Arial" w:eastAsia="Arial" w:hAnsi="Arial"/>
          <w:color w:val="6B7280"/>
          <w:sz w:val="17"/>
          <w:szCs w:val="17"/>
        </w:rPr>
        <w:t xml:space="preserve">Block A – Rollen-Grenzfälle · Rollen / EPR · rechtsverbindlich · Bezug: #09, #31, #32, #34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Welche Pflichten übernimmt der Bevollmächtigte konkret für uns – und was müssen wir trotzdem selbst erledigen?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Bevollmächtigte für die erweiterte Herstellerverantwortung tritt in die EPR-Pflichten nach Kapitel VIII PPWR und nach dem VerpackDG ein; er gilt insoweit als Hersteller und handelt im eigenen Namen (§ 5 Abs. 2 und 3 VerpackDG). Konkrete Folge: Er übernimmt nach der Behördeninformation der ZSVR insbesondere den Abschluss des Systembeteiligungsvertrags, die Datenmeldungen zu Verpackungsmengen in LUCID, die Abgabe von Vollständigkeitserklärungen, die Erfüllung der Rücknahmepflichten nach § 39 VerpackDG sowie die Beteiligung an einem bundesweiten Pfandsystem für pfandpflichtige Einweggetränkeverpackungen. Beim Hersteller selbst verbleibt allein die Registrierung in LUCID einschließlich der Pflege der Registrierungsdaten – sie ist von der Bevollmächtigung ausgenommen (§ 5 Abs. 2 VerpackDG). Grenze: Davon zu unterscheiden ist die einfache Beauftragung Dritter nach § 5 Abs. 1 VerpackDG – dort sind sowohl die Registrierung nach § 6 als auch die Datenmeldungen nach § 9 ausdrücklich ausgeschlossen (§ 5 Abs. 1 Satz 2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5 Abs. 1 bis 3 VerpackDG (BGBl. 2026 I Nr. 207); § 39 VerpackDG; Kapitel VIII PPWR (VO (EU) 2025/40), insb. Art. 44, 45; ZSVR: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A28  </w:t>
      </w:r>
      <w:r>
        <w:rPr>
          <w:rFonts w:ascii="Arial" w:cs="Arial" w:eastAsia="Arial" w:hAnsi="Arial"/>
          <w:b/>
          <w:bCs/>
          <w:sz w:val="22"/>
          <w:szCs w:val="22"/>
        </w:rPr>
        <w:t xml:space="preserve">Bevollmächtigter: Anforderungen an Person und Benennung?</w:t>
      </w:r>
    </w:p>
    <w:p>
      <w:pPr>
        <w:spacing w:after="60" w:before="60"/>
      </w:pPr>
      <w:r>
        <w:rPr>
          <w:rFonts w:ascii="Arial" w:cs="Arial" w:eastAsia="Arial" w:hAnsi="Arial"/>
          <w:color w:val="6B7280"/>
          <w:sz w:val="17"/>
          <w:szCs w:val="17"/>
        </w:rPr>
        <w:t xml:space="preserve">Block A – Rollen-Grenzfälle · Rollen / EPR · rechtsverbindlich · Bezug: #09,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Wer darf überhaupt unser Bevollmächtigter sein, und wie läuft die Benennung praktisch ab?</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Bevollmächtigte für die erweiterte Herstellerverantwortung muss in dem Mitgliedstaat niedergelassen sein, in dem der Hersteller die Verpackungen erstmals bereitstellt – für Deutschland also mit Sitz oder Niederlassung im Bundesgebiet (Art. 3 Abs. 1 Nr. 20 PPWR). Konkrete Folge: Jeder Hersteller darf nur einen Bevollmächtigten beauftragen; die Beauftragung erfolgt durch schriftliche Vollmacht in deutscher Sprache (§ 5 Abs. 4 VerpackDG). Der Bevollmächtigte ist der ZSVR unverzüglich nach der Beauftragung zu benennen; die Benennung erfolgt im Rahmen der LUCID-Registrierung und bedarf der Bestätigung durch die ZSVR (§ 5 Abs. 5 VerpackDG). Nach der Behördeninformation der ZSVR (keine Rechtsnorm) setzt die Benennung voraus, dass der Bevollmächtigte über einen eigenen Bevollmächtigten-Login in LUCID verfügt; die ZSVR veröffentlicht keine Liste registrierter Bevollmächtigter, die Auswahl eines Anbieters obliegt dem Hersteller. Die ZSVR gibt zudem an, dass nur eine unternehmensexterne Person Bevollmächtigter sein kann;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20 PPWR (VO (EU) 2025/40); § 5 Abs. 4 bis 6 VerpackDG (BGBl. 2026 I Nr. 207); ZSVR: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Aussage „nur unternehmensexterne Person" nur als ZSVR-Information belegt, keine ausdrückliche Norm-Fundstelle identifiziert – Cattwyk-Einordnung erbeten | (!) Ergänzung 10/2026 aus ZSVR-Themenseite, Normzitat für Wirksamkeit mit LUCID-Bestätigung (§ 5 Abs. 4–6 VerpackDG?)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A29  </w:t>
      </w:r>
      <w:r>
        <w:rPr>
          <w:rFonts w:ascii="Arial" w:cs="Arial" w:eastAsia="Arial" w:hAnsi="Arial"/>
          <w:b/>
          <w:bCs/>
          <w:sz w:val="22"/>
          <w:szCs w:val="22"/>
        </w:rPr>
        <w:t xml:space="preserve">Erzeuger &amp; Hersteller: Prüfschema der ZSVR?</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Nach welchem Schema prüft die ZSVR künftig, wer Erzeuger und wer Hersteller einer Verpackung ist?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ZSVR beschreibt in ihrer Behördeninformation ein zweistufiges Prüfschema, das die Definitionen der PPWR (Art. 3 Abs. 1 Nr. 13 „Erzeuger"/manufacturer für die Konformität, Nr. 15 „Hersteller"/producer für die EPR) praktisch handhabbar macht. Vorrangig gilt danach das Markenprinzip: Lässt ein Unternehmen Verpackungen oder verpackte Produkte unter eigenem Namen oder eigener Marke entwickeln oder herstellen, ist es selbst Erzeuger und zugleich Hersteller. Trägt die Verpackung nicht die Marke des Auftraggebers, werden beide Rollen getrennt bestimmt: Für die Erzeugereigenschaft kommt es auf die Verpackungsart und den Zeitpunkt der Vollständigkeit an – bei Transport-, Service- und Primärproduktionsverpackungen können die Pflichten schon für die leere Verpackung entstehen, bei Verkaufs- und Umverpackungen in der Regel erst mit Befüllung; EU-weit gibt es nach ZSVR-Lesart je Verpackung genau einen Erzeuger. Für die Herstellereigenschaft gilt der Inlandsvorrang: Maßgeblich ist das erste Unternehmen der Lieferkette in dem Mitgliedstaat, in dem die Verpackung zu Abfall wird;</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15 PPWR (VO (EU) 2025/40); Art. 21 PPWR; ZSVR: „PPWR und VerpackDG – was sich für Sie ändert" und „Abgrenzung Erzeuger &amp; Hersteller" (verpackungsregister.org, Behördeninformation/Auslegung der ZSVR); EUNR-Papier „Producer Definition" (gekennzeichnete Sekundärquelle)</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ZSVR-Grundsätze (Markenvorrang, „EU-weit genau ein Erzeuger") ohne exakte Norm-Zitate auf der ZSVR-Seite – Abgleich mit EUNR-Lesart (vgl. A23) durch Cattwyk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B05  </w:t>
      </w:r>
      <w:r>
        <w:rPr>
          <w:rFonts w:ascii="Arial" w:cs="Arial" w:eastAsia="Arial" w:hAnsi="Arial"/>
          <w:b/>
          <w:bCs/>
          <w:sz w:val="22"/>
          <w:szCs w:val="22"/>
        </w:rPr>
        <w:t xml:space="preserve">Vollständigkeitserklärung 2026: altes oder neues Recht?</w:t>
      </w:r>
    </w:p>
    <w:p>
      <w:pPr>
        <w:spacing w:after="60" w:before="60"/>
      </w:pPr>
      <w:r>
        <w:rPr>
          <w:rFonts w:ascii="Arial" w:cs="Arial" w:eastAsia="Arial" w:hAnsi="Arial"/>
          <w:color w:val="6B7280"/>
          <w:sz w:val="17"/>
          <w:szCs w:val="17"/>
        </w:rPr>
        <w:t xml:space="preserve">Block B – PPWR × VerpackDG · Rollen / EPR · rechtsverbindlich · Bezug: #33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Wie läuft das mit der Vollständigkeitserklärung für 2026 – nach altem oder neuem Recht?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neuem Recht, ohne Doppelabgabe. Für Verpackungen, die im Kalenderjahr 2026 im Bundesgebiet bereitgestellt wurden, gilt ausschließlich § 10 VerpackDG; eine zusätzliche Vollständigkeitserklärung nach § 11 VerpackG a. F. ist für 2026 nicht zu hinterlegen (§ 68 Abs. 5 Satz 3 u. 4). Für die Aufschlüsselung der 2026er-Angaben gelten übergangsweise die alten Einordnungsmaßstäbe fort (§ 68 Abs. 5 Satz 5). Alt-Hersteller nach VerpackG-Logik, die nach neuem Recht keine Hersteller mehr sind, bleiben für ihre 2026er-Alt-Mengen entsprechend melde- und VE-pflichtig (§ 68 Abs. 5 Satz 1). Folge: VE für das Berichtsjahr 2026 bis zum 15. Mai 2027 über die ZSVR-Plattform, geprüft durch registrierten Sachverständigen bzw. Prüfer (§ 10 Abs. 1); Prüfer-Slot früh sichern. Quellen: § 68 Abs. 5, § 10 Abs. 1 u. 3, § 56 VerpackDG. Grenze: (!) § 66 Abs. 1 Nr. 6/7 verweisen für die Bußgeldbewehrung auf „§ 68 Absatz 3 Satz 1“, während die VE-Übergangsregel in Abs. 5 steht – dieses Zitat ist in der Session zu klären (mögliches Redaktionsversehen; Eskalation E06).</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68 Abs. 5 VerpackDG; § 10 Abs. 1 u. 3 VerpackDG; § 66 Abs. 1 Nr. 6 u. 7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E06: Verweis § 66 Abs. 1 Nr. 6/7 auf § 68 Abs. 3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B15  </w:t>
      </w:r>
      <w:r>
        <w:rPr>
          <w:rFonts w:ascii="Arial" w:cs="Arial" w:eastAsia="Arial" w:hAnsi="Arial"/>
          <w:b/>
          <w:bCs/>
          <w:sz w:val="22"/>
          <w:szCs w:val="22"/>
        </w:rPr>
        <w:t xml:space="preserve">Ökomodulation: Neue Zuschläge rechtens?</w:t>
      </w:r>
    </w:p>
    <w:p>
      <w:pPr>
        <w:spacing w:after="60" w:before="60"/>
      </w:pPr>
      <w:r>
        <w:rPr>
          <w:rFonts w:ascii="Arial" w:cs="Arial" w:eastAsia="Arial" w:hAnsi="Arial"/>
          <w:color w:val="6B7280"/>
          <w:sz w:val="17"/>
          <w:szCs w:val="17"/>
        </w:rPr>
        <w:t xml:space="preserve">Block B – PPWR × VerpackDG · Rollen / EPR · rechtsverbindlich · Bezug: #35</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Ökomodulation: Unser dualer System-Anbieter kündigt neue Zuschläge für schlecht recycelbare Verpackungen an. Dürfen die das einfach?</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Sie müssen es sogar. Systeme sind verpflichtet, die Beteiligungsentgelte ökologisch zu gestalten – insbesondere nach Recyclingfähigkeit und Rezyklateinsatz (§ 26 VerpackDG); die Detailvorgaben kommen per Rechtsverordnung nach § 26a, bis dahin bleibt der ZSVR-Mindeststandard Recyclingfähigkeit Bemessungsmaßstab (§ 26a Abs. 2 Nr. 1 lit. a). Der EU-Rahmen dafür ist Art. 45 PPWR i. V. m. den EPR-Grundsätzen der Abfallrahmenrichtlinie. Folge: Die Entgeltdifferenzierung ist kein Kulanzthema, sondern Regulierungsfolge – für Sie wird die Recyclingfähigkeit je SKU zum direkten Kostenhebel. Konkrete Handlung: Portfolio gegen den aktuellen Mindeststandard raten lassen, Redesign-Kandidaten priorisieren, RVO-Erlass beobachten (Radar R12). Quellen: §§ 26, 26a VerpackDG; Art. 45 PPWR. Grenze: Ob eine konkrete Zuschlagshöhe zulässig kalkuliert ist, ist Vertrags-/Kartellrechtsfrage des Einzelfalls; die Fundstelle des AbfRRL-Bezugs (Art. 8/8a) ist als V16 noch zu pinnen.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26 VerpackDG; § 26a VerpackDG; Art. 45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V16: AbfRRL-Zitat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B16  </w:t>
      </w:r>
      <w:r>
        <w:rPr>
          <w:rFonts w:ascii="Arial" w:cs="Arial" w:eastAsia="Arial" w:hAnsi="Arial"/>
          <w:b/>
          <w:bCs/>
          <w:sz w:val="22"/>
          <w:szCs w:val="22"/>
        </w:rPr>
        <w:t xml:space="preserve">Nicht-systembeteiligungspflichtig: Zulassung bei der ZSVR nötig?</w:t>
      </w:r>
    </w:p>
    <w:p>
      <w:pPr>
        <w:spacing w:after="60" w:before="60"/>
      </w:pPr>
      <w:r>
        <w:rPr>
          <w:rFonts w:ascii="Arial" w:cs="Arial" w:eastAsia="Arial" w:hAnsi="Arial"/>
          <w:color w:val="6B7280"/>
          <w:sz w:val="17"/>
          <w:szCs w:val="17"/>
        </w:rPr>
        <w:t xml:space="preserve">Block B – PPWR × VerpackDG · Rollen / EPR · rechtsverbindlich · Bezug: #34,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Verpackungen sind nicht systembeteiligungspflichtig. Jetzt lese ich, dass wir künftig eine Zulassung brauchen – was kommt da auf uns zu?</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bestehenden EPR-Pflichten für Verpackungen ohne Systembeteiligungspflicht – insbesondere Rücknahme und Zuführung zur Wiederverwendung oder Verwertung nach § 39 VerpackDG – bleiben bestehen. Neu ist die Zulassungspflicht: Art. 47 PPWR verlangt für die individuelle oder kollektive Erfüllung der EPR eine behördliche Zulassung; national setzt § 19 VerpackDG das um. Hersteller von nicht systembeteiligungspflichtigen Verpackungen und von Verpackungen nach § 39 Abs. 1 Satz 1 Nr. 4 müssen sich vor dem erstmaligen Bereitstellen (bzw. dem Auspacken) durch die ZSVR zulassen lassen (§ 19 Abs. 1 VerpackDG); die Pflicht entfällt, wenn die EPR-Erfüllung vollständig auf eine oder mehrere zugelassene sonstige Organisationen für Herstellerverantwortung übertragen und dies der ZSVR elektronisch benannt wurde (§ 19 Abs. 1 Satz 3). Konkrete Folge: Übergangsweise dürfen diese Hersteller ohne Zulassung längstens bis zum 31.12.2027 Verpackungen im Bundesgebiet bereitstellen (§ 68 Abs. 9 VerpackDG); ab dem 01.01.2028 ist die Zulassung erforderlich.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47 PPWR (VO (EU) 2025/40); § 19 VerpackDG (BGBl. 2026 I Nr. 207); § 39 VerpackDG; § 51 Abs. 1 Satz 2 VerpackDG; § 68 Abs. 9 VerpackDG; ZSVR: „Zulassungsverfahren"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B17  </w:t>
      </w:r>
      <w:r>
        <w:rPr>
          <w:rFonts w:ascii="Arial" w:cs="Arial" w:eastAsia="Arial" w:hAnsi="Arial"/>
          <w:b/>
          <w:bCs/>
          <w:sz w:val="22"/>
          <w:szCs w:val="22"/>
        </w:rPr>
        <w:t xml:space="preserve">sOfH: EPR-Pflichten auf eine Organisation übertragen?</w:t>
      </w:r>
    </w:p>
    <w:p>
      <w:pPr>
        <w:spacing w:after="60" w:before="60"/>
      </w:pPr>
      <w:r>
        <w:rPr>
          <w:rFonts w:ascii="Arial" w:cs="Arial" w:eastAsia="Arial" w:hAnsi="Arial"/>
          <w:color w:val="6B7280"/>
          <w:sz w:val="17"/>
          <w:szCs w:val="17"/>
        </w:rPr>
        <w:t xml:space="preserve">Block B – PPWR × VerpackDG · Rollen / EPR · rechtsverbindlich · Bezug: #34,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Können wir die Rücknahme- und Verwertungspflichten für unsere B2B-Verpackungen komplett an einen Dienstleister abgeben?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dafür sieht das VerpackDG die „sonstige Organisation für Herstellerverantwortung" (sOfH) vor. Hersteller nicht systembeteiligungspflichtiger Verpackungen können ihre EPR-Pflichten selbst erfüllen oder ganz oder teilweise auf eine oder mehrere sOfH übertragen; die Pflichten der sOfH regelt § 41 VerpackDG. Konkrete Folge: Auch dieser Weg ist zulassungsgebunden – die sOfH benötigt eine Zulassung der ZSVR nach § 22 VerpackDG (u. a. mit insolvenzfester Sicherheit, § 22 Abs. 3). Überträgt der Hersteller die Erfüllung für die Gesamtheit seiner Verpackungen auf zugelassene sOfH und benennt diese der ZSVR elektronisch, entfällt seine eigene Zulassungspflicht nach § 19 (§ 19 Abs. 1 Satz 3 VerpackDG); bei nur teilweiser Übertragung bleibt sie für den verbleibenden Teil bestehen. Übergangsweise dürfen privatrechtlich organisierte Organisationen sOfH-Aufgaben ohne Zulassung längstens bis zum 31.10.2027 wahrnehmen (§ 68 Abs. 12 VerpackDG); ab dem 01.11.2027 ist die Zulassung erforderlich.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19 Abs. 1 Satz 3 VerpackDG (BGBl. 2026 I Nr. 207); § 22 VerpackDG; § 41 VerpackDG; § 68 Abs. 12 VerpackDG; Art. 47 PPWR (VO (EU) 2025/40); ZSVR: „Zulassungsverfahren"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C03  </w:t>
      </w:r>
      <w:r>
        <w:rPr>
          <w:rFonts w:ascii="Arial" w:cs="Arial" w:eastAsia="Arial" w:hAnsi="Arial"/>
          <w:b/>
          <w:bCs/>
          <w:sz w:val="22"/>
          <w:szCs w:val="22"/>
        </w:rPr>
        <w:t xml:space="preserve">Eine Konformitätserklärung fürs Sortiment? Sprache?</w:t>
      </w:r>
    </w:p>
    <w:p>
      <w:pPr>
        <w:spacing w:after="60" w:before="60"/>
      </w:pPr>
      <w:r>
        <w:rPr>
          <w:rFonts w:ascii="Arial" w:cs="Arial" w:eastAsia="Arial" w:hAnsi="Arial"/>
          <w:color w:val="6B7280"/>
          <w:sz w:val="17"/>
          <w:szCs w:val="17"/>
        </w:rPr>
        <w:t xml:space="preserve">Block C – Konformität, Stoffe, Mehrweg · Konformität · rechtsverbindlich · Bezug: #04, #05, #06</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Reicht EINE Konformitätserklärung für unser gesamtes Sortiment, und dürfen wir die auf Englisch schreiben?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Eine Sammel-Erklärung „für alle Verpackungen“ genügt nicht: Die EU-Konformitätserklärung ist je Verpackungstyp nach dem Muster des Anhangs VIII auszustellen, aktuell zu halten und mit der technischen Dokumentation zu verknüpfen; mit der Ausstellung übernimmt der Erzeuger die Verantwortung für die Konformität (Art. 39 PPWR). Vorgelagert ist je Typ das Konformitätsbewertungsverfahren nach Art. 38 i. V. m. Anhang VII (Modul A, interne Fertigungskontrolle). Sprache: In Deutschland muss eine unterzeichnete Version nach Wahl des Herstellers in deutscher ODER englischer Sprache vorgehalten werden; eine deutsche Übersetzung ist nur auf Behördenverlangen beizubringen (§ 62 VerpackDG). Folge: Verpackungstypen inventarisieren (Compliance-Profil), je Typ Bewertung dokumentieren, Erklärung aus dem Generator vorbefüllen, unterzeichnen, versioniert ablegen. Quellen: Art. 38, Art. 39, Anhang VII u. VIII PPWR; § 62 VerpackDG. Grenze: Die Absatz-Fundstellen zu Aufbewahrungsfristen und behördlicher Vorlagefrist (Art.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38 PPWR; Art. 39 i. V. m. Anhang VIII PPWR; § 62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 Absatz-Pins Art. 15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C05  </w:t>
      </w:r>
      <w:r>
        <w:rPr>
          <w:rFonts w:ascii="Arial" w:cs="Arial" w:eastAsia="Arial" w:hAnsi="Arial"/>
          <w:b/>
          <w:bCs/>
          <w:sz w:val="22"/>
          <w:szCs w:val="22"/>
        </w:rPr>
        <w:t xml:space="preserve">Rezyklat vs. Schwermetall-Grenzwert bei Mehrweg</w:t>
      </w:r>
    </w:p>
    <w:p>
      <w:pPr>
        <w:spacing w:after="60" w:before="60"/>
      </w:pPr>
      <w:r>
        <w:rPr>
          <w:rFonts w:ascii="Arial" w:cs="Arial" w:eastAsia="Arial" w:hAnsi="Arial"/>
          <w:color w:val="6B7280"/>
          <w:sz w:val="17"/>
          <w:szCs w:val="17"/>
        </w:rPr>
        <w:t xml:space="preserve">Block C – Konformität, Stoffe, Mehrweg · Stoffrecht · rechtsverbindlich · Bezug: #01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Mehrweg-Kunststoffkästen reißen wegen des Rezyklateinsatzes den Schwermetall-Grenzwert. Ist das jetzt ein Vertriebsverbot?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Summengrenzwert für Blei, Cadmium, Quecksilber und Chrom VI von 100 mg/kg gilt seit 12.08.2026 als PPWR-Pflicht fort (Art. 5 Abs. 4). Deutschland hat aber von einer nationalen Ausnahme Gebrauch gemacht: Für Kunststoffkästen und -paletten gilt die Bereitstellungsbeschränkung im Bundesgebiet NICHT, wenn die Überschreitung allein auf Sekundärrohstoff-Einsatz beruht, die Kästen/Paletten in geschlossenen und kontrollierten Produktkreisläufen zirkulieren, ein Bestandserfassungs- und Kontrollsystem nach § 15 eingerichtet ist und die Herstellung im kontrollierten Verwertungsverfahren erfolgt (§ 14 VerpackDG; für Glas: §§ 17/18 mit 250 mg/kg-Deckel). Dazu gehören Konformitätserklärung und Jahresbericht nach § 16. Folge: Prüfen, ob Ihr Kreislauf die § 14-Kriterien dokumentiert erfüllt – dann kein Vertriebsverbot in Deutschland; für andere EU-Märkte gilt die Ausnahme NICHT. Quellen: Art. 5 Abs. 4 PPWR; §§ 14–16 VerpackDG. Grenze: (!) Die Fortgeltungs-Mechanik (Streichung der §§ 14–18 bei Erlass der delegierten Rechtsakte, Mantelgesetz Art.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5 Abs. 4 PPWR; §§ 14–16 VerpackDG; §§ 17–18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V2: Fortgeltungs-Mechanik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C07  </w:t>
      </w:r>
      <w:r>
        <w:rPr>
          <w:rFonts w:ascii="Arial" w:cs="Arial" w:eastAsia="Arial" w:hAnsi="Arial"/>
          <w:b/>
          <w:bCs/>
          <w:sz w:val="22"/>
          <w:szCs w:val="22"/>
        </w:rPr>
        <w:t xml:space="preserve">Mehrweg-Paletten: Systembeitritt nötig?</w:t>
      </w:r>
    </w:p>
    <w:p>
      <w:pPr>
        <w:spacing w:after="60" w:before="60"/>
      </w:pPr>
      <w:r>
        <w:rPr>
          <w:rFonts w:ascii="Arial" w:cs="Arial" w:eastAsia="Arial" w:hAnsi="Arial"/>
          <w:color w:val="6B7280"/>
          <w:sz w:val="17"/>
          <w:szCs w:val="17"/>
        </w:rPr>
        <w:t xml:space="preserve">Block C – Konformität, Stoffe, Mehrweg · Mehrweg · unverbindliche Auslegung · Bezug: #30, #03,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Müssen wir als Nutzer von Mehrweg-Paletten irgendeinem „System“ beitreten, oder reicht der Poolvertrag mit unserem Dienstleister?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PPWR verlangt, dass Wirtschaftsakteure, die wiederverwendbare Verpackungen verwenden, einem Wiederverwendungssystem angehören, das die Anforderungen des Anhangs VI erfüllt (Art. 27 PPWR); Anhang VI unterscheidet offene und geschlossene Kreislaufsysteme mit Anforderungen an Governance, Rücknahme und Rekonditionierung. Ein professioneller Poolvertrag (z. B. Paletten-Pooling) IST typischerweise die Teilnahme an einem solchen System – entscheidend ist, dass der Systembetreiber die Anhang-VI-Anforderungen abdeckt und Sie das belegen können. Folge: Systemzugehörigkeit je Mehrweg-SKU dokumentieren (Vertrag + Systembeschreibung des Betreibers); das zahlt zugleich auf die Mehrweg-Einstufung (C06) und die deutsche § 11-Nr. 1-Ausnahme ein. Quellen: Art. 27 i. V. m. Anhang VI PPWR; § 11 Nr. 1 VerpackDG. Grenze: (!) Die genauen Absatz-Pins zu Art. 27/28 sind offen (V14 Anforderungspaket); die Subsumtion „Poolvertrag = Systemteilnahme“ ist Auslegung und in der Session zu bestätigen.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27 i. V. m. Anhang VI PPWR; § 11 Nr. 1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V14: Absatz-Pins Art. 27/28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C09  </w:t>
      </w:r>
      <w:r>
        <w:rPr>
          <w:rFonts w:ascii="Arial" w:cs="Arial" w:eastAsia="Arial" w:hAnsi="Arial"/>
          <w:b/>
          <w:bCs/>
          <w:sz w:val="22"/>
          <w:szCs w:val="22"/>
        </w:rPr>
        <w:t xml:space="preserve">Adresspflicht auf der Verpackung? QR-Label?</w:t>
      </w:r>
    </w:p>
    <w:p>
      <w:pPr>
        <w:spacing w:after="60" w:before="60"/>
      </w:pPr>
      <w:r>
        <w:rPr>
          <w:rFonts w:ascii="Arial" w:cs="Arial" w:eastAsia="Arial" w:hAnsi="Arial"/>
          <w:color w:val="6B7280"/>
          <w:sz w:val="17"/>
          <w:szCs w:val="17"/>
        </w:rPr>
        <w:t xml:space="preserve">Block C – Konformität, Stoffe, Mehrweg · Konformität · rechtsverbindlich · Bezug: #07, #19</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Muss auf jeder Verpackung jetzt unsere Adresse stehen? Und ist das dasselbe wie dieses neue EU-Sortierlabel?</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Zwei verschiedene Regime. JETZT gilt die Identifikations- und Kontaktkennzeichnung: Auf ab dem 12.08.2026 in Verkehr gebrachten Verpackungen muss (a) eine Typen-, Chargen- oder Seriennummer oder ein anderes Identifikationselement und (b) Name oder eingetragene Marke, Postanschrift und eine digitale Kontaktmöglichkeit des Erzeugers angegeben sein – auf der Verpackung oder über einen Datenträger (z. B. QR-Code) abrufbar (Art. 15 Abs. 5 u. 6 PPWR); Importeure ergänzen ihre eigenen Angaben (Art. 18 Abs. 3). NOCH NICHT gilt das harmonisierte EU-Sortierlabel (Art. 12): Es kommt erst ab 12.08.2028 bzw. 24 Monate nach dem Durchführungsrechtsakt; bis dahin bleibt die deutsche Materialkennzeichnung nach § 4 VerpackDG freiwillig, aber exklusiv (nur die Nummern/Abkürzungen der Anlage 2). Folge: Druckdaten aller SKUs auf die Art.-15-Angaben prüfen; keine Investitionen in nationale Sortierhinweise mehr. Quellen: Art. 15 Abs. 5 u. 6, Art. 18 Abs. 3, Art. 12 PPWR; § 4 VerpackDG. Grenze: Detail-Pins zu Art. 15 (Mehrfachverpackungen, Verdeckungsverbot) sind V1-Positionen der Session.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15 Abs. 5 u. 6 PPWR; Art. 18 Abs. 3 PPWR; Art. 12 PPWR; § 4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 Detail-Pins Art.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C10  </w:t>
      </w:r>
      <w:r>
        <w:rPr>
          <w:rFonts w:ascii="Arial" w:cs="Arial" w:eastAsia="Arial" w:hAnsi="Arial"/>
          <w:b/>
          <w:bCs/>
          <w:sz w:val="22"/>
          <w:szCs w:val="22"/>
        </w:rPr>
        <w:t xml:space="preserve">PET-Rezyklatquote: deutsch oder europäisch?</w:t>
      </w:r>
    </w:p>
    <w:p>
      <w:pPr>
        <w:spacing w:after="60" w:before="60"/>
      </w:pPr>
      <w:r>
        <w:rPr>
          <w:rFonts w:ascii="Arial" w:cs="Arial" w:eastAsia="Arial" w:hAnsi="Arial"/>
          <w:color w:val="6B7280"/>
          <w:sz w:val="17"/>
          <w:szCs w:val="17"/>
        </w:rPr>
        <w:t xml:space="preserve">Block C – Konformität, Stoffe, Mehrweg · Stoffrecht · rechtsverbindlich · Bezug: #15,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Für unsere PET-Einwegflaschen: Welche Rezyklatquote gilt denn nun – die deutsche oder die aus der EU-Verordnung?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Aktuell allein die deutsche. § 45 VerpackDG führt die nationale Quote fort: Einweggetränkeflaschen, die hauptsächlich aus PET bestehen, dürfen nur bereitgestellt werden, wenn sie zu mindestens 25 Masseprozent aus Kunststoffrezyklaten bestehen – wahlweise je Flasche oder im Jahresmittel des Herstellers mit nachprüfbarer Dokumentation gegenüber der Landesbehörde (§ 45 Abs. 1 u. 3). Ab dem 01.01.2030 gilt national 30 % für ALLE Einweggetränkeflaschen aus Kunststoff (§ 45 Abs. 2). Die EU-Rezyklatquoten des Art. 7 PPWR (je Kategorie, inkl. kontaktempfindlicher Verpackungen) greifen ebenfalls erst ab 2030 – dann laufen beide Regime parallel. Folge: Rezyklatanteil je Flaschen-SKU erfassen; bei Jahresmittel-Option den Dokumentationsprozess jetzt aufsetzen; Beschaffungsstrategie Richtung 2030 planen (Radar R4: Methodik-Rechtsakt). Quellen: § 45 Abs. 1–3 VerpackDG; Art. 7 PPWR. Grenze: (!) Das Konkurrenzverhältnis § 45 ↔ Art. 7 ab 2030 (strengster Wert? Anrechnung?) ist offene Session-Frage (V5);</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45 Abs. 1–3 VerpackDG; Art. 7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V4/V5: EU-Werte pinnen; Konkurrenz 2030 klären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C11  </w:t>
      </w:r>
      <w:r>
        <w:rPr>
          <w:rFonts w:ascii="Arial" w:cs="Arial" w:eastAsia="Arial" w:hAnsi="Arial"/>
          <w:b/>
          <w:bCs/>
          <w:sz w:val="22"/>
          <w:szCs w:val="22"/>
        </w:rPr>
        <w:t xml:space="preserve">Palettenfolie &amp; Umreifungsbänder: Von der 100 %-Mehrwegpflicht befreit?</w:t>
      </w:r>
    </w:p>
    <w:p>
      <w:pPr>
        <w:spacing w:after="60" w:before="60"/>
      </w:pPr>
      <w:r>
        <w:rPr>
          <w:rFonts w:ascii="Arial" w:cs="Arial" w:eastAsia="Arial" w:hAnsi="Arial"/>
          <w:color w:val="6B7280"/>
          <w:sz w:val="17"/>
          <w:szCs w:val="17"/>
        </w:rPr>
        <w:t xml:space="preserve">Block C – Konformität, Stoffe, Mehrweg · Mehrweg · rechtsverbindlich · Bezug: #27, #03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Müssen wir ab 2030 wirklich auf wiederverwendbare Stretchfolie und Mehrweg-Umreifungsbänder umstellen, wenn wir Paletten für den Versand sichern?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die 100 %-Pflichten gibt es eine Ausnahme. Art. 29 Abs. 2 und 3 PPWR verlangen ab dem 01.01.2030, dass die dort erfassten Transport- und Versand-Verkaufsverpackungen bei Transporten zwischen eigenen Standorten bzw. zu verbundenen oder Partnerunternehmen sowie bei Lieferungen an andere Wirtschaftsakteure im selben Mitgliedstaat stets wiederverwendbar innerhalb eines Wiederverwendungssystems sind – Palettenumhüllungen und Umreifungsbänder sind in der Formatliste des Art. 29 Abs. 1 ausdrücklich genannt. Mit dem Delegierten Beschluss C(2026) 511 final vom 25.02.2026 (gestützt auf Art. 29 Abs. 18 lit. a PPWR) nimmt die Kommission Wirtschaftsakteure, die Palettenumhüllungen oder Umreifungsbänder zur Stabilisierung und zum Schutz von auf Paletten transportierten Produkten verwenden, von den 100 %-Wiederverwendungspflichten des Art. 29 Abs. 2 und 3 aus (Art. 1 des Beschlusses). Konkrete Folge: Für diese beiden Formate entfällt in den genannten Konstellationen die Pflicht zur ausschließlichen Mehrwegnutzung ab 2030.</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29 Abs. 1, 2, 3 und 18 lit. a PPWR (VO (EU) 2025/40); Delegierter Beschluss der Kommission C(2026) 511 final vom 25.02.2026, Art. 1 und 2 sowie ErwGr. 1–5 (rechtsverbindlicher EU-Rechtsakt nach Inkrafttreten)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1. Reichweite ggü. Art. 29 Abs. 1: Art. 1 des Beschlusses nimmt nur von Abs. 2 und 3 aus, ErwGr. 2 erstreckt die Wirkung auf die Quoten des Abs. 1 – Cattwyk-Klärung; 2. ABl.-Veröffentlichung/Inkrafttreten noch nicht verifiziert (nur C-final-Fassung ausgewertet)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C12  </w:t>
      </w:r>
      <w:r>
        <w:rPr>
          <w:rFonts w:ascii="Arial" w:cs="Arial" w:eastAsia="Arial" w:hAnsi="Arial"/>
          <w:b/>
          <w:bCs/>
          <w:sz w:val="22"/>
          <w:szCs w:val="22"/>
        </w:rPr>
        <w:t xml:space="preserve">PET-Flaschen: Neue EU-Regeln zur Rezyklat-Berechnung?</w:t>
      </w:r>
    </w:p>
    <w:p>
      <w:pPr>
        <w:spacing w:after="60" w:before="60"/>
      </w:pPr>
      <w:r>
        <w:rPr>
          <w:rFonts w:ascii="Arial" w:cs="Arial" w:eastAsia="Arial" w:hAnsi="Arial"/>
          <w:color w:val="6B7280"/>
          <w:sz w:val="17"/>
          <w:szCs w:val="17"/>
        </w:rPr>
        <w:t xml:space="preserve">Block C – Konformität, Stoffe, Mehrweg · Stoffrecht · rechtsverbindlich · Bezug: #15,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Wie wird der Rezyklatanteil unserer PET-Einwegflaschen künftig berechnet und nachgewiesen – zählt jetzt auch chemisch recycelter Kunststoff?</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EU-Kommission hat mit dem Durchführungsbeschluss (EU) 2026/1425 vom 30.06.2026 (ABl. L, 2026/1425, 03.07.2026) neue Vorschriften für die Berechnung, die Überprüfung und die Übermittlung von Daten über den Gehalt an recyceltem Kunststoff in Einweggetränkeflaschen aus Kunststoff erlassen; der bisherige Durchführungsbeschluss (EU) 2023/2683 wird aufgehoben. Rechtsgrundlage ist die Einwegkunststoff-Richtlinie (EU) 2019/904 (SUPD), nicht die PPWR. Der Beschluss ist am 23.07.2026 in Kraft getreten. Nach der Pressemitteilung der Kommission (IP/26/1467) wird damit erstmals eine Methodik festgelegt, mit der auch chemisch recycelter Anteil berechnet, überprüft und gemeldet werden kann; die Regeln sollen technologieoffen für mechanisches wie chemisches Recycling gelten (!). Konkrete Folge: Für den Nachweis der Rezyklatanteile von PET-Einwegflaschen sind künftig die Berechnungs-, Prüf- und Meldevorgaben dieses Beschlusses maßgeblich – das betrifft die Dokumentation gegenüber Behörden und in der Lieferkette.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Durchführungsbeschluss (EU) 2026/1425 der Kommission vom 30.06.2026 (ABl. L, 2026/1425, 03.07.2026; ELI: data.europa.eu/eli/dec_impl/2026/1425/oj), in Kraft seit 23.07.2026; Richtlinie (EU) 2019/904 (SUPD); § 45 VerpackDG (BGBl. 2026 I Nr. 207); Art. 7 PPWR (VO (EU) 2025/40); Pressemitteilung der EU-Kommission IP/26/1467 vom 30.06.2026 (Sekundärdarstellung des Beschlussinhalts)</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Detailaussagen zur Methodik (Einbeziehung chemisches Recycling, Drittstaaten-Anrechnung) beruhen auf Kommissions-PM und Sekundärberichten – ABl.-Volltext des DB (EU) 2026/1425 vor Freigabe im Wortlaut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1"/>
        <w:pageBreakBefore/>
        <w:spacing w:after="160" w:before="0"/>
      </w:pPr>
      <w:r>
        <w:rPr>
          <w:rFonts w:ascii="Arial" w:cs="Arial" w:eastAsia="Arial" w:hAnsi="Arial"/>
          <w:b/>
          <w:bCs/>
          <w:color w:val="004494"/>
          <w:sz w:val="32"/>
          <w:szCs w:val="32"/>
        </w:rPr>
        <w:t xml:space="preserve">Teil C – Fundstellen-Bestätigungen</w:t>
      </w:r>
    </w:p>
    <w:p>
      <w:pPr>
        <w:spacing w:after="160" w:before="60"/>
      </w:pPr>
      <w:r>
        <w:rPr>
          <w:rFonts w:ascii="Arial" w:cs="Arial" w:eastAsia="Arial" w:hAnsi="Arial"/>
          <w:sz w:val="20"/>
          <w:szCs w:val="20"/>
        </w:rPr>
        <w:t xml:space="preserve">68 Stellen, an denen wir eine Fundstelle oder einen Absatz als unsicher (!) markiert haben. Es geht nur um die Markierung, nicht um den gesamten Datensatz. Bestätigen Sie, oder tragen Sie die richtige Fundstelle ein.</w:t>
      </w:r>
    </w:p>
    <w:p>
      <w:pPr>
        <w:pStyle w:val="Heading2"/>
        <w:keepNext/>
        <w:spacing w:after="120" w:before="280"/>
      </w:pPr>
      <w:r>
        <w:rPr>
          <w:rFonts w:ascii="Arial" w:cs="Arial" w:eastAsia="Arial" w:hAnsi="Arial"/>
          <w:b/>
          <w:bCs/>
          <w:color w:val="111111"/>
          <w:sz w:val="26"/>
          <w:szCs w:val="26"/>
        </w:rPr>
        <w:t xml:space="preserve">C.1 Anforderungen (24 Datensätze)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#01</w:t>
            </w:r>
          </w:p>
          <w:p>
            <w:pPr>
              <w:spacing w:after="0" w:before="0"/>
            </w:pPr>
            <w:r>
              <w:rPr>
                <w:rFonts w:ascii="Arial" w:cs="Arial" w:eastAsia="Arial" w:hAnsi="Arial"/>
                <w:color w:val="6B7280"/>
                <w:sz w:val="16"/>
                <w:szCs w:val="16"/>
              </w:rPr>
              <w:t xml:space="preserve">Summengrenzwert Schwermetalle (100 mg/kg)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V2: Die Fortgeltungs-Mechanik der §§ 14–18 (vorprogrammierte Streichung bei Erlass der Design-for-Recycling-Rechtsakte, Mantelgesetz Art. 4) ist anwaltlich noch zu bestätigen.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#01</w:t>
            </w:r>
          </w:p>
          <w:p>
            <w:pPr>
              <w:spacing w:after="0" w:before="0"/>
            </w:pPr>
            <w:r>
              <w:rPr>
                <w:rFonts w:ascii="Arial" w:cs="Arial" w:eastAsia="Arial" w:hAnsi="Arial"/>
                <w:color w:val="6B7280"/>
                <w:sz w:val="16"/>
                <w:szCs w:val="16"/>
              </w:rPr>
              <w:t xml:space="preserve">Summengrenzwert Schwermetalle (100 mg/kg)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V2: Fortgeltungs-Mechanik (Streichung der §§ 14–18 bei Erlass delegierter Rechtsakte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#04</w:t>
            </w:r>
          </w:p>
          <w:p>
            <w:pPr>
              <w:spacing w:after="0" w:before="0"/>
            </w:pPr>
            <w:r>
              <w:rPr>
                <w:rFonts w:ascii="Arial" w:cs="Arial" w:eastAsia="Arial" w:hAnsi="Arial"/>
                <w:color w:val="6B7280"/>
                <w:sz w:val="16"/>
                <w:szCs w:val="16"/>
              </w:rPr>
              <w:t xml:space="preserve">Konformitätsbewertung (Pflichtverfahren je Verpackungstyp)</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Der Importeur darf Verpackungen nur in Verkehr bringen, wenn das Verfahren durchgeführt wurde (Art. 18 Abs. 1 und 2 PPWR, (!) V1: Absatz-Fundstellen final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#04</w:t>
            </w:r>
          </w:p>
          <w:p>
            <w:pPr>
              <w:spacing w:after="0" w:before="0"/>
            </w:pPr>
            <w:r>
              <w:rPr>
                <w:rFonts w:ascii="Arial" w:cs="Arial" w:eastAsia="Arial" w:hAnsi="Arial"/>
                <w:color w:val="6B7280"/>
                <w:sz w:val="16"/>
                <w:szCs w:val="16"/>
              </w:rPr>
              <w:t xml:space="preserve">Konformitätsbewertung (Pflichtverfahren je Verpackungstyp)</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Durchführung (Delegation an Labor/Dienstleister zulässig, Verantwortung bleibt – Art. 15 Abs. 2; Leitfaden Abschn. 2) · importeur: darf nur in Verkehr bringen, wenn Verfahren durchgeführt wurde (Art. 18 Abs. 1/2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#05</w:t>
            </w:r>
          </w:p>
          <w:p>
            <w:pPr>
              <w:spacing w:after="0" w:before="0"/>
            </w:pPr>
            <w:r>
              <w:rPr>
                <w:rFonts w:ascii="Arial" w:cs="Arial" w:eastAsia="Arial" w:hAnsi="Arial"/>
                <w:color w:val="6B7280"/>
                <w:sz w:val="16"/>
                <w:szCs w:val="16"/>
              </w:rPr>
              <w:t xml:space="preserve">Technische Dokumentation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 Die exakten Absatz-Fundstellen in Art. 15 PPWR für Aufbewahrungsfristen, Importeurs-Bereithaltung und die Vorlagepflicht binnen zehn Tagen (Art. 15 Abs. 10) sind noch final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#05</w:t>
            </w:r>
          </w:p>
          <w:p>
            <w:pPr>
              <w:spacing w:after="0" w:before="0"/>
            </w:pPr>
            <w:r>
              <w:rPr>
                <w:rFonts w:ascii="Arial" w:cs="Arial" w:eastAsia="Arial" w:hAnsi="Arial"/>
                <w:color w:val="6B7280"/>
                <w:sz w:val="16"/>
                <w:szCs w:val="16"/>
              </w:rPr>
              <w:t xml:space="preserve">Technische Dokumentation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Erstellung + Aufbewahrung 5 Jahre (Einweg) / 10 Jahre (Mehrweg) ab Inverkehrbringen (!) V1 Absatz-Fundstelle Art. 15 · importeur: Bereithaltung/Kopie (!) V1 · lieferant: Informations-/Unterlagenpflicht an den Erzeuger (Art. 16 Abs.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#06</w:t>
            </w:r>
          </w:p>
          <w:p>
            <w:pPr>
              <w:spacing w:after="0" w:before="0"/>
            </w:pPr>
            <w:r>
              <w:rPr>
                <w:rFonts w:ascii="Arial" w:cs="Arial" w:eastAsia="Arial" w:hAnsi="Arial"/>
                <w:color w:val="6B7280"/>
                <w:sz w:val="16"/>
                <w:szCs w:val="16"/>
              </w:rPr>
              <w:t xml:space="preserve">EU-Konformitätserklärung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Behörden kontrollieren risikobasiert (Art. 39 Abs. 5 PPWR, (!) V1: Absatz-Pin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#07</w:t>
            </w:r>
          </w:p>
          <w:p>
            <w:pPr>
              <w:spacing w:after="0" w:before="0"/>
            </w:pPr>
            <w:r>
              <w:rPr>
                <w:rFonts w:ascii="Arial" w:cs="Arial" w:eastAsia="Arial" w:hAnsi="Arial"/>
                <w:color w:val="6B7280"/>
                <w:sz w:val="16"/>
                <w:szCs w:val="16"/>
              </w:rPr>
              <w:t xml:space="preserve">Identifikations- und Kontaktkennzeichnung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Abgrenzung: Das harmonisierte Sortierlabel ist ein anderes Regime (Art. 12 PPWR, gilt erst später, siehe Anforderung 19), ebenso die freiwillige Materialkennzeichnung nach § 4 VerpackDG. Der Verstoß ist formal und leicht feststellbar, es drohen Korrektur- und Rückrufpflichten (Art. 15 Abs. 8 PPWR, (!) V1: 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#07</w:t>
            </w:r>
          </w:p>
          <w:p>
            <w:pPr>
              <w:spacing w:after="0" w:before="0"/>
            </w:pPr>
            <w:r>
              <w:rPr>
                <w:rFonts w:ascii="Arial" w:cs="Arial" w:eastAsia="Arial" w:hAnsi="Arial"/>
                <w:color w:val="6B7280"/>
                <w:sz w:val="16"/>
                <w:szCs w:val="16"/>
              </w:rPr>
              <w:t xml:space="preserve">Identifikations- und Kontaktkennzeichnung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Anbringung (einmal je Verpackungseinheit ausreichend, Art. 3 Abs. 1 Nr. 45 (!) V1-leicht) · importeur: eigene Angaben zusätzlich (Art. 18 Abs. 3), ohne Erzeugerangaben zu verdecken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#11</w:t>
            </w:r>
          </w:p>
          <w:p>
            <w:pPr>
              <w:spacing w:after="0" w:before="0"/>
            </w:pPr>
            <w:r>
              <w:rPr>
                <w:rFonts w:ascii="Arial" w:cs="Arial" w:eastAsia="Arial" w:hAnsi="Arial"/>
                <w:color w:val="6B7280"/>
                <w:sz w:val="16"/>
                <w:szCs w:val="16"/>
              </w:rPr>
              <w:t xml:space="preserve">Recyclingfähigkeit: Grundpflicht Art. 6 Abs. 1 (Übergangsverständnis)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V3: Die vollständige Ausnahmenliste ist noch gegen den Volltext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#11</w:t>
            </w:r>
          </w:p>
          <w:p>
            <w:pPr>
              <w:spacing w:after="0" w:before="0"/>
            </w:pPr>
            <w:r>
              <w:rPr>
                <w:rFonts w:ascii="Arial" w:cs="Arial" w:eastAsia="Arial" w:hAnsi="Arial"/>
                <w:color w:val="6B7280"/>
                <w:sz w:val="16"/>
                <w:szCs w:val="16"/>
              </w:rPr>
              <w:t xml:space="preserve">Recyclingfähigkeit: Grundpflicht Art. 6 Abs. 1 (Übergangsverständnis)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Liste (!) V3 gegen Volltext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Wichtig für Deutschland: Für PET-Einwegflaschen gilt schon heute eine eigene nationale Quote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r Recyclingtechnologie je Polymer, Leitfaden Abschn. 7 – unverbindliche Auslegung der EU-Kommission), Kunststoffteile unter 5 % des Gesamtgewichts (Abs. 5 lit. b) sowie die Ausnahmenliste des Abs. 4 ((!) V4: 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Ausnahmenliste Abs. 4 (!) V4.</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je Einheit Kunststoffverpackung Mindest-Rezyklatanteile (kontaktempfindlich PET / kontaktempfindlich sonstige / Einweg-Getränkeflaschen / übrige – Prozentwerte 2030/2040 je lit. a–d, Zahlen (!) V4 gegen Volltext pinnen, nicht aus Sekundärquellen übernehmen).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#15</w:t>
            </w:r>
          </w:p>
          <w:p>
            <w:pPr>
              <w:spacing w:after="0" w:before="0"/>
            </w:pPr>
            <w:r>
              <w:rPr>
                <w:rFonts w:ascii="Arial" w:cs="Arial" w:eastAsia="Arial" w:hAnsi="Arial"/>
                <w:color w:val="6B7280"/>
                <w:sz w:val="16"/>
                <w:szCs w:val="16"/>
              </w:rPr>
              <w:t xml:space="preserve">Rezyklatanteil Einweggetränkeflaschen (DE)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F., (!) V5: Kontinuität final zu bestätigen) verlangt: (a) Einweggetränkeflaschen überwiegend aus PET müssen mindestens 25 Masse-Prozent Rezyklat enthalten – je Flasche oder im Jahresmittel des Herstellers mit prüffähiger Dokumentation gegenüber der Landesbehörde (Abs. 3)</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#15</w:t>
            </w:r>
          </w:p>
          <w:p>
            <w:pPr>
              <w:spacing w:after="0" w:before="0"/>
            </w:pPr>
            <w:r>
              <w:rPr>
                <w:rFonts w:ascii="Arial" w:cs="Arial" w:eastAsia="Arial" w:hAnsi="Arial"/>
                <w:color w:val="6B7280"/>
                <w:sz w:val="16"/>
                <w:szCs w:val="16"/>
              </w:rPr>
              <w:t xml:space="preserve">Rezyklatanteil Einweggetränkeflaschen (DE)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nationale SUPD-Umsetzung; läuft PARALLEL zu Art. 7 PPWR (#14) – 2030 gelten beide Regime nebeneinander, jeweils strengster Wert maßgeblich (!) V5 (Konkurrenzverhältnis in Session bestätigen).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(Art. 9 Abs. 1 PPWR)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Ob Sticky Labels auf Obst und Gemüse erfasst sind, ist gegen den Volltext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DE hat von Art. 9 Abs. 2 (zusätzliche Kompostierbarkeits-Gebote) keinen Gebrauch gemacht – im VerpackDG keine entsprechende Anordnung gefunden; als Negativbefund in Session bestätigen (!) V6.</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Sticky Labels auf Obst/Gemüse (!) V6 gegen Volltext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#17</w:t>
            </w:r>
          </w:p>
          <w:p>
            <w:pPr>
              <w:spacing w:after="0" w:before="0"/>
            </w:pPr>
            <w:r>
              <w:rPr>
                <w:rFonts w:ascii="Arial" w:cs="Arial" w:eastAsia="Arial" w:hAnsi="Arial"/>
                <w:color w:val="6B7280"/>
                <w:sz w:val="16"/>
                <w:szCs w:val="16"/>
              </w:rPr>
              <w:t xml:space="preserve">Verpackungsminimierung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V7: Die Kommunikationslinie zu dieser Divergenz wird noch abgestimmt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#17</w:t>
            </w:r>
          </w:p>
          <w:p>
            <w:pPr>
              <w:spacing w:after="0" w:before="0"/>
            </w:pPr>
            <w:r>
              <w:rPr>
                <w:rFonts w:ascii="Arial" w:cs="Arial" w:eastAsia="Arial" w:hAnsi="Arial"/>
                <w:color w:val="6B7280"/>
                <w:sz w:val="16"/>
                <w:szCs w:val="16"/>
              </w:rPr>
              <w:t xml:space="preserve">Verpackungsminimierung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Verbraucherakzeptanz als Kriterium – Divergenz zur PPWR ab 2030, (!) V7 Kommunikationslinie abstimmen).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#18</w:t>
            </w:r>
          </w:p>
          <w:p>
            <w:pPr>
              <w:spacing w:after="0" w:before="0"/>
            </w:pPr>
            <w:r>
              <w:rPr>
                <w:rFonts w:ascii="Arial" w:cs="Arial" w:eastAsia="Arial" w:hAnsi="Arial"/>
                <w:color w:val="6B7280"/>
                <w:sz w:val="16"/>
                <w:szCs w:val="16"/>
              </w:rPr>
              <w:t xml:space="preserve">Leerraumquote 50 %</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Polstermaterial zählt als Leerraum – (!) V8: diese Aussage beruht bislang nur auf Leitfaden- und Normbezug und ist gegen den Durchführungsrechtsakt zu prüfen, sobald er erlassen ist.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#18</w:t>
            </w:r>
          </w:p>
          <w:p>
            <w:pPr>
              <w:spacing w:after="0" w:before="0"/>
            </w:pPr>
            <w:r>
              <w:rPr>
                <w:rFonts w:ascii="Arial" w:cs="Arial" w:eastAsia="Arial" w:hAnsi="Arial"/>
                <w:color w:val="6B7280"/>
                <w:sz w:val="16"/>
                <w:szCs w:val="16"/>
              </w:rPr>
              <w:t xml:space="preserve">Leerraumquote 50 %</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Polster zählen als Leerraum (!) V8 gegen Rechtsakt prüfen, sobald erlassen.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Ab wann genau das gilt und wie bestehende freiwillige Logos zu behandeln sind, ist noch ungeklärt und wird derzeit anwaltlich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V9: Der Geltungszeitpunkt (sofort ab 12.08.2026 oder erst mit der Fristenkette des Art. 12) und das Verhältnis zu bestehenden freiwilligen Logos (etwa „Grüner Punkt“ als Marke gegenüber der EPR-Aussage) sind ungeklärt und werden in der Verifikationssession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V9: Geltungszeitpunkt (sofort vs</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Die exakten Fundstellen werden derzeit final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V10: Die Artikel- und Absatz-Pins sind noch vollständig gegen den Volltext zu setzen – bis dahin bleibt es im Produkt bei diesem generischen Hinweis.</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V10: Artikel-/Absatz-Pins vollständig gegen Volltext setzen; bis dahin nur generischer Hinweis im Produkt.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#24</w:t>
            </w:r>
          </w:p>
          <w:p>
            <w:pPr>
              <w:spacing w:after="0" w:before="0"/>
            </w:pPr>
            <w:r>
              <w:rPr>
                <w:rFonts w:ascii="Arial" w:cs="Arial" w:eastAsia="Arial" w:hAnsi="Arial"/>
                <w:color w:val="6B7280"/>
                <w:sz w:val="16"/>
                <w:szCs w:val="16"/>
              </w:rPr>
              <w:t xml:space="preserve">Verpackungsverbote ab 2030 (Anhang V)</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V11: Die vollständige Verbotsliste wird noch 1:1 aus dem Volltext übernommen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Die Wandstärken-Definition in § 3 VerpackDG und die zugehörige Bußgeld-Nummer in § 66 sind noch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Ausblick: Ab 2030 gilt EU-weit das Anhang-V-Verbot (Anforderung 24) – dann sind auch sehr leichte Tragetaschen betroffen ((!) V11: Listen-Pin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ab 2030 EU-weit über Anhang V (#24; dann auch sehr leichte Taschen betroffen (!) V11); vorprogrammierte §-Neufassung als Radar-Datensatz R10.</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Ausnahmen: Gefahrgut (RL 2008/68/EG), maßgefertigte Verpackungen für Großmaschinen (mit Dokumentationspflicht, Leitfaden Abschn. 21) und – ausdrücklich – Kartons ((!) V13: Absatz-Fundstelle wird noch gepinnt, Leitfaden Abschn. 27 lit. c bestätigt die Ausnahme)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Gefahrgut (RL 2008/68/EG), maßgefertigte Verpackung für Großmaschinen (Doku-Pflicht!, Leitfaden Abschn. 21); Kartons ausdrücklich ausgenommen (Fundstelle Absatz (!) V13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Radar-Beobachtung: R11 (Berechnungs-Durchführungsrechtsakt Art. 30 (!)).</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#29</w:t>
            </w:r>
          </w:p>
          <w:p>
            <w:pPr>
              <w:spacing w:after="0" w:before="0"/>
            </w:pPr>
            <w:r>
              <w:rPr>
                <w:rFonts w:ascii="Arial" w:cs="Arial" w:eastAsia="Arial" w:hAnsi="Arial"/>
                <w:color w:val="6B7280"/>
                <w:sz w:val="16"/>
                <w:szCs w:val="16"/>
              </w:rPr>
              <w:t xml:space="preserve">Take-away: Mehrwegangebotspflicht (DE) &amp; EU-Ziel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Die zugehörige Bußgeld-Nummer in § 66 wird noch gepinnt – der kommunale Vollzug ist etabliert, dazu kommt das Abmahnrisiko.</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#29</w:t>
            </w:r>
          </w:p>
          <w:p>
            <w:pPr>
              <w:spacing w:after="0" w:before="0"/>
            </w:pPr>
            <w:r>
              <w:rPr>
                <w:rFonts w:ascii="Arial" w:cs="Arial" w:eastAsia="Arial" w:hAnsi="Arial"/>
                <w:color w:val="6B7280"/>
                <w:sz w:val="16"/>
                <w:szCs w:val="16"/>
              </w:rPr>
              <w:t xml:space="preserve">Take-away: Mehrwegangebotspflicht (DE) &amp; EU-Ziel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V14: Der genaue Zuschnitt der Art. 32/33 wird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#30</w:t>
            </w:r>
          </w:p>
          <w:p>
            <w:pPr>
              <w:spacing w:after="0" w:before="0"/>
            </w:pPr>
            <w:r>
              <w:rPr>
                <w:rFonts w:ascii="Arial" w:cs="Arial" w:eastAsia="Arial" w:hAnsi="Arial"/>
                <w:color w:val="6B7280"/>
                <w:sz w:val="16"/>
                <w:szCs w:val="16"/>
              </w:rPr>
              <w:t xml:space="preserve">Wiederverwendungssysteme &amp; Wiederbefüllungs-Info</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Anhang VI PPWR ((!) V14: Absatz-Pins offen) müssen Wirtschaftsakteure, die Mehrwegverpackungen verwenden, einem konformen Wiederverwendungssystem nach Anhang VI angehören oder ein solches betreiben (Systemkriterien: Anhang VI Teil A/B)</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Die genauen Schwellenwerte werden derzeit final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V15: Die Schwellenwerte und der Inhalt der Übergangsregel für das Altjahr (§ 68 Abs. 3 VerpackDG) werden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Vollständigkeitserklärung bei Überschreiten der Schwellen (§ 10, Schwellenwerte (!) V15 pinnen) bis 15</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#34</w:t>
            </w:r>
          </w:p>
          <w:p>
            <w:pPr>
              <w:spacing w:after="0" w:before="0"/>
            </w:pPr>
            <w:r>
              <w:rPr>
                <w:rFonts w:ascii="Arial" w:cs="Arial" w:eastAsia="Arial" w:hAnsi="Arial"/>
                <w:color w:val="6B7280"/>
                <w:sz w:val="16"/>
                <w:szCs w:val="16"/>
              </w:rPr>
              <w:t xml:space="preserve">Rücknahme &amp; Verwertung nicht systembeteiligungspflichtiger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V15: Die zugehörige Bußgeld-Nummer in § 66 Abs. 1 wird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#35</w:t>
            </w:r>
          </w:p>
          <w:p>
            <w:pPr>
              <w:spacing w:after="0" w:before="0"/>
            </w:pPr>
            <w:r>
              <w:rPr>
                <w:rFonts w:ascii="Arial" w:cs="Arial" w:eastAsia="Arial" w:hAnsi="Arial"/>
                <w:color w:val="6B7280"/>
                <w:sz w:val="16"/>
                <w:szCs w:val="16"/>
              </w:rPr>
              <w:t xml:space="preserve">Ökomodulation der Beteiligungsentgelte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8/8a der Abfallrahmenrichtlinie ((!) V16: Zitierweise wird noch sauber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#36</w:t>
            </w:r>
          </w:p>
          <w:p>
            <w:pPr>
              <w:spacing w:after="0" w:before="0"/>
            </w:pPr>
            <w:r>
              <w:rPr>
                <w:rFonts w:ascii="Arial" w:cs="Arial" w:eastAsia="Arial" w:hAnsi="Arial"/>
                <w:color w:val="6B7280"/>
                <w:sz w:val="16"/>
                <w:szCs w:val="16"/>
              </w:rPr>
              <w:t xml:space="preserve">Pfandpflicht Einweggetränke &amp; EINWEG/MEHRWEG-Hinweise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 46, 47 VerpackDG)</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#36</w:t>
            </w:r>
          </w:p>
          <w:p>
            <w:pPr>
              <w:spacing w:after="0" w:before="0"/>
            </w:pPr>
            <w:r>
              <w:rPr>
                <w:rFonts w:ascii="Arial" w:cs="Arial" w:eastAsia="Arial" w:hAnsi="Arial"/>
                <w:color w:val="6B7280"/>
                <w:sz w:val="16"/>
                <w:szCs w:val="16"/>
              </w:rPr>
              <w:t xml:space="preserve">Pfandpflicht Einweggetränke &amp; EINWEG/MEHRWEG-Hinweise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V17: Der Ausnahmenkatalog des § 46 Abs. 4 (unter anderem Milch-Sonderfall, diätetische Getränke) wird noch vollständig übernommen. § 47 VerpackDG verlangt POS-Hinweise EINWEG/MEHRWEG in der Größe der Preisauszeichnung – auch im Fernabsatz, dem häufigsten Abmahnfall.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#37</w:t>
            </w:r>
          </w:p>
          <w:p>
            <w:pPr>
              <w:spacing w:after="0" w:before="0"/>
            </w:pPr>
            <w:r>
              <w:rPr>
                <w:rFonts w:ascii="Arial" w:cs="Arial" w:eastAsia="Arial" w:hAnsi="Arial"/>
                <w:color w:val="6B7280"/>
                <w:sz w:val="16"/>
                <w:szCs w:val="16"/>
              </w:rPr>
              <w:t xml:space="preserve">Importeurspflichten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18 PPWR bündelt die Importeurspflichten: Prüfung, dass der Erzeuger Konformitätsbewertung, technische Dokumentation und Kennzeichnung nach Art. 15 Abs. 5/6 erledigt hat, Anbringung der eigenen Kontaktangaben (Abs. 3), Melde- und Korrekturpflichten bei Nichtkonformität sowie die Vorgabe, dass Lager- und Transportbedingungen die Konformität nicht gefährden dürfen ((!) V1: Absatz-Pins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#37</w:t>
            </w:r>
          </w:p>
          <w:p>
            <w:pPr>
              <w:spacing w:after="0" w:before="0"/>
            </w:pPr>
            <w:r>
              <w:rPr>
                <w:rFonts w:ascii="Arial" w:cs="Arial" w:eastAsia="Arial" w:hAnsi="Arial"/>
                <w:color w:val="6B7280"/>
                <w:sz w:val="16"/>
                <w:szCs w:val="16"/>
              </w:rPr>
              <w:t xml:space="preserve">Importeurspflichten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Lager-/Transportbedingungen dürfen Konformität nicht gefährden (Absatz-Pins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#39</w:t>
            </w:r>
          </w:p>
          <w:p>
            <w:pPr>
              <w:spacing w:after="0" w:before="0"/>
            </w:pPr>
            <w:r>
              <w:rPr>
                <w:rFonts w:ascii="Arial" w:cs="Arial" w:eastAsia="Arial" w:hAnsi="Arial"/>
                <w:color w:val="6B7280"/>
                <w:sz w:val="16"/>
                <w:szCs w:val="16"/>
              </w:rPr>
              <w:t xml:space="preserve">Fulfillment-Dienstleister</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3 UAbs. 3 PPWR (Definition über Art. 3 Nr. 11 der Verordnung (EU) 2019/1020 – (!) U5: der Wortlaut-Pin ist im Rollen-Engine-Paket noch offen) erlaubt Fulfillment-Dienstleistern die Tätigkeit nur für ordnungsgemäß registrierte Hersteller. § 13 Abs. 4 VerpackDG flankiert mit Tätigkeitsverboten für nicht registrierte Hersteller-Kunden und dem ZSVR-Datenabgleich.</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2"/>
        <w:keepNext/>
        <w:spacing w:after="120" w:before="280"/>
      </w:pPr>
      <w:r>
        <w:rPr>
          <w:rFonts w:ascii="Arial" w:cs="Arial" w:eastAsia="Arial" w:hAnsi="Arial"/>
          <w:b/>
          <w:bCs/>
          <w:color w:val="111111"/>
          <w:sz w:val="26"/>
          <w:szCs w:val="26"/>
        </w:rPr>
        <w:t xml:space="preserve">C.2 Dokumentvorlagen des Generators (4)</w:t>
      </w:r>
    </w:p>
    <w:p>
      <w:pPr>
        <w:spacing w:after="60" w:before="60"/>
      </w:pPr>
      <w:r>
        <w:rPr>
          <w:rFonts w:ascii="Arial" w:cs="Arial" w:eastAsia="Arial" w:hAnsi="Arial"/>
          <w:sz w:val="19"/>
          <w:szCs w:val="19"/>
        </w:rPr>
        <w:t xml:space="preserve">Die vier Vorlagen folgen wörtlich Anhang VII und VIII PPWR bzw. den freigegebenen Anforderungen. Markiert sind nur die Stellen, an denen Formulierung oder Fundstelle zu bestätigen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Adressat: Die Erklärung wird für die Behörden bereitgehalten (Aufbewahrung mit der technischen Dokumentation, Vorlage auf Verlangen – Anhang VII Nr. 4; Art. 15 Abs. 10 PPWR: Vorlage binnen 10 Tagen nach behördlicher Anforderung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T2: § 62 spricht vom „Hersteller" – gemeint ist nach Systematik der aussteller-verantwortliche Erzeuger i</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T4: Standard-Formulierung für diesen Fall in Session freigeben.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ert; eine Konformitätsbewertungspflicht für die Recyclingfähigkeit besteht bis dahin nicht *(Auslegung der EU-Kommission, rechtlich nicht bindend – Leitfaden C(2026) 3702, Abschn. 6; Datensatz #11)*. (!) T3: Ob Art. 6 Abs. 1 in der Erklärung bereits gelistet wird oder bis zu den DfR-Rechtsakten entfällt, in Session entscheiden.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T1: Anhang VIII enthält im ABl. die Ziffern 1–8 (Signaturblock innerhalb Nr. 8)</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4</w:t>
            </w:r>
          </w:p>
          <w:p>
            <w:pPr>
              <w:spacing w:after="0" w:before="0"/>
            </w:pPr>
            <w:r>
              <w:rPr>
                <w:rFonts w:ascii="Arial" w:cs="Arial" w:eastAsia="Arial" w:hAnsi="Arial"/>
                <w:color w:val="6B7280"/>
                <w:sz w:val="16"/>
                <w:szCs w:val="16"/>
              </w:rPr>
              <w:t xml:space="preserve">Lieferantenanfragen (Art. 16)</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16 Abs. 1 PPWR. 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4</w:t>
            </w:r>
          </w:p>
          <w:p>
            <w:pPr>
              <w:spacing w:after="0" w:before="0"/>
            </w:pPr>
            <w:r>
              <w:rPr>
                <w:rFonts w:ascii="Arial" w:cs="Arial" w:eastAsia="Arial" w:hAnsi="Arial"/>
                <w:color w:val="6B7280"/>
                <w:sz w:val="16"/>
                <w:szCs w:val="16"/>
              </w:rPr>
              <w:t xml:space="preserve">Lieferantenanfragen (Art. 16)</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Kleinstunternehmen-Konstellation (Rollen-Engine A3 (!)): Sind SIE Kleinstunternehmen (Stand 11.02.2025) und ist Ihr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Offene Rollen-Pins (A3, B1, B3–B6, C1, C4) tragen ihr (!) aus dem Rollen-Paket; bei Eskalation („unklar" in F09)</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[SYSTEM] Teile dieser Herleitung stützen sich auf den Leitfaden C(2026) 3702 – Auslegung der EU-Kommission, rechtlich nicht bindend ((!) U7: Standard-Formulierung von Cattwyk freizugeben).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Serviceverpackungen: Übertragung auf Vorvertreiber möglich (§ 7 Abs. 2 – Anwendungsbereich (!) U2, in Session).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Übergangsregeln für das Meldejahr 2026 in § 68 Abs. 5 ((!) V15: Schwellenwerte § 10 und § 66-Nummern in Session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Ablage mit dieser Dokumentation, Aufbewahrung {{#wenn verpackung.mehrweg}}10 Jahre{{/wenn}}{{#wenn nicht verpackung.mehrweg}}5 Jahre{{/wenn}} ab Inverkehrbringen (Art. 15 Abs. 3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Maßstab Alt-Recht (Leitfaden Abschn. 6, unverbindlich) (!) T3 | ☐</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Hinweis DE-Layer: § 12 Abs. 3 VerpackDG gilt bereits (Divergenz (!) V7).</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Rollen-Hinweis (Rollen-Engine A3 (!)): Ist der Auftraggeber ein Kleinstunternehmen (Stand 11.02.2025) und der Verpackungslieferant in demselben Mitgliedstaat ansässig, gilt der LIEFERANT als Erzeuger (Art. 3 Abs. 1 Nr. 13 lit. b</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2"/>
        <w:keepNext/>
        <w:spacing w:after="120" w:before="280"/>
      </w:pPr>
      <w:r>
        <w:rPr>
          <w:rFonts w:ascii="Arial" w:cs="Arial" w:eastAsia="Arial" w:hAnsi="Arial"/>
          <w:b/>
          <w:bCs/>
          <w:color w:val="111111"/>
          <w:sz w:val="26"/>
          <w:szCs w:val="26"/>
        </w:rPr>
        <w:t xml:space="preserve">C.3 Glossar: strittige Einordnungen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L03</w:t>
            </w:r>
          </w:p>
          <w:p>
            <w:pPr>
              <w:spacing w:after="0" w:before="0"/>
            </w:pPr>
            <w:r>
              <w:rPr>
                <w:rFonts w:ascii="Arial" w:cs="Arial" w:eastAsia="Arial" w:hAnsi="Arial"/>
                <w:color w:val="6B7280"/>
                <w:sz w:val="16"/>
                <w:szCs w:val="16"/>
              </w:rPr>
              <w:t xml:space="preserve">Stretchfolie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A23/U4: Herstellerrolle bei EU-Auslandsbezug ungeklärt – A23 steht auf nicht_ausspielen — Unsere Einordnung: Transportverpackung aus gedehnter PE-Folie, mit der Palettenladungen stabilisiert werden. Zählt zu den Wickelfolien, die die PPWR den Transportformaten für die Mehrwegquoten zurechnet. Wer die Folie als Befüller einsetzt und woher sie bezogen wird, entscheidet über die Rollenverteilung – der Bezug aus dem EU-Ausland ist ein offener Grenzfall.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L07</w:t>
            </w:r>
          </w:p>
          <w:p>
            <w:pPr>
              <w:spacing w:after="0" w:before="0"/>
            </w:pPr>
            <w:r>
              <w:rPr>
                <w:rFonts w:ascii="Arial" w:cs="Arial" w:eastAsia="Arial" w:hAnsi="Arial"/>
                <w:color w:val="6B7280"/>
                <w:sz w:val="16"/>
                <w:szCs w:val="16"/>
              </w:rPr>
              <w:t xml:space="preserve">Palette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A23/U4: Zurechnung bei EU-Auslandsbezug offen (wie L03) — Unsere Einordnung: Transportverpackung/Ladungsträger aus Holz oder Kunststoff, in der Praxis fast immer im Mehrweg-Umlauf über Tausch- oder Poolsysteme. Kunststoffpaletten mit hohem Rezyklatanteil sind der Anwendungsfall der deutschen Schwermetall-Ausnahme für geschlossene Kreisläufe. Rollenfragen stellen sich beim Bezug aus dem EU-Ausland.</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L08</w:t>
            </w:r>
          </w:p>
          <w:p>
            <w:pPr>
              <w:spacing w:after="0" w:before="0"/>
            </w:pPr>
            <w:r>
              <w:rPr>
                <w:rFonts w:ascii="Arial" w:cs="Arial" w:eastAsia="Arial" w:hAnsi="Arial"/>
                <w:color w:val="6B7280"/>
                <w:sz w:val="16"/>
                <w:szCs w:val="16"/>
              </w:rPr>
              <w:t xml:space="preserve">Luftpolstertasche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V8: Zählweise von Polstermaterial im Leerraum-Begriff offen — Unsere Einordnung: E-Commerce-Versandverpackung für kleine Waren – klassisch als Papier-Kunststoff-Verbund (Papierhülle mit PE-Luftpolsterfolie), zunehmend als Mono-Papier-Variante. Die feste Materialkombination ist der Knackpunkt fürs Recycling-Design. Ob integriertes Polster als Leerraum zählt, ist eine offene Detailfrage der künftigen Leerraum-Methodik.</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L10</w:t>
            </w:r>
          </w:p>
          <w:p>
            <w:pPr>
              <w:spacing w:after="0" w:before="0"/>
            </w:pPr>
            <w:r>
              <w:rPr>
                <w:rFonts w:ascii="Arial" w:cs="Arial" w:eastAsia="Arial" w:hAnsi="Arial"/>
                <w:color w:val="6B7280"/>
                <w:sz w:val="16"/>
                <w:szCs w:val="16"/>
              </w:rPr>
              <w:t xml:space="preserve">Pizzakarton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NEU: Ob (PE-)beschichtete Pizzakartons als Einwegkunststoff-Lebensmittelverpackung unter die Mehrwegangebotspflicht (#29) fallen, ist aus den Datensätzen nicht ableitbar → Eskalation Cattwyk — Unsere Einordnung: Faltschachtel aus (Well-)Pappe, die in Pizzeria oder Lieferdienst erst beim Befüllen zum Einsatz kommt – nach der Serviceverpackungs-Logik einzuordnen. Direkter, heißer und fettiger Lebensmittelkontakt: der Klassiker unter den PFAS-Prüf-Fällen bei beschichteten Faserverpackungen.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L11</w:t>
            </w:r>
          </w:p>
          <w:p>
            <w:pPr>
              <w:spacing w:after="0" w:before="0"/>
            </w:pPr>
            <w:r>
              <w:rPr>
                <w:rFonts w:ascii="Arial" w:cs="Arial" w:eastAsia="Arial" w:hAnsi="Arial"/>
                <w:color w:val="6B7280"/>
                <w:sz w:val="16"/>
                <w:szCs w:val="16"/>
              </w:rPr>
              <w:t xml:space="preserve">PET-Einweggetränkeflasche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V4/V5: EU-Quotenwerte und Konkurrenz § 45 ↔ Art. 7 ab 2030 offen (siehe C10) — Unsere Einordnung: Einweg-Getränkeverkaufsverpackung aus PET mit Verschluss (meist HDPE/PP) und Etikett. Doppelt reguliertes Objekt: Rezyklatquote national schon heute, EU-Quoten ab 2030 – und pfandpflichtig im DPG-System.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L19</w:t>
            </w:r>
          </w:p>
          <w:p>
            <w:pPr>
              <w:spacing w:after="0" w:before="0"/>
            </w:pPr>
            <w:r>
              <w:rPr>
                <w:rFonts w:ascii="Arial" w:cs="Arial" w:eastAsia="Arial" w:hAnsi="Arial"/>
                <w:color w:val="6B7280"/>
                <w:sz w:val="16"/>
                <w:szCs w:val="16"/>
              </w:rPr>
              <w:t xml:space="preserve">Kunststofftragetasche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Wandstärken-Definition (µm-Grenzen) noch gegen § 3 zu pinnen – keine Zahlen ausspielen — Unsere Einordnung: Tragetasche aus Kunststofffolie, rechtlich nach Wandstärke gestaffelt in sehr leichte, leichte und dickere Taschen. Die leichte Variante ist an deutschen Kassen Geschichte; sehr leichte Hemdchenbeutel für lose Lebensmittel sind der verbleibende Standardfall – bis die EU-Verbotsliste 2030 nachzieht.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L21</w:t>
            </w:r>
          </w:p>
          <w:p>
            <w:pPr>
              <w:spacing w:after="0" w:before="0"/>
            </w:pPr>
            <w:r>
              <w:rPr>
                <w:rFonts w:ascii="Arial" w:cs="Arial" w:eastAsia="Arial" w:hAnsi="Arial"/>
                <w:color w:val="6B7280"/>
                <w:sz w:val="16"/>
                <w:szCs w:val="16"/>
              </w:rPr>
              <w:t xml:space="preserve">Obst- und Gemüseschale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V11: Anhang-V-Listendetails (u. a. 1,5-kg-Grenze) vollständig pinnen — Unsere Einordnung: Verkaufsverpackung für Frischobst und -gemüse – als Kunststoffschale (PET/PP), Faserguss-Schale oder Karton-Tray, oft mit Folien-Umwicklung oder Deckelfolie. Einwegkunststoff-Varianten für kleine Frischemengen stehen auf der EU-Verbotsliste ab 2030.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L22</w:t>
            </w:r>
          </w:p>
          <w:p>
            <w:pPr>
              <w:spacing w:after="0" w:before="0"/>
            </w:pPr>
            <w:r>
              <w:rPr>
                <w:rFonts w:ascii="Arial" w:cs="Arial" w:eastAsia="Arial" w:hAnsi="Arial"/>
                <w:color w:val="6B7280"/>
                <w:sz w:val="16"/>
                <w:szCs w:val="16"/>
              </w:rPr>
              <w:t xml:space="preserve">Kaffeekapsel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Zuordnung fester Kapseln zur Art.-9-Formatliste offen → Cattwyk — Unsere Einordnung: Einzelportionsverpackung für Kaffee aus Aluminium oder Kunststoff, die mit dem Produkt in die Maschine wandert und danach entsorgt wird. Die PPWR behandelt Tee-/Kaffee-Einzelportionseinheiten ausdrücklich als Verpackung; ob und wie feste Kapseln unter die Kompostierbarkeits-Formate fallen, ist eine offene Detailfrage der Formatliste.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L23</w:t>
            </w:r>
          </w:p>
          <w:p>
            <w:pPr>
              <w:spacing w:after="0" w:before="0"/>
            </w:pPr>
            <w:r>
              <w:rPr>
                <w:rFonts w:ascii="Arial" w:cs="Arial" w:eastAsia="Arial" w:hAnsi="Arial"/>
                <w:color w:val="6B7280"/>
                <w:sz w:val="16"/>
                <w:szCs w:val="16"/>
              </w:rPr>
              <w:t xml:space="preserve">Teebeutel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Art.-9-Formatliste absatzgenau pinnen — Unsere Einordnung: Durchlässige Einzelportionsverpackung für Tee aus Papierfaser oder Kunststoffgewebe. Gehört zu den Formaten, für die ab Februar 2028 industrielle Kompostierbarkeit als Materialvorgabe kommt.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L32</w:t>
            </w:r>
          </w:p>
          <w:p>
            <w:pPr>
              <w:spacing w:after="0" w:before="0"/>
            </w:pPr>
            <w:r>
              <w:rPr>
                <w:rFonts w:ascii="Arial" w:cs="Arial" w:eastAsia="Arial" w:hAnsi="Arial"/>
                <w:color w:val="6B7280"/>
                <w:sz w:val="16"/>
                <w:szCs w:val="16"/>
              </w:rPr>
              <w:t xml:space="preserve">Wellpappe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V13: Fundstelle der Karton-Ausnahme in Art. 29 noch zu pinnen — Unsere Einordnung: Faserverpackungsmaterial aus glatten Deckenbahnen und gewellter Zwischenlage – das Standardmaterial für Versand-, Um- und Transportverpackungen. Kartons sind bei den Transport-Mehrwegquoten ausdrücklich ausgenommen.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L33</w:t>
            </w:r>
          </w:p>
          <w:p>
            <w:pPr>
              <w:spacing w:after="0" w:before="0"/>
            </w:pPr>
            <w:r>
              <w:rPr>
                <w:rFonts w:ascii="Arial" w:cs="Arial" w:eastAsia="Arial" w:hAnsi="Arial"/>
                <w:color w:val="6B7280"/>
                <w:sz w:val="16"/>
                <w:szCs w:val="16"/>
              </w:rPr>
              <w:t xml:space="preserve">PET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V4/V5: EU-Quotenwerte je Kategorie noch nicht gepinnt – Zahlen nicht ausspielen — Unsere Einordnung: Kunststoff Nr. 1 der Kennzeichnungssystematik; Standard für Getränkeflaschen, Schalen und Folien. Einziger Kunststoff mit etabliertem Bottle-to-Bottle-Kreislauf und deshalb Dreh- und Angelpunkt der Rezyklatquoten – national heute, EU-weit ab 2030.</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L41</w:t>
            </w:r>
          </w:p>
          <w:p>
            <w:pPr>
              <w:spacing w:after="0" w:before="0"/>
            </w:pPr>
            <w:r>
              <w:rPr>
                <w:rFonts w:ascii="Arial" w:cs="Arial" w:eastAsia="Arial" w:hAnsi="Arial"/>
                <w:color w:val="6B7280"/>
                <w:sz w:val="16"/>
                <w:szCs w:val="16"/>
              </w:rPr>
              <w:t xml:space="preserve">Verbundmaterial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5-%-Kunststoff-Auslegung nur im Leitfaden (unverbindlich) – stets so kennzeichnen — Unsere Einordnung: Verpackungsmaterial aus fest verbundenen, von Hand nicht trennbaren Schichten verschiedener Stoffe – gekennzeichnet mit „C/“ plus Hauptmaterial. Regulatorisch doppelt im Fokus: bei der Recycling-Design-Einstufung und bei der Frage, ab welchem Kunststoffanteil ein Verbund unter die Kunststoff-Verbote fällt.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L43</w:t>
            </w:r>
          </w:p>
          <w:p>
            <w:pPr>
              <w:spacing w:after="0" w:before="0"/>
            </w:pPr>
            <w:r>
              <w:rPr>
                <w:rFonts w:ascii="Arial" w:cs="Arial" w:eastAsia="Arial" w:hAnsi="Arial"/>
                <w:color w:val="6B7280"/>
                <w:sz w:val="16"/>
                <w:szCs w:val="16"/>
              </w:rPr>
              <w:t xml:space="preserve">Kompostierbare Kunststoffe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DE-Negativbefund zu Art. 9 Abs. 2 anwaltlich bestätigen — Unsere Einordnung: Kunststoffe, die unter industriellen Kompostierbedingungen abbauen (Orientierung: EN 13432). Wichtig: „biobasiert“ (Rohstoffherkunft) und „kompostierbar“ (Entsorgungsweg) sind zwei verschiedene Eigenschaften. Für bestimmte Formate wird Kompostierbarkeit ab 2028 zur Materialvorgabe; Werbeaussagen dazu laufen ins Green-Claims-Thema.</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L44</w:t>
            </w:r>
          </w:p>
          <w:p>
            <w:pPr>
              <w:spacing w:after="0" w:before="0"/>
            </w:pPr>
            <w:r>
              <w:rPr>
                <w:rFonts w:ascii="Arial" w:cs="Arial" w:eastAsia="Arial" w:hAnsi="Arial"/>
                <w:color w:val="6B7280"/>
                <w:sz w:val="16"/>
                <w:szCs w:val="16"/>
              </w:rPr>
              <w:t xml:space="preserve">Holz</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V3: Ausnahmenliste Art. 6 Abs. 11 vollständig pinnen — Unsere Einordnung: Material für Paletten, Kisten und Steigen – überwiegend Transportverpackung im B2B-Umlauf. In der Recyclingfähigkeits-Systematik mit Sonderstatus über die Ausnahmenliste.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L45</w:t>
            </w:r>
          </w:p>
          <w:p>
            <w:pPr>
              <w:spacing w:after="0" w:before="0"/>
            </w:pPr>
            <w:r>
              <w:rPr>
                <w:rFonts w:ascii="Arial" w:cs="Arial" w:eastAsia="Arial" w:hAnsi="Arial"/>
                <w:color w:val="6B7280"/>
                <w:sz w:val="16"/>
                <w:szCs w:val="16"/>
              </w:rPr>
              <w:t xml:space="preserve">Monomaterial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Kein Rechtsbegriff – nur als Praxis-Einordnung ausspielen, nicht als Rechtskategorie — Unsere Einordnung: Praxisbegriff – kein Rechtsbegriff – für Verpackungen aus einer einzigen Materialart, das Gegenstück zum Verbund. In der Designpraxis die Standard-Empfehlung Richtung Recyclingfähigkeit und günstigerer Ökomodulation.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L47</w:t>
            </w:r>
          </w:p>
          <w:p>
            <w:pPr>
              <w:spacing w:after="0" w:before="0"/>
            </w:pPr>
            <w:r>
              <w:rPr>
                <w:rFonts w:ascii="Arial" w:cs="Arial" w:eastAsia="Arial" w:hAnsi="Arial"/>
                <w:color w:val="6B7280"/>
                <w:sz w:val="16"/>
                <w:szCs w:val="16"/>
              </w:rPr>
              <w:t xml:space="preserve">Lohnabfüllung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A02: Lohnfertigungs-Zuordnung ohne Eigentumsübergang in Session bestätigen — Unsere Einordnung: Konstellation, in der ein Dienstleister Produkte im Auftrag und meist unter der Marke des Auftraggebers abfüllt oder verpackt. Für die Rollenverteilung zählt nicht, wer die Maschine bedient, sondern Marke (Konformitätsschiene) und erste Abgabe in die Lieferkette (EPR-Schiene) – die Zuordnung ohne Eigentumsübergang ist ein offener Prüfpunkt.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L49</w:t>
            </w:r>
          </w:p>
          <w:p>
            <w:pPr>
              <w:spacing w:after="0" w:before="0"/>
            </w:pPr>
            <w:r>
              <w:rPr>
                <w:rFonts w:ascii="Arial" w:cs="Arial" w:eastAsia="Arial" w:hAnsi="Arial"/>
                <w:color w:val="6B7280"/>
                <w:sz w:val="16"/>
                <w:szCs w:val="16"/>
              </w:rPr>
              <w:t xml:space="preserve">Bag-in-Box</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NEU: Einstufung Beutel/Karton als separate Bestandteile (statt Gesamt-Verbund) ist Auslegung → Eskalation Cattwyk — Unsere Einordnung: Verkaufsverpackung aus zwei trennbaren Bestandteilen: flexibler Innenbeutel (Kunststoff-/Alu-Verbund) mit Zapfhahn in einer Kartonumhüllung. Für die Einordnung entscheidend ist die Bestandteil-Logik der PPWR (separat vs. integriert) – der Beutel bleibt dabei selbst ein Verbund-Fall. Lebensmittelkontakt über den Innenbeutel.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L50</w:t>
            </w:r>
          </w:p>
          <w:p>
            <w:pPr>
              <w:spacing w:after="0" w:before="0"/>
            </w:pPr>
            <w:r>
              <w:rPr>
                <w:rFonts w:ascii="Arial" w:cs="Arial" w:eastAsia="Arial" w:hAnsi="Arial"/>
                <w:color w:val="6B7280"/>
                <w:sz w:val="16"/>
                <w:szCs w:val="16"/>
              </w:rPr>
              <w:t xml:space="preserve">Mogelpackung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V7: Divergenz § 12 Abs. 3 VerpackDG vs. Art. 10 PPWR – Erklärlinie mit Cattwyk abstimmen — Unsere Einordnung: Alltagsbegriff für Verpackungen, die mehr Inhalt suggerieren, als drin ist – etwa durch doppelte Böden, Doppelwände oder viel Luft. Regulatorisch zwei Baustellen: die Verpackungsminimierung (mit ausdrücklichem Scheinvolumen-Verbot ab 2030) und die 50-%-Leerraumquote für Um-, Transport- und Versandverpackungen. Bis 2030 gilt national eine allgemeinere Minimierungsklausel.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L51</w:t>
            </w:r>
          </w:p>
          <w:p>
            <w:pPr>
              <w:spacing w:after="0" w:before="0"/>
            </w:pPr>
            <w:r>
              <w:rPr>
                <w:rFonts w:ascii="Arial" w:cs="Arial" w:eastAsia="Arial" w:hAnsi="Arial"/>
                <w:color w:val="6B7280"/>
                <w:sz w:val="16"/>
                <w:szCs w:val="16"/>
              </w:rPr>
              <w:t xml:space="preserve">Serviceverpackung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U2/E01: Restanwendungsbereich der Übertragung nach § 7 Abs. 2 offen — Unsere Einordnung: Verpackung, die erst an der Verkaufsstelle befüllt und an den Endkunden abgegeben wird – vom Brötchenbeutel bis zum Ausschankbecher. Besonderheit: Die Herstellerrolle setzt hier an der leeren Verpackung an, was kleine Befüller entlastet; dazu existiert eine eng zugeschnittene Übertragungsoption auf Vorvertreiber.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1"/>
        <w:pageBreakBefore/>
        <w:spacing w:after="160" w:before="0"/>
      </w:pPr>
      <w:r>
        <w:rPr>
          <w:rFonts w:ascii="Arial" w:cs="Arial" w:eastAsia="Arial" w:hAnsi="Arial"/>
          <w:b/>
          <w:bCs/>
          <w:color w:val="004494"/>
          <w:sz w:val="32"/>
          <w:szCs w:val="32"/>
        </w:rPr>
        <w:t xml:space="preserve">Teil D – Gesamtfreigabe und Rückgabe</w:t>
      </w:r>
    </w:p>
    <w:p>
      <w:pPr>
        <w:spacing w:after="200" w:before="60"/>
      </w:pPr>
      <w:r>
        <w:rPr>
          <w:rFonts w:ascii="Arial" w:cs="Arial" w:eastAsia="Arial" w:hAnsi="Arial"/>
          <w:sz w:val="20"/>
          <w:szCs w:val="20"/>
        </w:rPr>
        <w:t xml:space="preserve">Mit der Gesamtfreigabe bestätigen Sie, dass die in Teil A freigegebenen Blöcke und die in Teil B und C mit „freigeben“ bzw. „bestätigt“ markierten Datensätze im Produkt als „juristisch plausibilisiert durch Cattwyk Rechtsanwaltsgesellschaft“ ausgespielt werden dürfen. Datensätze mit „Ändern“ legen wir Ihnen nach Überarbeitung erneut vor; Datensätze mit „Streichen“ werden nicht ausgespielt.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val="false"/>
        </w:trPr>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60" w:before="60"/>
            </w:pPr>
            <w:r>
              <w:rPr>
                <w:rFonts w:ascii="Arial" w:cs="Arial" w:eastAsia="Arial" w:hAnsi="Arial"/>
                <w:b/>
                <w:bCs/>
                <w:sz w:val="20"/>
                <w:szCs w:val="20"/>
              </w:rPr>
              <w:t xml:space="preserve">Dr. Julia Hörnig</w:t>
            </w:r>
          </w:p>
          <w:p>
            <w:pPr>
              <w:spacing w:after="400" w:before="60"/>
            </w:pPr>
            <w:r>
              <w:rPr>
                <w:rFonts w:ascii="Arial" w:cs="Arial" w:eastAsia="Arial" w:hAnsi="Arial"/>
                <w:sz w:val="20"/>
                <w:szCs w:val="20"/>
              </w:rPr>
              <w:t xml:space="preserve"/>
            </w:r>
          </w:p>
          <w:p>
            <w:pPr>
              <w:spacing w:after="60" w:before="60"/>
            </w:pPr>
            <w:r>
              <w:rPr>
                <w:rFonts w:ascii="Arial" w:cs="Arial" w:eastAsia="Arial" w:hAnsi="Arial"/>
                <w:color w:val="6B7280"/>
                <w:sz w:val="20"/>
                <w:szCs w:val="20"/>
              </w:rPr>
              <w:t xml:space="preserve">______________________________</w:t>
            </w:r>
          </w:p>
          <w:p>
            <w:pPr>
              <w:spacing w:after="60" w:before="60"/>
            </w:pPr>
            <w:r>
              <w:rPr>
                <w:rFonts w:ascii="Arial" w:cs="Arial" w:eastAsia="Arial" w:hAnsi="Arial"/>
                <w:color w:val="6B7280"/>
                <w:sz w:val="17"/>
                <w:szCs w:val="17"/>
              </w:rPr>
              <w:t xml:space="preserve">Datum, Unterschrift</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60" w:before="60"/>
            </w:pPr>
            <w:r>
              <w:rPr>
                <w:rFonts w:ascii="Arial" w:cs="Arial" w:eastAsia="Arial" w:hAnsi="Arial"/>
                <w:b/>
                <w:bCs/>
                <w:sz w:val="20"/>
                <w:szCs w:val="20"/>
              </w:rPr>
              <w:t xml:space="preserve">Franziska Kaiser</w:t>
            </w:r>
          </w:p>
          <w:p>
            <w:pPr>
              <w:spacing w:after="400" w:before="60"/>
            </w:pPr>
            <w:r>
              <w:rPr>
                <w:rFonts w:ascii="Arial" w:cs="Arial" w:eastAsia="Arial" w:hAnsi="Arial"/>
                <w:sz w:val="20"/>
                <w:szCs w:val="20"/>
              </w:rPr>
              <w:t xml:space="preserve"/>
            </w:r>
          </w:p>
          <w:p>
            <w:pPr>
              <w:spacing w:after="60" w:before="60"/>
            </w:pPr>
            <w:r>
              <w:rPr>
                <w:rFonts w:ascii="Arial" w:cs="Arial" w:eastAsia="Arial" w:hAnsi="Arial"/>
                <w:color w:val="6B7280"/>
                <w:sz w:val="20"/>
                <w:szCs w:val="20"/>
              </w:rPr>
              <w:t xml:space="preserve">______________________________</w:t>
            </w:r>
          </w:p>
          <w:p>
            <w:pPr>
              <w:spacing w:after="60" w:before="60"/>
            </w:pPr>
            <w:r>
              <w:rPr>
                <w:rFonts w:ascii="Arial" w:cs="Arial" w:eastAsia="Arial" w:hAnsi="Arial"/>
                <w:color w:val="6B7280"/>
                <w:sz w:val="17"/>
                <w:szCs w:val="17"/>
              </w:rPr>
              <w:t xml:space="preserve">Datum, Unterschrift</w:t>
            </w:r>
          </w:p>
        </w:tc>
      </w:tr>
    </w:tbl>
    <w:p>
      <w:pPr>
        <w:pStyle w:val="Heading2"/>
        <w:keepNext/>
        <w:spacing w:after="120" w:before="280"/>
      </w:pPr>
      <w:r>
        <w:rPr>
          <w:rFonts w:ascii="Arial" w:cs="Arial" w:eastAsia="Arial" w:hAnsi="Arial"/>
          <w:b/>
          <w:bCs/>
          <w:color w:val="111111"/>
          <w:sz w:val="26"/>
          <w:szCs w:val="26"/>
        </w:rPr>
        <w:t xml:space="preserve">Rückgabe</w:t>
      </w:r>
    </w:p>
    <w:p>
      <w:pPr>
        <w:pStyle w:val="ListParagraph"/>
        <w:numPr>
          <w:ilvl w:val="0"/>
          <w:numId w:val="2"/>
        </w:numPr>
        <w:spacing w:after="30" w:before="30"/>
      </w:pPr>
      <w:r>
        <w:rPr>
          <w:rFonts w:ascii="Arial" w:cs="Arial" w:eastAsia="Arial" w:hAnsi="Arial"/>
          <w:sz w:val="20"/>
          <w:szCs w:val="20"/>
        </w:rPr>
        <w:t xml:space="preserve">Per E-Mail an Jan Malte Andresen (ausgefülltes Word, kommentiertes PDF oder Scan).</w:t>
      </w:r>
    </w:p>
    <w:p>
      <w:pPr>
        <w:pStyle w:val="ListParagraph"/>
        <w:numPr>
          <w:ilvl w:val="0"/>
          <w:numId w:val="2"/>
        </w:numPr>
        <w:spacing w:after="30" w:before="30"/>
      </w:pPr>
      <w:r>
        <w:rPr>
          <w:rFonts w:ascii="Arial" w:cs="Arial" w:eastAsia="Arial" w:hAnsi="Arial"/>
          <w:sz w:val="20"/>
          <w:szCs w:val="20"/>
        </w:rPr>
        <w:t xml:space="preserve">Oder in der gemeinsamen Videosession (90 Minuten); dort setzen wir die Entscheidungen direkt im System.</w:t>
      </w:r>
    </w:p>
    <w:p>
      <w:pPr>
        <w:pStyle w:val="ListParagraph"/>
        <w:numPr>
          <w:ilvl w:val="0"/>
          <w:numId w:val="2"/>
        </w:numPr>
        <w:spacing w:after="30" w:before="30"/>
      </w:pPr>
      <w:r>
        <w:rPr>
          <w:rFonts w:ascii="Arial" w:cs="Arial" w:eastAsia="Arial" w:hAnsi="Arial"/>
          <w:sz w:val="20"/>
          <w:szCs w:val="20"/>
        </w:rPr>
        <w:t xml:space="preserve">Nach Eingang übernehmen wir die Entscheidungen anhand der Codes, protokollieren den Freigabestand mit Datum und senden Ihnen die Liste der geänderten Datensätze zur Gegenkontrolle.</w:t>
      </w:r>
    </w:p>
    <w:p>
      <w:pPr>
        <w:pStyle w:val="Heading2"/>
        <w:keepNext/>
        <w:spacing w:after="120" w:before="280"/>
      </w:pPr>
      <w:r>
        <w:rPr>
          <w:rFonts w:ascii="Arial" w:cs="Arial" w:eastAsia="Arial" w:hAnsi="Arial"/>
          <w:b/>
          <w:bCs/>
          <w:color w:val="111111"/>
          <w:sz w:val="26"/>
          <w:szCs w:val="26"/>
        </w:rPr>
        <w:t xml:space="preserve">Anmerkungen (frei)</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Seite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von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A27F" w:sz="4" w:space="4"/>
      </w:pBdr>
    </w:pPr>
    <w:r>
      <w:rPr>
        <w:rFonts w:ascii="Arial" w:cs="Arial" w:eastAsia="Arial" w:hAnsi="Arial"/>
        <w:color w:val="6B7280"/>
        <w:sz w:val="16"/>
        <w:szCs w:val="16"/>
      </w:rPr>
      <w:t xml:space="preserve">PPWR Radar – by packaging journal · Prüfpaket Cattwyk · Rechtsstand 17.10.2026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Prüfpaket Cattwyk – PPWR Radar – Rechtsstand 17.10.2026</dc:title>
  <dc:creator>PPWR Radar – packaging journal</dc:creator>
  <cp:lastModifiedBy>Un-named</cp:lastModifiedBy>
  <cp:revision>1</cp:revision>
  <dcterms:created xsi:type="dcterms:W3CDTF">2026-10-17T05:48:34.058Z</dcterms:created>
  <dcterms:modified xsi:type="dcterms:W3CDTF">2026-10-17T05:48:34.058Z</dcterms:modified>
</cp:coreProperties>
</file>

<file path=docProps/custom.xml><?xml version="1.0" encoding="utf-8"?>
<Properties xmlns="http://schemas.openxmlformats.org/officeDocument/2006/custom-properties" xmlns:vt="http://schemas.openxmlformats.org/officeDocument/2006/docPropsVTypes"/>
</file>