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24A27F"/>
          <w:sz w:val="22"/>
          <w:szCs w:val="22"/>
        </w:rPr>
        <w:t xml:space="preserve">PPWR Radar – by packaging journal</w:t>
      </w:r>
    </w:p>
    <w:p>
      <w:pPr>
        <w:spacing w:after="120" w:before="60"/>
      </w:pPr>
      <w:r>
        <w:rPr>
          <w:rFonts w:ascii="Arial" w:cs="Arial" w:eastAsia="Arial" w:hAnsi="Arial"/>
          <w:b/>
          <w:bCs/>
          <w:color w:val="004494"/>
          <w:sz w:val="40"/>
          <w:szCs w:val="40"/>
        </w:rPr>
        <w:t xml:space="preserve">Prüfpaket für Cattwyk Rechtsanwaltsgesellschaft</w:t>
      </w:r>
    </w:p>
    <w:p>
      <w:pPr>
        <w:spacing w:after="600" w:before="60"/>
      </w:pPr>
      <w:r>
        <w:rPr>
          <w:rFonts w:ascii="Arial" w:cs="Arial" w:eastAsia="Arial" w:hAnsi="Arial"/>
          <w:sz w:val="24"/>
          <w:szCs w:val="24"/>
        </w:rPr>
        <w:t xml:space="preserve">Verifikation der Wissensbasis · Rechtsstand 30.10.2026</w:t>
      </w:r>
    </w:p>
    <w:p>
      <w:pPr>
        <w:spacing w:after="60" w:before="60"/>
      </w:pPr>
      <w:r>
        <w:rPr>
          <w:rFonts w:ascii="Arial" w:cs="Arial" w:eastAsia="Arial" w:hAnsi="Arial"/>
          <w:sz w:val="22"/>
          <w:szCs w:val="22"/>
        </w:rPr>
        <w:t xml:space="preserve">Für: Dr. Julia Hörnig und Franziska Kaiser</w:t>
      </w:r>
    </w:p>
    <w:p>
      <w:pPr>
        <w:spacing w:after="60" w:before="60"/>
      </w:pPr>
      <w:r>
        <w:rPr>
          <w:rFonts w:ascii="Arial" w:cs="Arial" w:eastAsia="Arial" w:hAnsi="Arial"/>
          <w:sz w:val="22"/>
          <w:szCs w:val="22"/>
        </w:rPr>
        <w:t xml:space="preserve">Von: Jan Malte Andresen, packaging journal (ella Verlag und Medien GmbH)</w:t>
      </w:r>
    </w:p>
    <w:p>
      <w:pPr>
        <w:spacing w:after="600" w:before="60"/>
      </w:pPr>
      <w:r>
        <w:rPr>
          <w:rFonts w:ascii="Arial" w:cs="Arial" w:eastAsia="Arial" w:hAnsi="Arial"/>
          <w:sz w:val="22"/>
          <w:szCs w:val="22"/>
        </w:rPr>
        <w:t xml:space="preserve">Datum: 30. Oktober 2026</w:t>
      </w:r>
    </w:p>
    <w:p>
      <w:pPr>
        <w:spacing w:after="80" w:before="60"/>
      </w:pPr>
      <w:r>
        <w:rPr>
          <w:rFonts w:ascii="Arial" w:cs="Arial" w:eastAsia="Arial" w:hAnsi="Arial"/>
          <w:b/>
          <w:bCs/>
          <w:sz w:val="22"/>
          <w:szCs w:val="22"/>
        </w:rPr>
        <w:t xml:space="preserve">Inhalt</w:t>
      </w:r>
    </w:p>
    <w:p>
      <w:pPr>
        <w:pStyle w:val="ListParagraph"/>
        <w:numPr>
          <w:ilvl w:val="0"/>
          <w:numId w:val="2"/>
        </w:numPr>
        <w:spacing w:after="30" w:before="30"/>
      </w:pPr>
      <w:r>
        <w:rPr>
          <w:rFonts w:ascii="Arial" w:cs="Arial" w:eastAsia="Arial" w:hAnsi="Arial"/>
          <w:sz w:val="20"/>
          <w:szCs w:val="20"/>
        </w:rPr>
        <w:t xml:space="preserve">Prioritäten – Leseanleitung: die sieben Punkte, an denen wir Ihre Einordnung zuerst brauchen (Session-Pflicht), danach Priorität 2 und 3.</w:t>
      </w:r>
    </w:p>
    <w:p>
      <w:pPr>
        <w:pStyle w:val="ListParagraph"/>
        <w:numPr>
          <w:ilvl w:val="0"/>
          <w:numId w:val="2"/>
        </w:numPr>
        <w:spacing w:after="30" w:before="30"/>
      </w:pPr>
      <w:r>
        <w:rPr>
          <w:rFonts w:ascii="Arial" w:cs="Arial" w:eastAsia="Arial" w:hAnsi="Arial"/>
          <w:sz w:val="20"/>
          <w:szCs w:val="20"/>
        </w:rPr>
        <w:t xml:space="preserve">Teil A – Sammelfreigabe: 121 Datensätze ohne offenen Punkt, als Tabellen zum Querlesen (Zeitbedarf etwa 60 bis 90 Minuten).</w:t>
      </w:r>
    </w:p>
    <w:p>
      <w:pPr>
        <w:pStyle w:val="ListParagraph"/>
        <w:numPr>
          <w:ilvl w:val="0"/>
          <w:numId w:val="2"/>
        </w:numPr>
        <w:spacing w:after="30" w:before="30"/>
      </w:pPr>
      <w:r>
        <w:rPr>
          <w:rFonts w:ascii="Arial" w:cs="Arial" w:eastAsia="Arial" w:hAnsi="Arial"/>
          <w:sz w:val="20"/>
          <w:szCs w:val="20"/>
        </w:rPr>
        <w:t xml:space="preserve">Teil B – Einzelprüfung: 65 Datensätze mit konkreter Frage an die Kanzlei, je eine Karte mit drei Kästchen, darunter 20 neue Praxisfragen zur Rechtsentwicklung seit Juli 2026.</w:t>
      </w:r>
    </w:p>
    <w:p>
      <w:pPr>
        <w:pStyle w:val="ListParagraph"/>
        <w:numPr>
          <w:ilvl w:val="0"/>
          <w:numId w:val="2"/>
        </w:numPr>
        <w:spacing w:after="30" w:before="30"/>
      </w:pPr>
      <w:r>
        <w:rPr>
          <w:rFonts w:ascii="Arial" w:cs="Arial" w:eastAsia="Arial" w:hAnsi="Arial"/>
          <w:sz w:val="20"/>
          <w:szCs w:val="20"/>
        </w:rPr>
        <w:t xml:space="preserve">Teil C – Fundstellen-Bestätigungen: 68 markierte Stellen (!) in Anforderungen und Dokumentvorlagen, als Tabelle zum Abhaken.</w:t>
      </w:r>
    </w:p>
    <w:p>
      <w:pPr>
        <w:pStyle w:val="ListParagraph"/>
        <w:numPr>
          <w:ilvl w:val="0"/>
          <w:numId w:val="2"/>
        </w:numPr>
        <w:spacing w:after="30" w:before="30"/>
      </w:pPr>
      <w:r>
        <w:rPr>
          <w:rFonts w:ascii="Arial" w:cs="Arial" w:eastAsia="Arial" w:hAnsi="Arial"/>
          <w:sz w:val="20"/>
          <w:szCs w:val="20"/>
        </w:rPr>
        <w:t xml:space="preserve">Teil D – Gesamtfreigabe und Rückgabe.</w:t>
      </w:r>
    </w:p>
    <w:p>
      <w:pPr>
        <w:spacing w:after="200" w:before="60"/>
      </w:pPr>
      <w:r>
        <w:rPr>
          <w:rFonts w:ascii="Arial" w:cs="Arial" w:eastAsia="Arial" w:hAnsi="Arial"/>
          <w:sz w:val="20"/>
          <w:szCs w:val="20"/>
        </w:rPr>
        <w:t xml:space="preserve"/>
      </w:r>
    </w:p>
    <w:p>
      <w:pPr>
        <w:spacing w:after="60" w:before="60"/>
      </w:pPr>
      <w:r>
        <w:rPr>
          <w:rFonts w:ascii="Arial" w:cs="Arial" w:eastAsia="Arial" w:hAnsi="Arial"/>
          <w:color w:val="6B7280"/>
          <w:sz w:val="17"/>
          <w:szCs w:val="17"/>
        </w:rPr>
        <w:t xml:space="preserve">Vertraulich. Dieses Paket ist aus der Datenbank von PPWR Radar generiert (Stand 30.10.2026). Jeder Datensatz trägt seinen Code, mit dem die Entscheidung der Kanzlei direkt in das System übernommen wird.</w:t>
      </w:r>
    </w:p>
    <w:p>
      <w:pPr>
        <w:pStyle w:val="Heading1"/>
        <w:pageBreakBefore/>
        <w:spacing w:after="160" w:before="0"/>
      </w:pPr>
      <w:r>
        <w:rPr>
          <w:rFonts w:ascii="Arial" w:cs="Arial" w:eastAsia="Arial" w:hAnsi="Arial"/>
          <w:b/>
          <w:bCs/>
          <w:color w:val="004494"/>
          <w:sz w:val="32"/>
          <w:szCs w:val="32"/>
        </w:rPr>
        <w:t xml:space="preserve">So funktioniert dieses Paket</w:t>
      </w:r>
    </w:p>
    <w:p>
      <w:pPr>
        <w:spacing w:after="120" w:before="60"/>
      </w:pPr>
      <w:r>
        <w:rPr>
          <w:rFonts w:ascii="Arial" w:cs="Arial" w:eastAsia="Arial" w:hAnsi="Arial"/>
          <w:sz w:val="20"/>
          <w:szCs w:val="20"/>
        </w:rPr>
        <w:t xml:space="preserve">Liebe Frau Dr. Hörnig, liebe Frau Kaiser,</w:t>
      </w:r>
    </w:p>
    <w:p>
      <w:pPr>
        <w:spacing w:after="60" w:before="60"/>
      </w:pPr>
      <w:r>
        <w:rPr>
          <w:rFonts w:ascii="Arial" w:cs="Arial" w:eastAsia="Arial" w:hAnsi="Arial"/>
          <w:sz w:val="20"/>
          <w:szCs w:val="20"/>
        </w:rPr>
        <w:t xml:space="preserve">das Projekt lag seit August auf Eis, jetzt gehen wir an den Start. Die Wissensbasis von PPWR Radar erklärt Unternehmen, welche Rolle sie nach der PPWR haben und welche Pflichten daraus folgen, mit Fundstelle an jeder Aussage. Nichts davon ist Rechtsberatung; das Produkt „erklärt, ordnet ein, priorisiert, erstellt Entwürfe“. Ihre Aufgabe ist die juristische Plausibilisierung: Stimmt die Aussage, stimmt die Fundstelle, ist die Grenze richtig gezogen.</w:t>
      </w:r>
    </w:p>
    <w:p>
      <w:pPr>
        <w:spacing w:after="60" w:before="60"/>
      </w:pPr>
      <w:r>
        <w:rPr>
          <w:rFonts w:ascii="Arial" w:cs="Arial" w:eastAsia="Arial" w:hAnsi="Arial"/>
          <w:sz w:val="20"/>
          <w:szCs w:val="20"/>
        </w:rPr>
        <w:t xml:space="preserve">Wir haben alle Inhalte am 17.10.2026 gegen die Rechtsentwicklung seit Juli abgeglichen (Kommissions-FAQ 2. Edition vom 3. August, Berichtigung der deutschen PPWR-Fassung vom 4. August, ZSVR-Veröffentlichungen, Mindeststandard 2026, Rechtsprechung, laufende EU-Verfahren). Seitdem läuft ein wöchentliches Rechtsmonitoring; die Läufe vom 19.10. und 26.10.2026 sind eingearbeitet, insbesondere die Position des Europäischen Parlaments (20.10.) und das Ratsmandat (21.10.) zum Bevollmächtigten, die Verschiebung des Kennzeichnungs-Durchführungsakts auf das zweite Quartal 2027 und der neue KMU-Leitfaden der Kommission „PPWR and small businesses“ vom 19.10.2026 (liegt bei). Die drei Delta-Listen mit allen Quellen liegen als Beilage bei.</w:t>
      </w:r>
    </w:p>
    <w:p>
      <w:pPr>
        <w:spacing w:after="60" w:before="60"/>
      </w:pPr>
      <w:r>
        <w:rPr>
          <w:rFonts w:ascii="Arial" w:cs="Arial" w:eastAsia="Arial" w:hAnsi="Arial"/>
          <w:sz w:val="20"/>
          <w:szCs w:val="20"/>
        </w:rPr>
        <w:t xml:space="preserve">Vor Teil A finden Sie eine Prioritätenliste: sieben Punkte, an denen die Rechtslage, die Behördenpraxis oder unsere Daten so auseinanderliegen, dass wir Ihre Einordnung in der Session brauchen. Wer wenig Zeit hat, liest diese Liste und Teil B.1; der Rest kann folgen.</w:t>
      </w:r>
    </w:p>
    <w:p>
      <w:pPr>
        <w:pStyle w:val="Heading2"/>
        <w:keepNext/>
        <w:spacing w:after="120" w:before="280"/>
      </w:pPr>
      <w:r>
        <w:rPr>
          <w:rFonts w:ascii="Arial" w:cs="Arial" w:eastAsia="Arial" w:hAnsi="Arial"/>
          <w:b/>
          <w:bCs/>
          <w:color w:val="111111"/>
          <w:sz w:val="26"/>
          <w:szCs w:val="26"/>
        </w:rPr>
        <w:t xml:space="preserve">Drei Stufen, drei Aufwände</w:t>
      </w:r>
    </w:p>
    <w:p>
      <w:pPr>
        <w:pStyle w:val="ListParagraph"/>
        <w:numPr>
          <w:ilvl w:val="0"/>
          <w:numId w:val="2"/>
        </w:numPr>
        <w:spacing w:after="30" w:before="30"/>
      </w:pPr>
      <w:r>
        <w:rPr>
          <w:rFonts w:ascii="Arial" w:cs="Arial" w:eastAsia="Arial" w:hAnsi="Arial"/>
          <w:sz w:val="20"/>
          <w:szCs w:val="20"/>
        </w:rPr>
        <w:t xml:space="preserve">Teil A ist zum Querlesen gedacht: eine Zeile je Datensatz, Kernaussage und Fundstelle. Was Ihnen auffällt, markieren Sie mit „Anm.“ und notieren den Hinweis am Rand. Alles andere geben Sie je Block mit einem Haken frei.</w:t>
      </w:r>
    </w:p>
    <w:p>
      <w:pPr>
        <w:pStyle w:val="ListParagraph"/>
        <w:numPr>
          <w:ilvl w:val="0"/>
          <w:numId w:val="2"/>
        </w:numPr>
        <w:spacing w:after="30" w:before="30"/>
      </w:pPr>
      <w:r>
        <w:rPr>
          <w:rFonts w:ascii="Arial" w:cs="Arial" w:eastAsia="Arial" w:hAnsi="Arial"/>
          <w:sz w:val="20"/>
          <w:szCs w:val="20"/>
        </w:rPr>
        <w:t xml:space="preserve">Teil B enthält die Stellen, an denen wir Ihre Einordnung wirklich brauchen: Grenzfälle, Divergenzen zwischen Kommission und ZSVR, Regeln der Rollen-Engine, Neues seit Juli. Je Karte drei Kästchen: freigeben, ändern, streichen.</w:t>
      </w:r>
    </w:p>
    <w:p>
      <w:pPr>
        <w:pStyle w:val="ListParagraph"/>
        <w:numPr>
          <w:ilvl w:val="0"/>
          <w:numId w:val="2"/>
        </w:numPr>
        <w:spacing w:after="30" w:before="30"/>
      </w:pPr>
      <w:r>
        <w:rPr>
          <w:rFonts w:ascii="Arial" w:cs="Arial" w:eastAsia="Arial" w:hAnsi="Arial"/>
          <w:sz w:val="20"/>
          <w:szCs w:val="20"/>
        </w:rPr>
        <w:t xml:space="preserve">Teil C sind reine Fundstellen-Bestätigungen: Stellen, an denen wir im Text eine Norm oder einen Absatz als unsicher (!) markiert haben. Bestätigen oder korrigieren.</w:t>
      </w:r>
    </w:p>
    <w:p>
      <w:pPr>
        <w:pStyle w:val="Heading2"/>
        <w:keepNext/>
        <w:spacing w:after="120" w:before="280"/>
      </w:pPr>
      <w:r>
        <w:rPr>
          <w:rFonts w:ascii="Arial" w:cs="Arial" w:eastAsia="Arial" w:hAnsi="Arial"/>
          <w:b/>
          <w:bCs/>
          <w:color w:val="111111"/>
          <w:sz w:val="26"/>
          <w:szCs w:val="26"/>
        </w:rPr>
        <w:t xml:space="preserve">Was für Sie am einfachsten ist</w:t>
      </w:r>
    </w:p>
    <w:p>
      <w:pPr>
        <w:pStyle w:val="ListParagraph"/>
        <w:numPr>
          <w:ilvl w:val="0"/>
          <w:numId w:val="2"/>
        </w:numPr>
        <w:spacing w:after="30" w:before="30"/>
      </w:pPr>
      <w:r>
        <w:rPr>
          <w:rFonts w:ascii="Arial" w:cs="Arial" w:eastAsia="Arial" w:hAnsi="Arial"/>
          <w:sz w:val="20"/>
          <w:szCs w:val="20"/>
        </w:rPr>
        <w:t xml:space="preserve">Word: Kästchen anklicken oder ein X setzen, Anmerkungen direkt in die Zeilen schreiben, Datei zurückschicken.</w:t>
      </w:r>
    </w:p>
    <w:p>
      <w:pPr>
        <w:pStyle w:val="ListParagraph"/>
        <w:numPr>
          <w:ilvl w:val="0"/>
          <w:numId w:val="2"/>
        </w:numPr>
        <w:spacing w:after="30" w:before="30"/>
      </w:pPr>
      <w:r>
        <w:rPr>
          <w:rFonts w:ascii="Arial" w:cs="Arial" w:eastAsia="Arial" w:hAnsi="Arial"/>
          <w:sz w:val="20"/>
          <w:szCs w:val="20"/>
        </w:rPr>
        <w:t xml:space="preserve">PDF: Ausdrucken oder im Reader kommentieren, Scan oder Datei zurückschicken.</w:t>
      </w:r>
    </w:p>
    <w:p>
      <w:pPr>
        <w:pStyle w:val="ListParagraph"/>
        <w:numPr>
          <w:ilvl w:val="0"/>
          <w:numId w:val="2"/>
        </w:numPr>
        <w:spacing w:after="30" w:before="30"/>
      </w:pPr>
      <w:r>
        <w:rPr>
          <w:rFonts w:ascii="Arial" w:cs="Arial" w:eastAsia="Arial" w:hAnsi="Arial"/>
          <w:sz w:val="20"/>
          <w:szCs w:val="20"/>
        </w:rPr>
        <w:t xml:space="preserve">Gemeinsam: Wir bieten eine Videosession von 90 Minuten an, in der wir Teil B zusammen durchgehen; die Entscheidungen werden dabei live im System gesetzt. Teil A und C können Sie vorab oder danach erledigen.</w:t>
      </w:r>
    </w:p>
    <w:p>
      <w:pPr>
        <w:pStyle w:val="Heading2"/>
        <w:keepNext/>
        <w:spacing w:after="120" w:before="280"/>
      </w:pPr>
      <w:r>
        <w:rPr>
          <w:rFonts w:ascii="Arial" w:cs="Arial" w:eastAsia="Arial" w:hAnsi="Arial"/>
          <w:b/>
          <w:bCs/>
          <w:color w:val="111111"/>
          <w:sz w:val="26"/>
          <w:szCs w:val="26"/>
        </w:rPr>
        <w:t xml:space="preserve">Legende</w:t>
      </w:r>
    </w:p>
    <w:p>
      <w:pPr>
        <w:pStyle w:val="ListParagraph"/>
        <w:numPr>
          <w:ilvl w:val="0"/>
          <w:numId w:val="2"/>
        </w:numPr>
        <w:spacing w:after="30" w:before="30"/>
      </w:pPr>
      <w:r>
        <w:rPr>
          <w:rFonts w:ascii="Arial" w:cs="Arial" w:eastAsia="Arial" w:hAnsi="Arial"/>
          <w:sz w:val="20"/>
          <w:szCs w:val="20"/>
        </w:rPr>
        <w:t xml:space="preserve">Fundstellen: PPWR = VO (EU) 2025/40 (rechtsverbindlich); VerpackDG = BGBl. 2026 I Nr. 207 (rechtsverbindlich); Leitfaden C(2026) 3702 und Kommissions-FAQ = unverbindliche Auslegung der EU-Kommission; ZSVR, UBA = Behördeninformation, keine Rechtsnorm.</w:t>
      </w:r>
    </w:p>
    <w:p>
      <w:pPr>
        <w:pStyle w:val="ListParagraph"/>
        <w:numPr>
          <w:ilvl w:val="0"/>
          <w:numId w:val="2"/>
        </w:numPr>
        <w:spacing w:after="30" w:before="30"/>
      </w:pPr>
      <w:r>
        <w:rPr>
          <w:rFonts w:ascii="Arial" w:cs="Arial" w:eastAsia="Arial" w:hAnsi="Arial"/>
          <w:sz w:val="20"/>
          <w:szCs w:val="20"/>
        </w:rPr>
        <w:t xml:space="preserve">Codes: #01–#40 Anforderungen (Pflichten), A/B/C Praxisfragen (Auslegungen), A1–C6 Regeln der Rollen-Engine, L01–L67 Glossar, T/V/U/E/Q-Pins aus früheren Paketen.</w:t>
      </w:r>
    </w:p>
    <w:p>
      <w:pPr>
        <w:pStyle w:val="ListParagraph"/>
        <w:numPr>
          <w:ilvl w:val="0"/>
          <w:numId w:val="2"/>
        </w:numPr>
        <w:spacing w:after="30" w:before="30"/>
      </w:pPr>
      <w:r>
        <w:rPr>
          <w:rFonts w:ascii="Arial" w:cs="Arial" w:eastAsia="Arial" w:hAnsi="Arial"/>
          <w:sz w:val="20"/>
          <w:szCs w:val="20"/>
        </w:rPr>
        <w:t xml:space="preserve">(!) markiert eine Stelle, an der wir uns nicht sicher waren und bewusst nicht stillschweigend interpretiert haben.</w:t>
      </w:r>
    </w:p>
    <w:p>
      <w:pPr>
        <w:pStyle w:val="ListParagraph"/>
        <w:numPr>
          <w:ilvl w:val="0"/>
          <w:numId w:val="2"/>
        </w:numPr>
        <w:spacing w:after="30" w:before="30"/>
      </w:pPr>
      <w:r>
        <w:rPr>
          <w:rFonts w:ascii="Arial" w:cs="Arial" w:eastAsia="Arial" w:hAnsi="Arial"/>
          <w:sz w:val="20"/>
          <w:szCs w:val="20"/>
        </w:rPr>
        <w:t xml:space="preserve">Datensätze, die Sie freigeben, erscheinen im Produkt mit dem Hinweis „juristisch plausibilisiert durch Cattwyk“. Bis dahin tragen redaktionell geprüfte Inhalte den Hinweis „juristische Prüfung läuft“.</w:t>
      </w:r>
    </w:p>
    <w:p>
      <w:pPr>
        <w:pStyle w:val="Heading1"/>
        <w:pageBreakBefore/>
        <w:spacing w:after="160" w:before="0"/>
      </w:pPr>
      <w:r>
        <w:rPr>
          <w:rFonts w:ascii="Arial" w:cs="Arial" w:eastAsia="Arial" w:hAnsi="Arial"/>
          <w:b/>
          <w:bCs/>
          <w:color w:val="004494"/>
          <w:sz w:val="32"/>
          <w:szCs w:val="32"/>
        </w:rPr>
        <w:t xml:space="preserve">Prioritäten – wo wir Ihre Einordnung zuerst brauchen</w:t>
      </w:r>
    </w:p>
    <w:p>
      <w:pPr>
        <w:spacing w:after="160" w:before="60"/>
      </w:pPr>
      <w:r>
        <w:rPr>
          <w:rFonts w:ascii="Arial" w:cs="Arial" w:eastAsia="Arial" w:hAnsi="Arial"/>
          <w:sz w:val="19"/>
          <w:szCs w:val="19"/>
        </w:rPr>
        <w:t xml:space="preserve">Stand 30.10.2026, zusammengeführt aus den Flag-Feldern der Datenbank und den Delta-Recherchen vom 17.10., 19.10. und 26.10.2026. Die Codes verweisen auf die Karten in Teil B und die Zeilen in Teil A. Priorität 1 ist Gegenstand der Videosession; Priorität 2 bitte vor Freigabe der betroffenen Datensätze; Priorität 3 ist Hintergrund.</w:t>
      </w:r>
    </w:p>
    <w:p>
      <w:pPr>
        <w:spacing w:after="100" w:before="60"/>
      </w:pPr>
      <w:r>
        <w:rPr>
          <w:rFonts w:ascii="Arial" w:cs="Arial" w:eastAsia="Arial" w:hAnsi="Arial"/>
          <w:sz w:val="19"/>
          <w:szCs w:val="19"/>
        </w:rPr>
        <w:t xml:space="preserve">Ausgangslage in der Datenbank (Stand 30.10.2026): 78 Praxisfragen (Auslegungen), 40 Anforderungen, 23 Regeln der Rollen-Engine, 8 Vereinfachungs-Hinweise, 67 Glossar-Lemmata – alle im Status „Entwurf“, nichts davon ist bisher ausgespielt. 20 Praxisfragen tragen das Flag „(neu 10/2026)“ (A30–A36, B18–B21, C13–C21), 17 ältere Praxisfragen tragen ein offenes (!)-Flag aus der Verifikation vor dem Livestream. Vier Anforderungen (9, 19, 20, 21) wurden am 26.10.2026 ergänzt; A35 wurde am 30.10.2026 konsolidiert.</w:t>
      </w:r>
    </w:p>
    <w:p>
      <w:pPr>
        <w:spacing w:after="100" w:before="60"/>
      </w:pPr>
      <w:r>
        <w:rPr>
          <w:rFonts w:ascii="Arial" w:cs="Arial" w:eastAsia="Arial" w:hAnsi="Arial"/>
          <w:sz w:val="19"/>
          <w:szCs w:val="19"/>
        </w:rPr>
        <w:t xml:space="preserve">Gewünschte Rückmeldung je Datensatz: (a) freigeben wie entworfen, (b) freigeben mit Änderung (bitte Wortlaut), (c) nicht ausspielen, nur Hintergrund. Bei Divergenzen zwischen Kommission und ZSVR: Welche Lesart spielt der Radar für Deutschland aus, und mit welchem Hinweis? Das Produkt erklärt, ordnet ein, priorisiert und erstellt Entwürfe; es berät nicht.</w:t>
      </w:r>
    </w:p>
    <w:p>
      <w:pPr>
        <w:spacing w:after="100" w:before="60"/>
      </w:pPr>
      <w:r>
        <w:rPr>
          <w:rFonts w:ascii="Arial" w:cs="Arial" w:eastAsia="Arial" w:hAnsi="Arial"/>
          <w:sz w:val="19"/>
          <w:szCs w:val="19"/>
        </w:rPr>
        <w:t xml:space="preserve">Einordnungskürzel: [RN] Rechtsnorm · [UA] unverbindliche Auslegung der EU-Kommission · [BI] Behördeninformation, keine Rechtsnorm · [GE] Gerichtsentscheidung · [VF] Verfahren, nicht erlassen · [VM] Verbandsmeinung. Unsicherheiten mit (!).</w:t>
      </w:r>
    </w:p>
    <w:p>
      <w:pPr>
        <w:pStyle w:val="Heading2"/>
        <w:keepNext/>
        <w:spacing w:after="120" w:before="280"/>
      </w:pPr>
      <w:r>
        <w:rPr>
          <w:rFonts w:ascii="Arial" w:cs="Arial" w:eastAsia="Arial" w:hAnsi="Arial"/>
          <w:b/>
          <w:bCs/>
          <w:color w:val="111111"/>
          <w:sz w:val="26"/>
          <w:szCs w:val="26"/>
        </w:rPr>
        <w:t xml:space="preserve">Priorität 1 – Session-Pflicht (Produktkern, Divergenz Behörde/Kommission oder Datum im Bestand überholt)</w:t>
      </w:r>
    </w:p>
    <w:p>
      <w:pPr>
        <w:pStyle w:val="Heading3"/>
        <w:keepNext/>
        <w:spacing w:after="80" w:before="200"/>
      </w:pPr>
      <w:r>
        <w:rPr>
          <w:rFonts w:ascii="Arial" w:cs="Arial" w:eastAsia="Arial" w:hAnsi="Arial"/>
          <w:b/>
          <w:bCs/>
          <w:color w:val="004494"/>
          <w:sz w:val="22"/>
          <w:szCs w:val="22"/>
        </w:rPr>
        <w:t xml:space="preserve">P1.1 Versandaufkleber und Zusammenfügen der Versandverpackung – A30, A31, C21 (Anforderungen 7, 8)</w:t>
      </w:r>
    </w:p>
    <w:p>
      <w:pPr>
        <w:pStyle w:val="ListParagraph"/>
        <w:numPr>
          <w:ilvl w:val="0"/>
          <w:numId w:val="2"/>
        </w:numPr>
        <w:spacing w:after="30" w:before="30"/>
      </w:pPr>
      <w:r>
        <w:rPr>
          <w:rFonts w:ascii="Arial" w:cs="Arial" w:eastAsia="Arial" w:hAnsi="Arial"/>
          <w:b/>
          <w:bCs/>
          <w:sz w:val="19"/>
          <w:szCs w:val="19"/>
        </w:rPr>
        <w:t xml:space="preserve">Nutzerfragen: </w:t>
      </w:r>
      <w:r>
        <w:rPr>
          <w:rFonts w:ascii="Arial" w:cs="Arial" w:eastAsia="Arial" w:hAnsi="Arial"/>
          <w:sz w:val="19"/>
          <w:szCs w:val="19"/>
        </w:rPr>
        <w:t xml:space="preserve">A30 „Wir sind Onlinehändler und kleben auf fertig gekaufte Versandkartons nur unser Versandetikett. Im Sommer hieß es, damit würden wir zum Erzeuger. Stimmt das?“ – A31 „Wir kaufen Faltkartons flach ein, falten sie, kleben sie mit unserem Klebeband zu und füllen mit Luftpolsterfolie. Sind wir Erzeuger dieser Versandverpackung?“</w:t>
      </w:r>
    </w:p>
    <w:p>
      <w:pPr>
        <w:pStyle w:val="ListParagraph"/>
        <w:numPr>
          <w:ilvl w:val="0"/>
          <w:numId w:val="2"/>
        </w:numPr>
        <w:spacing w:after="30" w:before="30"/>
      </w:pPr>
      <w:r>
        <w:rPr>
          <w:rFonts w:ascii="Arial" w:cs="Arial" w:eastAsia="Arial" w:hAnsi="Arial"/>
          <w:b/>
          <w:bCs/>
          <w:sz w:val="19"/>
          <w:szCs w:val="19"/>
        </w:rPr>
        <w:t xml:space="preserve">Stand: </w:t>
      </w:r>
      <w:r>
        <w:rPr>
          <w:rFonts w:ascii="Arial" w:cs="Arial" w:eastAsia="Arial" w:hAnsi="Arial"/>
          <w:sz w:val="19"/>
          <w:szCs w:val="19"/>
        </w:rPr>
        <w:t xml:space="preserve">Kommissions-FAQ 2. Ed. (03.08.2026) Kap. II FAQ 5–7 [UA]: Versandaufkleber ist kein Branding; Erzeuger (manufacturer) der Transportverpackung ist, wer die leere Verpackung in ihre endgültige Form bringt, mehrere Erzeuger je Sendung möglich. Seit 19.10.2026 zusätzlich der DG-ENV-Leitfaden „PPWR and small businesses“ (KH-01-26-088-EN-N, liegt bei) [UA]: Fn. 6 „sticker on the box for shipment purposes is not considered to be branding“; wer neutrale Kartons, Klebeband, Paletten ohne eigene Marke nutzt, ist nicht Erzeuger, Erzeuger ist der physische Hersteller/Lieferant. Dagegen ZSVR-Themenseite „Versand- und Onlinehandel“ [BI]: Fall B.2 (Zusammenfügen beim Händler) → Erzeuger; Fall B.3 (Hinzufügen zu fertiger Verpackung) → Erzeuger nur bei Einfluss auf die Recyclingfähigkeit (Art. 21); Versandetikett nicht eigens behandelt. Schriftliche ZSVR-Stellungnahme zum Etikett bis 30.10.2026 nicht auffindbar (!).</w:t>
      </w:r>
    </w:p>
    <w:p>
      <w:pPr>
        <w:pStyle w:val="ListParagraph"/>
        <w:numPr>
          <w:ilvl w:val="0"/>
          <w:numId w:val="2"/>
        </w:numPr>
        <w:spacing w:after="30" w:before="30"/>
      </w:pPr>
      <w:r>
        <w:rPr>
          <w:rFonts w:ascii="Arial" w:cs="Arial" w:eastAsia="Arial" w:hAnsi="Arial"/>
          <w:b/>
          <w:bCs/>
          <w:sz w:val="19"/>
          <w:szCs w:val="19"/>
        </w:rPr>
        <w:t xml:space="preserve">Fragen an die Kanzlei: </w:t>
      </w:r>
      <w:r>
        <w:rPr>
          <w:rFonts w:ascii="Arial" w:cs="Arial" w:eastAsia="Arial" w:hAnsi="Arial"/>
          <w:sz w:val="19"/>
          <w:szCs w:val="19"/>
        </w:rPr>
        <w:t xml:space="preserve">(1) Welche Lesart spielt der Radar für den deutschen Markt aus: Kommission (Etikett unschädlich, Faltkarton-Hersteller bleibt Erzeuger) oder ZSVR (Zusammenfügen macht zum Erzeuger)? (2) Ist die ZSVR-Lesart auf die Systembeteiligung (Hersteller/producer nach VerpackDG) beschränkt, oder reklamiert sie auch die Erzeugerrolle (manufacturer, Konformität) für sich? (3) Kann das Flag an Regel B1 der Rollen-Engine aufgelöst werden, und wie ist Regel A5 zu fassen?</w:t>
      </w:r>
    </w:p>
    <w:p>
      <w:pPr>
        <w:pStyle w:val="ListParagraph"/>
        <w:numPr>
          <w:ilvl w:val="0"/>
          <w:numId w:val="2"/>
        </w:numPr>
        <w:spacing w:after="30" w:before="30"/>
      </w:pPr>
      <w:r>
        <w:rPr>
          <w:rFonts w:ascii="Arial" w:cs="Arial" w:eastAsia="Arial" w:hAnsi="Arial"/>
          <w:b/>
          <w:bCs/>
          <w:sz w:val="19"/>
          <w:szCs w:val="19"/>
        </w:rPr>
        <w:t xml:space="preserve">Fundstellen: </w:t>
      </w:r>
      <w:r>
        <w:rPr>
          <w:rFonts w:ascii="Arial" w:cs="Arial" w:eastAsia="Arial" w:hAnsi="Arial"/>
          <w:sz w:val="19"/>
          <w:szCs w:val="19"/>
        </w:rPr>
        <w:t xml:space="preserve">Art. 3 Abs. 1 Nr. 13 und Nr. 15 lit. a PPWR; Art. 21 PPWR; § 3, § 7 VerpackDG. Verbindlichkeit beider Quellen: unverbindlich.</w:t>
      </w:r>
    </w:p>
    <w:p>
      <w:pPr>
        <w:pStyle w:val="Heading3"/>
        <w:keepNext/>
        <w:spacing w:after="80" w:before="200"/>
      </w:pPr>
      <w:r>
        <w:rPr>
          <w:rFonts w:ascii="Arial" w:cs="Arial" w:eastAsia="Arial" w:hAnsi="Arial"/>
          <w:b/>
          <w:bCs/>
          <w:color w:val="004494"/>
          <w:sz w:val="22"/>
          <w:szCs w:val="22"/>
        </w:rPr>
        <w:t xml:space="preserve">P1.2 Musterfall Verpackungsebene Verlag/Versandhändler – A36 (Anforderungen 6, 7, 18, 31, 32, 38)</w:t>
      </w:r>
    </w:p>
    <w:p>
      <w:pPr>
        <w:pStyle w:val="ListParagraph"/>
        <w:numPr>
          <w:ilvl w:val="0"/>
          <w:numId w:val="2"/>
        </w:numPr>
        <w:spacing w:after="30" w:before="30"/>
      </w:pPr>
      <w:r>
        <w:rPr>
          <w:rFonts w:ascii="Arial" w:cs="Arial" w:eastAsia="Arial" w:hAnsi="Arial"/>
          <w:b/>
          <w:bCs/>
          <w:sz w:val="19"/>
          <w:szCs w:val="19"/>
        </w:rPr>
        <w:t xml:space="preserve">Nutzerfrage: </w:t>
      </w:r>
      <w:r>
        <w:rPr>
          <w:rFonts w:ascii="Arial" w:cs="Arial" w:eastAsia="Arial" w:hAnsi="Arial"/>
          <w:sz w:val="19"/>
          <w:szCs w:val="19"/>
        </w:rPr>
        <w:t xml:space="preserve">„Wir sind ein Verlag und verschicken Zeitschriften und Bücher an Leser, teils in Folie eingeschweißt, teils im Umschlag oder Buchkarton. Betrifft uns die PPWR, und was müssen wir für welche Verpackung tun?“</w:t>
      </w:r>
    </w:p>
    <w:p>
      <w:pPr>
        <w:pStyle w:val="ListParagraph"/>
        <w:numPr>
          <w:ilvl w:val="0"/>
          <w:numId w:val="2"/>
        </w:numPr>
        <w:spacing w:after="30" w:before="30"/>
      </w:pPr>
      <w:r>
        <w:rPr>
          <w:rFonts w:ascii="Arial" w:cs="Arial" w:eastAsia="Arial" w:hAnsi="Arial"/>
          <w:b/>
          <w:bCs/>
          <w:sz w:val="19"/>
          <w:szCs w:val="19"/>
        </w:rPr>
        <w:t xml:space="preserve">Stand: </w:t>
      </w:r>
      <w:r>
        <w:rPr>
          <w:rFonts w:ascii="Arial" w:cs="Arial" w:eastAsia="Arial" w:hAnsi="Arial"/>
          <w:sz w:val="19"/>
          <w:szCs w:val="19"/>
        </w:rPr>
        <w:t xml:space="preserve">Beruht auf der ZSVR-Unterscheidung formstabil/flexibel und der FAQ 2. Ed.; nutzt die Regeln D1–D5 der Rollen-Engine (Ebene Verpackungseinheit, Teil B.2). Divergenz aus P1.1 und die Lohnfertigungs-Zuordnung (A02) sind hier eingebaut. Antwort 2.016 Zeichen, über dem Zielkorridor 900–1.600.</w:t>
      </w:r>
    </w:p>
    <w:p>
      <w:pPr>
        <w:pStyle w:val="ListParagraph"/>
        <w:numPr>
          <w:ilvl w:val="0"/>
          <w:numId w:val="2"/>
        </w:numPr>
        <w:spacing w:after="30" w:before="30"/>
      </w:pPr>
      <w:r>
        <w:rPr>
          <w:rFonts w:ascii="Arial" w:cs="Arial" w:eastAsia="Arial" w:hAnsi="Arial"/>
          <w:b/>
          <w:bCs/>
          <w:sz w:val="19"/>
          <w:szCs w:val="19"/>
        </w:rPr>
        <w:t xml:space="preserve">Fragen: </w:t>
      </w:r>
      <w:r>
        <w:rPr>
          <w:rFonts w:ascii="Arial" w:cs="Arial" w:eastAsia="Arial" w:hAnsi="Arial"/>
          <w:sz w:val="19"/>
          <w:szCs w:val="19"/>
        </w:rPr>
        <w:t xml:space="preserve">Trägt die Zuordnung je Verpackung (Folie: Folienhersteller Erzeuger; Umschlag/Karton je nach Branding; Systembeteiligung beim Verlag als Hersteller)? Regeln D1–D5 gemeinsam prüfen. Kürzung auf 1.600 Zeichen freigeben.</w:t>
      </w:r>
    </w:p>
    <w:p>
      <w:pPr>
        <w:pStyle w:val="ListParagraph"/>
        <w:numPr>
          <w:ilvl w:val="0"/>
          <w:numId w:val="2"/>
        </w:numPr>
        <w:spacing w:after="30" w:before="30"/>
      </w:pPr>
      <w:r>
        <w:rPr>
          <w:rFonts w:ascii="Arial" w:cs="Arial" w:eastAsia="Arial" w:hAnsi="Arial"/>
          <w:b/>
          <w:bCs/>
          <w:sz w:val="19"/>
          <w:szCs w:val="19"/>
        </w:rPr>
        <w:t xml:space="preserve">Fundstellen: </w:t>
      </w:r>
      <w:r>
        <w:rPr>
          <w:rFonts w:ascii="Arial" w:cs="Arial" w:eastAsia="Arial" w:hAnsi="Arial"/>
          <w:sz w:val="19"/>
          <w:szCs w:val="19"/>
        </w:rPr>
        <w:t xml:space="preserve">Art. 3 Abs. 1 Nr. 1, 13, 15 lit. a, 18 PPWR; Art. 15 Abs. 2, 19, 24 PPWR; §§ 6, 7, 13 Abs. 3, 68 Abs. 2 VerpackDG; ZSVR-Katalog Allgemeiner Teil 08/2026 [BI].</w:t>
      </w:r>
    </w:p>
    <w:p>
      <w:pPr>
        <w:pStyle w:val="Heading3"/>
        <w:keepNext/>
        <w:spacing w:after="80" w:before="200"/>
      </w:pPr>
      <w:r>
        <w:rPr>
          <w:rFonts w:ascii="Arial" w:cs="Arial" w:eastAsia="Arial" w:hAnsi="Arial"/>
          <w:b/>
          <w:bCs/>
          <w:color w:val="004494"/>
          <w:sz w:val="22"/>
          <w:szCs w:val="22"/>
        </w:rPr>
        <w:t xml:space="preserve">P1.3 Lohnabfüllung und Stretchfolie/Paletten aus dem Ausland – A02, A23 (Anforderung 8)</w:t>
      </w:r>
    </w:p>
    <w:p>
      <w:pPr>
        <w:pStyle w:val="ListParagraph"/>
        <w:numPr>
          <w:ilvl w:val="0"/>
          <w:numId w:val="2"/>
        </w:numPr>
        <w:spacing w:after="30" w:before="30"/>
      </w:pPr>
      <w:r>
        <w:rPr>
          <w:rFonts w:ascii="Arial" w:cs="Arial" w:eastAsia="Arial" w:hAnsi="Arial"/>
          <w:b/>
          <w:bCs/>
          <w:sz w:val="19"/>
          <w:szCs w:val="19"/>
        </w:rPr>
        <w:t xml:space="preserve">Stand: </w:t>
      </w:r>
      <w:r>
        <w:rPr>
          <w:rFonts w:ascii="Arial" w:cs="Arial" w:eastAsia="Arial" w:hAnsi="Arial"/>
          <w:sz w:val="19"/>
          <w:szCs w:val="19"/>
        </w:rPr>
        <w:t xml:space="preserve">A02 trägt das Flag „Lohnfertigungs-Zuordnung in Session bestätigen“; A23 trägt „U4: Session-Pflicht, bis dahin nicht ausspielen“ und wurde am 17.10.2026 um die FAQ-Aussage ergänzt, dass bei Stretchfolie der Folienhersteller Erzeuger ist. A29 verweist auf den Abgleich mit der EUNR-Lesart (EUNR-Papier nur Sekundärquelle).</w:t>
      </w:r>
    </w:p>
    <w:p>
      <w:pPr>
        <w:pStyle w:val="ListParagraph"/>
        <w:numPr>
          <w:ilvl w:val="0"/>
          <w:numId w:val="2"/>
        </w:numPr>
        <w:spacing w:after="30" w:before="30"/>
      </w:pPr>
      <w:r>
        <w:rPr>
          <w:rFonts w:ascii="Arial" w:cs="Arial" w:eastAsia="Arial" w:hAnsi="Arial"/>
          <w:b/>
          <w:bCs/>
          <w:sz w:val="19"/>
          <w:szCs w:val="19"/>
        </w:rPr>
        <w:t xml:space="preserve">Fragen: </w:t>
      </w:r>
      <w:r>
        <w:rPr>
          <w:rFonts w:ascii="Arial" w:cs="Arial" w:eastAsia="Arial" w:hAnsi="Arial"/>
          <w:sz w:val="19"/>
          <w:szCs w:val="19"/>
        </w:rPr>
        <w:t xml:space="preserve">(1) Lohnabfüller vs. Auftraggeber: Wer ist Erzeuger (manufacturer) und wer Hersteller (producer) bei Abfüllung unter Marke des Auftraggebers? (2) Bei Paletten und Stretchfolie aus NL: Importeur-/Vertreiberrolle des deutschen Empfängers und Systembeteiligung? (3) A23 freigeben oder weiter sperren?</w:t>
      </w:r>
    </w:p>
    <w:p>
      <w:pPr>
        <w:pStyle w:val="ListParagraph"/>
        <w:numPr>
          <w:ilvl w:val="0"/>
          <w:numId w:val="2"/>
        </w:numPr>
        <w:spacing w:after="30" w:before="30"/>
      </w:pPr>
      <w:r>
        <w:rPr>
          <w:rFonts w:ascii="Arial" w:cs="Arial" w:eastAsia="Arial" w:hAnsi="Arial"/>
          <w:b/>
          <w:bCs/>
          <w:sz w:val="19"/>
          <w:szCs w:val="19"/>
        </w:rPr>
        <w:t xml:space="preserve">Fundstellen: </w:t>
      </w:r>
      <w:r>
        <w:rPr>
          <w:rFonts w:ascii="Arial" w:cs="Arial" w:eastAsia="Arial" w:hAnsi="Arial"/>
          <w:sz w:val="19"/>
          <w:szCs w:val="19"/>
        </w:rPr>
        <w:t xml:space="preserve">Art. 3 Abs. 1 Nr. 13, 15 PPWR; Art. 16, 19 PPWR; § 3 VerpackDG.</w:t>
      </w:r>
    </w:p>
    <w:p>
      <w:pPr>
        <w:pStyle w:val="Heading3"/>
        <w:keepNext/>
        <w:spacing w:after="80" w:before="200"/>
      </w:pPr>
      <w:r>
        <w:rPr>
          <w:rFonts w:ascii="Arial" w:cs="Arial" w:eastAsia="Arial" w:hAnsi="Arial"/>
          <w:b/>
          <w:bCs/>
          <w:color w:val="004494"/>
          <w:sz w:val="22"/>
          <w:szCs w:val="22"/>
        </w:rPr>
        <w:t xml:space="preserve">P1.4 Lagerware von vor dem 12.08.2026 – C15, C21 Aussage 4 gegen Anforderung 10 und C01</w:t>
      </w:r>
    </w:p>
    <w:p>
      <w:pPr>
        <w:pStyle w:val="ListParagraph"/>
        <w:numPr>
          <w:ilvl w:val="0"/>
          <w:numId w:val="2"/>
        </w:numPr>
        <w:spacing w:after="30" w:before="30"/>
      </w:pPr>
      <w:r>
        <w:rPr>
          <w:rFonts w:ascii="Arial" w:cs="Arial" w:eastAsia="Arial" w:hAnsi="Arial"/>
          <w:b/>
          <w:bCs/>
          <w:sz w:val="19"/>
          <w:szCs w:val="19"/>
        </w:rPr>
        <w:t xml:space="preserve">Nutzerfrage: </w:t>
      </w:r>
      <w:r>
        <w:rPr>
          <w:rFonts w:ascii="Arial" w:cs="Arial" w:eastAsia="Arial" w:hAnsi="Arial"/>
          <w:sz w:val="19"/>
          <w:szCs w:val="19"/>
        </w:rPr>
        <w:t xml:space="preserve">„Wir haben Verpackungen im Lager, die vor dem 12. August produziert wurden, aber noch nicht verkauft sind. Müssen wir die jetzt alle mit Erzeugerangaben nachkennzeichnen?“</w:t>
      </w:r>
    </w:p>
    <w:p>
      <w:pPr>
        <w:pStyle w:val="ListParagraph"/>
        <w:numPr>
          <w:ilvl w:val="0"/>
          <w:numId w:val="2"/>
        </w:numPr>
        <w:spacing w:after="30" w:before="30"/>
      </w:pPr>
      <w:r>
        <w:rPr>
          <w:rFonts w:ascii="Arial" w:cs="Arial" w:eastAsia="Arial" w:hAnsi="Arial"/>
          <w:b/>
          <w:bCs/>
          <w:sz w:val="19"/>
          <w:szCs w:val="19"/>
        </w:rPr>
        <w:t xml:space="preserve">Stand: </w:t>
      </w:r>
      <w:r>
        <w:rPr>
          <w:rFonts w:ascii="Arial" w:cs="Arial" w:eastAsia="Arial" w:hAnsi="Arial"/>
          <w:sz w:val="19"/>
          <w:szCs w:val="19"/>
        </w:rPr>
        <w:t xml:space="preserve">Unsere Lesart in Anforderung 10 und C01: kein Abverkaufsprivileg, Inverkehrbringen nach dem 12.08.2026 unterliegt der PPWR (Art. 3 Abs. 1 Nr. 10, 11). FAQ 2. Ed. Kap. X FAQ 5 und KMU-Leitfaden [UA]: keine Umetikettierung, keine Vernichtung, Angaben nach Art. 15 Abs. 5 und 6 per Begleitdokument oder digital.</w:t>
      </w:r>
    </w:p>
    <w:p>
      <w:pPr>
        <w:pStyle w:val="ListParagraph"/>
        <w:numPr>
          <w:ilvl w:val="0"/>
          <w:numId w:val="2"/>
        </w:numPr>
        <w:spacing w:after="30" w:before="30"/>
      </w:pPr>
      <w:r>
        <w:rPr>
          <w:rFonts w:ascii="Arial" w:cs="Arial" w:eastAsia="Arial" w:hAnsi="Arial"/>
          <w:b/>
          <w:bCs/>
          <w:sz w:val="19"/>
          <w:szCs w:val="19"/>
        </w:rPr>
        <w:t xml:space="preserve">Fragen: </w:t>
      </w:r>
      <w:r>
        <w:rPr>
          <w:rFonts w:ascii="Arial" w:cs="Arial" w:eastAsia="Arial" w:hAnsi="Arial"/>
          <w:sz w:val="19"/>
          <w:szCs w:val="19"/>
        </w:rPr>
        <w:t xml:space="preserve">Ist die pragmatische Kommissionslinie für Deutschland tragfähig (Marktüberwachung nach § 63 ff. VerpackDG, § 68 Abs. 17)? Wie formulieren wir Anforderung 10 um, ohne eine Konformitätszusage zu geben?</w:t>
      </w:r>
    </w:p>
    <w:p>
      <w:pPr>
        <w:pStyle w:val="ListParagraph"/>
        <w:numPr>
          <w:ilvl w:val="0"/>
          <w:numId w:val="2"/>
        </w:numPr>
        <w:spacing w:after="30" w:before="30"/>
      </w:pPr>
      <w:r>
        <w:rPr>
          <w:rFonts w:ascii="Arial" w:cs="Arial" w:eastAsia="Arial" w:hAnsi="Arial"/>
          <w:b/>
          <w:bCs/>
          <w:sz w:val="19"/>
          <w:szCs w:val="19"/>
        </w:rPr>
        <w:t xml:space="preserve">Fundstellen: </w:t>
      </w:r>
      <w:r>
        <w:rPr>
          <w:rFonts w:ascii="Arial" w:cs="Arial" w:eastAsia="Arial" w:hAnsi="Arial"/>
          <w:sz w:val="19"/>
          <w:szCs w:val="19"/>
        </w:rPr>
        <w:t xml:space="preserve">Art. 3 Abs. 1 Nr. 10, 11; Art. 15 Abs. 5, 6 PPWR; § 68 Abs. 17 VerpackDG.</w:t>
      </w:r>
    </w:p>
    <w:p>
      <w:pPr>
        <w:pStyle w:val="Heading3"/>
        <w:keepNext/>
        <w:spacing w:after="80" w:before="200"/>
      </w:pPr>
      <w:r>
        <w:rPr>
          <w:rFonts w:ascii="Arial" w:cs="Arial" w:eastAsia="Arial" w:hAnsi="Arial"/>
          <w:b/>
          <w:bCs/>
          <w:color w:val="004494"/>
          <w:sz w:val="22"/>
          <w:szCs w:val="22"/>
        </w:rPr>
        <w:t xml:space="preserve">P1.5 Bevollmächtigter nach Art. 45 Abs. 3 – A35 (Watch-Item), A28, Anforderung 9, Regeln B3 und C6</w:t>
      </w:r>
    </w:p>
    <w:p>
      <w:pPr>
        <w:pStyle w:val="ListParagraph"/>
        <w:numPr>
          <w:ilvl w:val="0"/>
          <w:numId w:val="2"/>
        </w:numPr>
        <w:spacing w:after="30" w:before="30"/>
      </w:pPr>
      <w:r>
        <w:rPr>
          <w:rFonts w:ascii="Arial" w:cs="Arial" w:eastAsia="Arial" w:hAnsi="Arial"/>
          <w:b/>
          <w:bCs/>
          <w:sz w:val="19"/>
          <w:szCs w:val="19"/>
        </w:rPr>
        <w:t xml:space="preserve">Nutzerfrage: </w:t>
      </w:r>
      <w:r>
        <w:rPr>
          <w:rFonts w:ascii="Arial" w:cs="Arial" w:eastAsia="Arial" w:hAnsi="Arial"/>
          <w:sz w:val="19"/>
          <w:szCs w:val="19"/>
        </w:rPr>
        <w:t xml:space="preserve">„Es heißt, die Pflicht zum Bevollmächtigten für ausländische Online-Händler werde wieder gekippt. Müssen wir jetzt überhaupt noch einen benennen?“</w:t>
      </w:r>
    </w:p>
    <w:p>
      <w:pPr>
        <w:pStyle w:val="ListParagraph"/>
        <w:numPr>
          <w:ilvl w:val="0"/>
          <w:numId w:val="2"/>
        </w:numPr>
        <w:spacing w:after="30" w:before="30"/>
      </w:pPr>
      <w:r>
        <w:rPr>
          <w:rFonts w:ascii="Arial" w:cs="Arial" w:eastAsia="Arial" w:hAnsi="Arial"/>
          <w:b/>
          <w:bCs/>
          <w:sz w:val="19"/>
          <w:szCs w:val="19"/>
        </w:rPr>
        <w:t xml:space="preserve">Stand (30.10.2026): </w:t>
      </w:r>
      <w:r>
        <w:rPr>
          <w:rFonts w:ascii="Arial" w:cs="Arial" w:eastAsia="Arial" w:hAnsi="Arial"/>
          <w:sz w:val="19"/>
          <w:szCs w:val="19"/>
        </w:rPr>
        <w:t xml:space="preserve">Rechtslage unverändert, Pflicht seit 12.08.2026 [RN]. Verfahren 2025/0395(COD) [VF]: Kommissionsvorschlag COM(2025) 982 = Vollaussetzung bis 01.01.2035; EP-Position 20.10.2026 (T10-0345/2026, 616:9:39) = nur EU-Kleinst-/Kleinunternehmen (unter 50 Beschäftigte, unter 10 Mio. Euro Umsatz oder Bilanzsumme) bis 2035 oder Circular Economy Act; Ratsmandat 21.10.2026 (PM 841/26) = EU-Hersteller unter 1 t Verpackung je Kalenderjahr im jeweiligen Mitgliedstaat, Schutzklausel, Überprüfung bis 31.12.2030, Auslaufen 2032 (!); Trilog folgt. Kommission bittet Mitgliedstaaten, bis zur Entscheidung auf Sanktionen zu verzichten (politische Aussage). ZSVR: „Eine Befreiung von dieser Pflicht ist nicht möglich“ [BI]. Die Antwort A35 wurde am 30.10.2026 konsolidiert (Kommission = Vollaussetzung, EP = Größenkriterium, Rat = Mengenkriterium); Teil B.1 zeigt den aktuellen Wortlaut.</w:t>
      </w:r>
    </w:p>
    <w:p>
      <w:pPr>
        <w:pStyle w:val="ListParagraph"/>
        <w:numPr>
          <w:ilvl w:val="0"/>
          <w:numId w:val="2"/>
        </w:numPr>
        <w:spacing w:after="30" w:before="30"/>
      </w:pPr>
      <w:r>
        <w:rPr>
          <w:rFonts w:ascii="Arial" w:cs="Arial" w:eastAsia="Arial" w:hAnsi="Arial"/>
          <w:b/>
          <w:bCs/>
          <w:sz w:val="19"/>
          <w:szCs w:val="19"/>
        </w:rPr>
        <w:t xml:space="preserve">Fragen: </w:t>
      </w:r>
      <w:r>
        <w:rPr>
          <w:rFonts w:ascii="Arial" w:cs="Arial" w:eastAsia="Arial" w:hAnsi="Arial"/>
          <w:sz w:val="19"/>
          <w:szCs w:val="19"/>
        </w:rPr>
        <w:t xml:space="preserve">(1) Freigabe der Kernaussage „Pflicht gilt, Verzicht ist ein bewusstes Risiko“ und des Hinweises auf den Kommissions-Appell? (2) A28: Die Aussage „Bevollmächtigter kann nur eine unternehmensexterne Person sein“ ist nur als ZSVR-Information belegt – gibt es eine Norm-Fundstelle (§ 5 VerpackDG, Art. 45 Abs. 3 PPWR)? Normzitat für die Wirksamkeit mit LUCID-Bestätigung (§ 5 Abs. 4–6 VerpackDG?) (!). (3) Regeln B3 und C6 der Rollen-Engine.</w:t>
      </w:r>
    </w:p>
    <w:p>
      <w:pPr>
        <w:pStyle w:val="ListParagraph"/>
        <w:numPr>
          <w:ilvl w:val="0"/>
          <w:numId w:val="2"/>
        </w:numPr>
        <w:spacing w:after="30" w:before="30"/>
      </w:pPr>
      <w:r>
        <w:rPr>
          <w:rFonts w:ascii="Arial" w:cs="Arial" w:eastAsia="Arial" w:hAnsi="Arial"/>
          <w:b/>
          <w:bCs/>
          <w:sz w:val="19"/>
          <w:szCs w:val="19"/>
        </w:rPr>
        <w:t xml:space="preserve">Fundstellen: </w:t>
      </w:r>
      <w:r>
        <w:rPr>
          <w:rFonts w:ascii="Arial" w:cs="Arial" w:eastAsia="Arial" w:hAnsi="Arial"/>
          <w:sz w:val="19"/>
          <w:szCs w:val="19"/>
        </w:rPr>
        <w:t xml:space="preserve">Art. 45 Abs. 3 PPWR; § 5 Abs. 2 VerpackDG; A10-0266/2026; T10-0345/2026; Rat PM 841/26.</w:t>
      </w:r>
    </w:p>
    <w:p>
      <w:pPr>
        <w:pStyle w:val="Heading3"/>
        <w:keepNext/>
        <w:spacing w:after="80" w:before="200"/>
      </w:pPr>
      <w:r>
        <w:rPr>
          <w:rFonts w:ascii="Arial" w:cs="Arial" w:eastAsia="Arial" w:hAnsi="Arial"/>
          <w:b/>
          <w:bCs/>
          <w:color w:val="004494"/>
          <w:sz w:val="22"/>
          <w:szCs w:val="22"/>
        </w:rPr>
        <w:t xml:space="preserve">P1.6 Kennzeichnungstermine als Mindestdaten – C14, Anforderungen 19, 20, 21, Anforderung 22/V9</w:t>
      </w:r>
    </w:p>
    <w:p>
      <w:pPr>
        <w:pStyle w:val="ListParagraph"/>
        <w:numPr>
          <w:ilvl w:val="0"/>
          <w:numId w:val="2"/>
        </w:numPr>
        <w:spacing w:after="30" w:before="30"/>
      </w:pPr>
      <w:r>
        <w:rPr>
          <w:rFonts w:ascii="Arial" w:cs="Arial" w:eastAsia="Arial" w:hAnsi="Arial"/>
          <w:b/>
          <w:bCs/>
          <w:sz w:val="19"/>
          <w:szCs w:val="19"/>
        </w:rPr>
        <w:t xml:space="preserve">Nutzerfrage: </w:t>
      </w:r>
      <w:r>
        <w:rPr>
          <w:rFonts w:ascii="Arial" w:cs="Arial" w:eastAsia="Arial" w:hAnsi="Arial"/>
          <w:sz w:val="19"/>
          <w:szCs w:val="19"/>
        </w:rPr>
        <w:t xml:space="preserve">„Wir planen unsere Verpackungsdrucke für 2028. Steht das harmonisierte Sortierlabel wirklich zum 12.08.2028 fest?“</w:t>
      </w:r>
    </w:p>
    <w:p>
      <w:pPr>
        <w:pStyle w:val="ListParagraph"/>
        <w:numPr>
          <w:ilvl w:val="0"/>
          <w:numId w:val="2"/>
        </w:numPr>
        <w:spacing w:after="30" w:before="30"/>
      </w:pPr>
      <w:r>
        <w:rPr>
          <w:rFonts w:ascii="Arial" w:cs="Arial" w:eastAsia="Arial" w:hAnsi="Arial"/>
          <w:b/>
          <w:bCs/>
          <w:sz w:val="19"/>
          <w:szCs w:val="19"/>
        </w:rPr>
        <w:t xml:space="preserve">Stand: </w:t>
      </w:r>
      <w:r>
        <w:rPr>
          <w:rFonts w:ascii="Arial" w:cs="Arial" w:eastAsia="Arial" w:hAnsi="Arial"/>
          <w:sz w:val="19"/>
          <w:szCs w:val="19"/>
        </w:rPr>
        <w:t xml:space="preserve">Durchführungsakt nach Art. 12 Abs. 6 / Art. 13 Abs. 2 hat die Frist 12.08.2026 verfehlt; Have-your-say 19243 nennt seit Oktober 2026 als Annahme Q2 2027 (Durchführungsbeschluss, kein Entwurf) [VF]. Unsere Berechnung über „je nachdem, welcher Zeitpunkt der spätere ist“: Pflicht frühestens Mitte 2029 (Sortierlabel, freiwillige Labels) bzw. Ende 2029/Anfang 2030 (Mehrweg) (!). Irreführungsverbot Art. 12 Abs. 8 gilt seit 12.08.2026.</w:t>
      </w:r>
    </w:p>
    <w:p>
      <w:pPr>
        <w:pStyle w:val="ListParagraph"/>
        <w:numPr>
          <w:ilvl w:val="0"/>
          <w:numId w:val="2"/>
        </w:numPr>
        <w:spacing w:after="30" w:before="30"/>
      </w:pPr>
      <w:r>
        <w:rPr>
          <w:rFonts w:ascii="Arial" w:cs="Arial" w:eastAsia="Arial" w:hAnsi="Arial"/>
          <w:b/>
          <w:bCs/>
          <w:sz w:val="19"/>
          <w:szCs w:val="19"/>
        </w:rPr>
        <w:t xml:space="preserve">Fragen: </w:t>
      </w:r>
      <w:r>
        <w:rPr>
          <w:rFonts w:ascii="Arial" w:cs="Arial" w:eastAsia="Arial" w:hAnsi="Arial"/>
          <w:sz w:val="19"/>
          <w:szCs w:val="19"/>
        </w:rPr>
        <w:t xml:space="preserve">(1) Bestätigung der Berechnung und der Formulierung „Mindestdatum“. (2) Exakte Wortlaute Art. 12 Abs. 1, 2, 4 und Art. 13 Abs. 1 am Volltext pinnen. (3) Art. 12 Abs. 9 (Kennzeichnung der Systembeteiligung ab 12.02.2027 nur über QR/digital): Was bedeutet das für den Grünen Punkt und für Anforderung 22 (derzeit gesperrt, V9)?</w:t>
      </w:r>
    </w:p>
    <w:p>
      <w:pPr>
        <w:pStyle w:val="ListParagraph"/>
        <w:numPr>
          <w:ilvl w:val="0"/>
          <w:numId w:val="2"/>
        </w:numPr>
        <w:spacing w:after="30" w:before="30"/>
      </w:pPr>
      <w:r>
        <w:rPr>
          <w:rFonts w:ascii="Arial" w:cs="Arial" w:eastAsia="Arial" w:hAnsi="Arial"/>
          <w:b/>
          <w:bCs/>
          <w:sz w:val="19"/>
          <w:szCs w:val="19"/>
        </w:rPr>
        <w:t xml:space="preserve">Fundstellen: </w:t>
      </w:r>
      <w:r>
        <w:rPr>
          <w:rFonts w:ascii="Arial" w:cs="Arial" w:eastAsia="Arial" w:hAnsi="Arial"/>
          <w:sz w:val="19"/>
          <w:szCs w:val="19"/>
        </w:rPr>
        <w:t xml:space="preserve">Art. 12 Abs. 1, 2, 4, 6, 7, 8, 9; Art. 13 Abs. 1, 2 PPWR.</w:t>
      </w:r>
    </w:p>
    <w:p>
      <w:pPr>
        <w:pStyle w:val="Heading3"/>
        <w:keepNext/>
        <w:spacing w:after="80" w:before="200"/>
      </w:pPr>
      <w:r>
        <w:rPr>
          <w:rFonts w:ascii="Arial" w:cs="Arial" w:eastAsia="Arial" w:hAnsi="Arial"/>
          <w:b/>
          <w:bCs/>
          <w:color w:val="004494"/>
          <w:sz w:val="22"/>
          <w:szCs w:val="22"/>
        </w:rPr>
        <w:t xml:space="preserve">P1.7 Konformitätserklärung: Umfang, Ebene Verpackungseinheit, Delegation – C16, C21 Aussage 3, C03, C09 (Anforderungen 4, 5, 6, 37)</w:t>
      </w:r>
    </w:p>
    <w:p>
      <w:pPr>
        <w:pStyle w:val="ListParagraph"/>
        <w:numPr>
          <w:ilvl w:val="0"/>
          <w:numId w:val="2"/>
        </w:numPr>
        <w:spacing w:after="30" w:before="30"/>
      </w:pPr>
      <w:r>
        <w:rPr>
          <w:rFonts w:ascii="Arial" w:cs="Arial" w:eastAsia="Arial" w:hAnsi="Arial"/>
          <w:b/>
          <w:bCs/>
          <w:sz w:val="19"/>
          <w:szCs w:val="19"/>
        </w:rPr>
        <w:t xml:space="preserve">Nutzerfrage: </w:t>
      </w:r>
      <w:r>
        <w:rPr>
          <w:rFonts w:ascii="Arial" w:cs="Arial" w:eastAsia="Arial" w:hAnsi="Arial"/>
          <w:sz w:val="19"/>
          <w:szCs w:val="19"/>
        </w:rPr>
        <w:t xml:space="preserve">„Brauchen wir für jeden Karton, jede Folie und jedes Etikett eine eigene Konformitätserklärung? Und darf unser Bevollmächtigter die unterschreiben?“</w:t>
      </w:r>
    </w:p>
    <w:p>
      <w:pPr>
        <w:pStyle w:val="ListParagraph"/>
        <w:numPr>
          <w:ilvl w:val="0"/>
          <w:numId w:val="2"/>
        </w:numPr>
        <w:spacing w:after="30" w:before="30"/>
      </w:pPr>
      <w:r>
        <w:rPr>
          <w:rFonts w:ascii="Arial" w:cs="Arial" w:eastAsia="Arial" w:hAnsi="Arial"/>
          <w:b/>
          <w:bCs/>
          <w:sz w:val="19"/>
          <w:szCs w:val="19"/>
        </w:rPr>
        <w:t xml:space="preserve">Stand: </w:t>
      </w:r>
      <w:r>
        <w:rPr>
          <w:rFonts w:ascii="Arial" w:cs="Arial" w:eastAsia="Arial" w:hAnsi="Arial"/>
          <w:sz w:val="19"/>
          <w:szCs w:val="19"/>
        </w:rPr>
        <w:t xml:space="preserve">FAQ 2. Ed. Kap. XV FAQ 5/8/14, Kap. X FAQ 9 [UA]: eine DoC je Verpackungseinheit möglich; technische Dokumentation nicht delegierbar; DoC durch Bevollmächtigten nach Art. 17 mit Mandat. KMU-Leitfaden [UA]: DoC muss „derzeit nur“ Art. 5 (Schwermetalle, PFAS) abdecken (!). § 62 VerpackDG: Deutsch oder Englisch.</w:t>
      </w:r>
    </w:p>
    <w:p>
      <w:pPr>
        <w:pStyle w:val="ListParagraph"/>
        <w:numPr>
          <w:ilvl w:val="0"/>
          <w:numId w:val="2"/>
        </w:numPr>
        <w:spacing w:after="30" w:before="30"/>
      </w:pPr>
      <w:r>
        <w:rPr>
          <w:rFonts w:ascii="Arial" w:cs="Arial" w:eastAsia="Arial" w:hAnsi="Arial"/>
          <w:b/>
          <w:bCs/>
          <w:sz w:val="19"/>
          <w:szCs w:val="19"/>
        </w:rPr>
        <w:t xml:space="preserve">Fragen: </w:t>
      </w:r>
      <w:r>
        <w:rPr>
          <w:rFonts w:ascii="Arial" w:cs="Arial" w:eastAsia="Arial" w:hAnsi="Arial"/>
          <w:sz w:val="19"/>
          <w:szCs w:val="19"/>
        </w:rPr>
        <w:t xml:space="preserve">(1) Darf der Radar die Aussage „DoC derzeit nur Art. 5“ ausspielen, oder bleibt die Anhang-VIII-Struktur mit „nicht anwendbar“-Einträgen (unsere Empfehlung)? (2) „TD nicht delegierbar“ gegen Art. 17 Abs. 2 PPWR pinnen. (3) C03/C09: Absatz-Pins zu Art. 15 (V1) offen – welche Absätze tragen die Sprach- und Adressaussagen? (4) Relevanz für den Dokumenten-Generator: eine DoC je Verpackungseinheit als Default?</w:t>
      </w:r>
    </w:p>
    <w:p>
      <w:pPr>
        <w:pStyle w:val="ListParagraph"/>
        <w:numPr>
          <w:ilvl w:val="0"/>
          <w:numId w:val="2"/>
        </w:numPr>
        <w:spacing w:after="30" w:before="30"/>
      </w:pPr>
      <w:r>
        <w:rPr>
          <w:rFonts w:ascii="Arial" w:cs="Arial" w:eastAsia="Arial" w:hAnsi="Arial"/>
          <w:b/>
          <w:bCs/>
          <w:sz w:val="19"/>
          <w:szCs w:val="19"/>
        </w:rPr>
        <w:t xml:space="preserve">Fundstellen: </w:t>
      </w:r>
      <w:r>
        <w:rPr>
          <w:rFonts w:ascii="Arial" w:cs="Arial" w:eastAsia="Arial" w:hAnsi="Arial"/>
          <w:sz w:val="19"/>
          <w:szCs w:val="19"/>
        </w:rPr>
        <w:t xml:space="preserve">Art. 15 Abs. 3, 17, 18, 38, 39, Anhang VII und VIII PPWR; Art. 5 PPWR; § 62 VerpackDG.</w:t>
      </w:r>
    </w:p>
    <w:p>
      <w:pPr>
        <w:pStyle w:val="Heading2"/>
        <w:keepNext/>
        <w:spacing w:after="120" w:before="280"/>
      </w:pPr>
      <w:r>
        <w:rPr>
          <w:rFonts w:ascii="Arial" w:cs="Arial" w:eastAsia="Arial" w:hAnsi="Arial"/>
          <w:b/>
          <w:bCs/>
          <w:color w:val="111111"/>
          <w:sz w:val="26"/>
          <w:szCs w:val="26"/>
        </w:rPr>
        <w:t xml:space="preserve">Priorität 2 – vor Freigabe der betroffenen Datensätze klären</w:t>
      </w:r>
    </w:p>
    <w:p>
      <w:pPr>
        <w:pStyle w:val="Heading3"/>
        <w:keepNext/>
        <w:spacing w:after="80" w:before="200"/>
      </w:pPr>
      <w:r>
        <w:rPr>
          <w:rFonts w:ascii="Arial" w:cs="Arial" w:eastAsia="Arial" w:hAnsi="Arial"/>
          <w:b/>
          <w:bCs/>
          <w:color w:val="004494"/>
          <w:sz w:val="22"/>
          <w:szCs w:val="22"/>
        </w:rPr>
        <w:t xml:space="preserve">P2.1 Handels-Eigenmarke mit genanntem Abfüller – A32 (Anforderung 8)</w:t>
      </w:r>
    </w:p>
    <w:p>
      <w:pPr>
        <w:spacing w:after="100" w:before="60"/>
      </w:pPr>
      <w:r>
        <w:rPr>
          <w:rFonts w:ascii="Arial" w:cs="Arial" w:eastAsia="Arial" w:hAnsi="Arial"/>
          <w:sz w:val="19"/>
          <w:szCs w:val="19"/>
        </w:rPr>
        <w:t xml:space="preserve">Nutzerfrage: „Auf unserer Handelsmarke steht zusätzlich ‚hergestellt für … von Molkerei XY‘. Sind wir trotzdem Erzeuger der Verpackung?“ Stand: ZSVR-Meldung 12.08.2026 [BI]: Handelsunternehmen bei Eigenmarke Hersteller und in der Regel auch Erzeuger; Kommission FAQ Kap. II FAQ 6/7 [UA] mit Einzelfallvorbehalt bei Lizenzmodellen. Frage: Trägt „in der Regel“ als Default, und wie beschreiben wir den Lizenzfall? Fundstellen: Art. 3 Abs. 1 Nr. 13 lit. a, Nr. 15 lit. b PPWR.</w:t>
      </w:r>
    </w:p>
    <w:p>
      <w:pPr>
        <w:pStyle w:val="Heading3"/>
        <w:keepNext/>
        <w:spacing w:after="80" w:before="200"/>
      </w:pPr>
      <w:r>
        <w:rPr>
          <w:rFonts w:ascii="Arial" w:cs="Arial" w:eastAsia="Arial" w:hAnsi="Arial"/>
          <w:b/>
          <w:bCs/>
          <w:color w:val="004494"/>
          <w:sz w:val="22"/>
          <w:szCs w:val="22"/>
        </w:rPr>
        <w:t xml:space="preserve">P2.2 Maßgefertigte neutrale Transportverpackung – A33 (Anforderungen 8, 40)</w:t>
      </w:r>
    </w:p>
    <w:p>
      <w:pPr>
        <w:spacing w:after="100" w:before="60"/>
      </w:pPr>
      <w:r>
        <w:rPr>
          <w:rFonts w:ascii="Arial" w:cs="Arial" w:eastAsia="Arial" w:hAnsi="Arial"/>
          <w:sz w:val="19"/>
          <w:szCs w:val="19"/>
        </w:rPr>
        <w:t xml:space="preserve">Nutzerfrage: „Wir lassen uns unbedruckte Transportkartons nach unseren Maßen und Spezifikationen fertigen. Ist der Kartonagenhersteller oder sind wir der Erzeuger?“ Stand: FAQ Kap. X FAQ 14 [UA] ordnet bei kundenspezifischer Spezifikation dem Auftraggeber zu; Regel A4 der Rollen-Engine stellt auf physische Herstellung ab; KMU-Leitfaden stellt für neutrale Standardverpackung auf den physischen Hersteller ab. Frage: Wo liegt die Grenze zwischen „Spezifikation“ und „Standardware“, und wie fassen wir Regel A4? Fundstellen: Art. 3 Abs. 1 Nr. 13, Art. 16 Abs. 1 PPWR.</w:t>
      </w:r>
    </w:p>
    <w:p>
      <w:pPr>
        <w:pStyle w:val="Heading3"/>
        <w:keepNext/>
        <w:spacing w:after="80" w:before="200"/>
      </w:pPr>
      <w:r>
        <w:rPr>
          <w:rFonts w:ascii="Arial" w:cs="Arial" w:eastAsia="Arial" w:hAnsi="Arial"/>
          <w:b/>
          <w:bCs/>
          <w:color w:val="004494"/>
          <w:sz w:val="22"/>
          <w:szCs w:val="22"/>
        </w:rPr>
        <w:t xml:space="preserve">P2.3 Konzerninterne Verbringung – A34 (Anforderungen 8, 10)</w:t>
      </w:r>
    </w:p>
    <w:p>
      <w:pPr>
        <w:spacing w:after="100" w:before="60"/>
      </w:pPr>
      <w:r>
        <w:rPr>
          <w:rFonts w:ascii="Arial" w:cs="Arial" w:eastAsia="Arial" w:hAnsi="Arial"/>
          <w:sz w:val="19"/>
          <w:szCs w:val="19"/>
        </w:rPr>
        <w:t xml:space="preserve">Nutzerfrage: „Wir verpacken Teile in unserem Werk in Polen und schicken sie an unser eigenes Werk in Deutschland. Bringen wir diese Verpackung in Verkehr?“ Stand: FAQ Kap. II FAQ 13 [UA]: kein Inverkehrbringen. Frage: Verhältnis zur Definition Art. 3 Abs. 1 Nr. 10/11 und zur Systembeteiligung in Deutschland (Anfall als Abfall beim deutschen Werk). Fundstellen: Art. 3 Abs. 1 Nr. 10, 11 PPWR; § 3, § 7 VerpackDG.</w:t>
      </w:r>
    </w:p>
    <w:p>
      <w:pPr>
        <w:pStyle w:val="Heading3"/>
        <w:keepNext/>
        <w:spacing w:after="80" w:before="200"/>
      </w:pPr>
      <w:r>
        <w:rPr>
          <w:rFonts w:ascii="Arial" w:cs="Arial" w:eastAsia="Arial" w:hAnsi="Arial"/>
          <w:b/>
          <w:bCs/>
          <w:color w:val="004494"/>
          <w:sz w:val="22"/>
          <w:szCs w:val="22"/>
        </w:rPr>
        <w:t xml:space="preserve">P2.4 Vollständigkeitserklärung 2026 – B18, B05 (Anforderung 33)</w:t>
      </w:r>
    </w:p>
    <w:p>
      <w:pPr>
        <w:spacing w:after="100" w:before="60"/>
      </w:pPr>
      <w:r>
        <w:rPr>
          <w:rFonts w:ascii="Arial" w:cs="Arial" w:eastAsia="Arial" w:hAnsi="Arial"/>
          <w:sz w:val="19"/>
          <w:szCs w:val="19"/>
        </w:rPr>
        <w:t xml:space="preserve">Nutzerfrage: „Unser Wirtschaftsprüfer fragt, ob wir für 2026 zwei Vollständigkeitserklärungen brauchen.“ Stand: ZSVR-Hinweise 2026 (PDF undatiert, verbreitet 13.08.2026) [BI]: eine VE je Hersteller nach § 10 VerpackDG; Prüfleitlinien 2024 gelten fort; Schulungspflicht § 56 Abs. 4, Bestandsprüfer bis 31.12.2027. Fragen: Normzitate § 68 Abs. 5 Satz 4, § 56 Abs. 4, § 68 Abs. 16 VerpackDG am Volltext bestätigen; B05-Flag „E06: Verweis § 66 Abs. 1 Nr. 6/7 auf § 68 Abs. 3 prüfen“.</w:t>
      </w:r>
    </w:p>
    <w:p>
      <w:pPr>
        <w:pStyle w:val="Heading3"/>
        <w:keepNext/>
        <w:spacing w:after="80" w:before="200"/>
      </w:pPr>
      <w:r>
        <w:rPr>
          <w:rFonts w:ascii="Arial" w:cs="Arial" w:eastAsia="Arial" w:hAnsi="Arial"/>
          <w:b/>
          <w:bCs/>
          <w:color w:val="004494"/>
          <w:sz w:val="22"/>
          <w:szCs w:val="22"/>
        </w:rPr>
        <w:t xml:space="preserve">P2.5 Permanenttragetaschen – B20 (Anforderung 32)</w:t>
      </w:r>
    </w:p>
    <w:p>
      <w:pPr>
        <w:spacing w:after="100" w:before="60"/>
      </w:pPr>
      <w:r>
        <w:rPr>
          <w:rFonts w:ascii="Arial" w:cs="Arial" w:eastAsia="Arial" w:hAnsi="Arial"/>
          <w:sz w:val="19"/>
          <w:szCs w:val="19"/>
        </w:rPr>
        <w:t xml:space="preserve">Stand: BVerwG 23.07.2026 – 10 C 6.25 [GE, rechtskräftig] zu § 3 Abs. 8, § 7 VerpackG. Frage: Übertragung auf § 3 Abs. 6, § 7 Abs. 1 VerpackDG ist unsere Zuordnung, nicht die des Gerichts – tragfähig? ZSVR spricht von möglichen rückwirkenden Beteiligungspflichten; wie weit darf der Radar das sagen?</w:t>
      </w:r>
    </w:p>
    <w:p>
      <w:pPr>
        <w:pStyle w:val="Heading3"/>
        <w:keepNext/>
        <w:spacing w:after="80" w:before="200"/>
      </w:pPr>
      <w:r>
        <w:rPr>
          <w:rFonts w:ascii="Arial" w:cs="Arial" w:eastAsia="Arial" w:hAnsi="Arial"/>
          <w:b/>
          <w:bCs/>
          <w:color w:val="004494"/>
          <w:sz w:val="22"/>
          <w:szCs w:val="22"/>
        </w:rPr>
        <w:t xml:space="preserve">P2.6 Katalog 2026 und E-Commerce-Verpackungen an Gewerbekunden – B21, B12 (Anforderung 32)</w:t>
      </w:r>
    </w:p>
    <w:p>
      <w:pPr>
        <w:spacing w:after="100" w:before="60"/>
      </w:pPr>
      <w:r>
        <w:rPr>
          <w:rFonts w:ascii="Arial" w:cs="Arial" w:eastAsia="Arial" w:hAnsi="Arial"/>
          <w:sz w:val="19"/>
          <w:szCs w:val="19"/>
        </w:rPr>
        <w:t xml:space="preserve">Stand: Katalog Allgemeiner Teil 08/2026 [BI] als norminterpretierende Verwaltungsvorschrift (§ 54 Abs. 1 Satz 2 Nr. 33 VerpackDG); VG Osnabrück 30.09.2026 – 7 A 112/24 [GE, nicht rechtskräftig] bestätigt Gesamtmarktbetrachtung. Frage: Verhältnis zu B12; Formulierung für B2B-Versender, die sich auf § 11 VerpackDG (Ausnahmen) berufen wollen.</w:t>
      </w:r>
    </w:p>
    <w:p>
      <w:pPr>
        <w:pStyle w:val="Heading3"/>
        <w:keepNext/>
        <w:spacing w:after="80" w:before="200"/>
      </w:pPr>
      <w:r>
        <w:rPr>
          <w:rFonts w:ascii="Arial" w:cs="Arial" w:eastAsia="Arial" w:hAnsi="Arial"/>
          <w:b/>
          <w:bCs/>
          <w:color w:val="004494"/>
          <w:sz w:val="22"/>
          <w:szCs w:val="22"/>
        </w:rPr>
        <w:t xml:space="preserve">P2.7 Marktüberwachung ab Tag eins – C17, B04 (Anforderungen 4, 6)</w:t>
      </w:r>
    </w:p>
    <w:p>
      <w:pPr>
        <w:spacing w:after="100" w:before="60"/>
      </w:pPr>
      <w:r>
        <w:rPr>
          <w:rFonts w:ascii="Arial" w:cs="Arial" w:eastAsia="Arial" w:hAnsi="Arial"/>
          <w:sz w:val="19"/>
          <w:szCs w:val="19"/>
        </w:rPr>
        <w:t xml:space="preserve">Stand: FAQ Kap. XVI FAQ 1 [UA] („supportive approach“, Art. 62: zuerst Abhilfe); Kommissions-Äußerung „zunächst verwarnen“ vom 12.08.2026 nur per Instagram, keine förmliche Mitteilung (!); § 68 Abs. 17 VerpackDG (Bußgeld nach § 66 Abs. 2 erst ab 12.02.2027). Frage: Wie weit darf der Radar die Entwarnung formulieren, ohne eine Zusage zu geben?</w:t>
      </w:r>
    </w:p>
    <w:p>
      <w:pPr>
        <w:pStyle w:val="Heading3"/>
        <w:keepNext/>
        <w:spacing w:after="80" w:before="200"/>
      </w:pPr>
      <w:r>
        <w:rPr>
          <w:rFonts w:ascii="Arial" w:cs="Arial" w:eastAsia="Arial" w:hAnsi="Arial"/>
          <w:b/>
          <w:bCs/>
          <w:color w:val="004494"/>
          <w:sz w:val="22"/>
          <w:szCs w:val="22"/>
        </w:rPr>
        <w:t xml:space="preserve">P2.8 Berichtigung Art. 29 Abs. 4 lit. b („Waren“ statt „Rohstoffe“) – C13 (Anforderung 27)</w:t>
      </w:r>
    </w:p>
    <w:p>
      <w:pPr>
        <w:spacing w:after="100" w:before="60"/>
      </w:pPr>
      <w:r>
        <w:rPr>
          <w:rFonts w:ascii="Arial" w:cs="Arial" w:eastAsia="Arial" w:hAnsi="Arial"/>
          <w:sz w:val="19"/>
          <w:szCs w:val="19"/>
        </w:rPr>
        <w:t xml:space="preserve">Stand: Berichtigung ABl. L 2026/90654 vom 04.08.2026 [RN], nur deutsche Fassung; Berichtigungsliste R(01)–R(07) am 19.10.2026 verifiziert, das (!) im Flag ist aufgelöst. Frage: Freigabe; Glossar- und Erklärtexte, die „Rohstoffe“ zitieren, werden angepasst.</w:t>
      </w:r>
    </w:p>
    <w:p>
      <w:pPr>
        <w:pStyle w:val="Heading3"/>
        <w:keepNext/>
        <w:spacing w:after="80" w:before="200"/>
      </w:pPr>
      <w:r>
        <w:rPr>
          <w:rFonts w:ascii="Arial" w:cs="Arial" w:eastAsia="Arial" w:hAnsi="Arial"/>
          <w:b/>
          <w:bCs/>
          <w:color w:val="004494"/>
          <w:sz w:val="22"/>
          <w:szCs w:val="22"/>
        </w:rPr>
        <w:t xml:space="preserve">P2.9 Palettenfolie und Umreifungsbänder – C11 (Mehrweg)</w:t>
      </w:r>
    </w:p>
    <w:p>
      <w:pPr>
        <w:spacing w:after="100" w:before="60"/>
      </w:pPr>
      <w:r>
        <w:rPr>
          <w:rFonts w:ascii="Arial" w:cs="Arial" w:eastAsia="Arial" w:hAnsi="Arial"/>
          <w:sz w:val="19"/>
          <w:szCs w:val="19"/>
        </w:rPr>
        <w:t xml:space="preserve">Stand: Delegierter Beschluss (EU) 2026/429 [RN], ABl. 06.05.2026. Offenes Flag: Reichweite gegenüber Art. 29 Abs. 1 – Art. 1 des Beschlusses nimmt nur von Abs. 2 und 3 aus, Erwägungsgrund 2 erstreckt die Wirkung auf die Quoten des Abs. 1 (!). Frage: Welche Reichweite spielt der Radar aus? ABl.-Veröffentlichung ist belegt (EUR-Lex „Completed by 32026D0429“, 26.05.2026).</w:t>
      </w:r>
    </w:p>
    <w:p>
      <w:pPr>
        <w:pStyle w:val="Heading3"/>
        <w:keepNext/>
        <w:spacing w:after="80" w:before="200"/>
      </w:pPr>
      <w:r>
        <w:rPr>
          <w:rFonts w:ascii="Arial" w:cs="Arial" w:eastAsia="Arial" w:hAnsi="Arial"/>
          <w:b/>
          <w:bCs/>
          <w:color w:val="004494"/>
          <w:sz w:val="22"/>
          <w:szCs w:val="22"/>
        </w:rPr>
        <w:t xml:space="preserve">P2.10 PET-Flaschen, Rezyklat-Berechnung – C12, C10 (Anforderung 14)</w:t>
      </w:r>
    </w:p>
    <w:p>
      <w:pPr>
        <w:spacing w:after="100" w:before="60"/>
      </w:pPr>
      <w:r>
        <w:rPr>
          <w:rFonts w:ascii="Arial" w:cs="Arial" w:eastAsia="Arial" w:hAnsi="Arial"/>
          <w:sz w:val="19"/>
          <w:szCs w:val="19"/>
        </w:rPr>
        <w:t xml:space="preserve">Stand: Detailaussagen (chemisches Recycling, Drittstaaten-Anrechnung) beruhen auf Kommissions-PM und Sekundärberichten; ABl.-Volltext des DB (EU) 2026/1425 vor Freigabe prüfen (!). C10: EU-Werte pinnen (V4/V5), Konkurrenz nationale Quote § 45 VerpackDG vs. Art. 7 PPWR ab 2030 klären.</w:t>
      </w:r>
    </w:p>
    <w:p>
      <w:pPr>
        <w:pStyle w:val="Heading3"/>
        <w:keepNext/>
        <w:spacing w:after="80" w:before="200"/>
      </w:pPr>
      <w:r>
        <w:rPr>
          <w:rFonts w:ascii="Arial" w:cs="Arial" w:eastAsia="Arial" w:hAnsi="Arial"/>
          <w:b/>
          <w:bCs/>
          <w:color w:val="004494"/>
          <w:sz w:val="22"/>
          <w:szCs w:val="22"/>
        </w:rPr>
        <w:t xml:space="preserve">P2.11 ZSVR-Prüfschema Erzeuger/Hersteller – A29 (Anforderung 8)</w:t>
      </w:r>
    </w:p>
    <w:p>
      <w:pPr>
        <w:spacing w:after="100" w:before="60"/>
      </w:pPr>
      <w:r>
        <w:rPr>
          <w:rFonts w:ascii="Arial" w:cs="Arial" w:eastAsia="Arial" w:hAnsi="Arial"/>
          <w:sz w:val="19"/>
          <w:szCs w:val="19"/>
        </w:rPr>
        <w:t xml:space="preserve">Stand: ZSVR-Grundsätze (Markenvorrang, „EU-weit genau ein Erzeuger“) ohne exakte Normzitate auf der ZSVR-Seite [BI]; EUNR-Papier nur Sekundärquelle. Frage: Abgleich der ZSVR-Lesart mit der EUNR-Lesart und der FAQ 2. Ed.; was davon darf als „Behördenpraxis“ ausgespielt werden?</w:t>
      </w:r>
    </w:p>
    <w:p>
      <w:pPr>
        <w:pStyle w:val="Heading2"/>
        <w:keepNext/>
        <w:spacing w:after="120" w:before="280"/>
      </w:pPr>
      <w:r>
        <w:rPr>
          <w:rFonts w:ascii="Arial" w:cs="Arial" w:eastAsia="Arial" w:hAnsi="Arial"/>
          <w:b/>
          <w:bCs/>
          <w:color w:val="111111"/>
          <w:sz w:val="26"/>
          <w:szCs w:val="26"/>
        </w:rPr>
        <w:t xml:space="preserve">Priorität 3 – Hintergrund oder Pins, kein Freigabe-Blocker</w:t>
      </w:r>
    </w:p>
    <w:p>
      <w:pPr>
        <w:pStyle w:val="ListParagraph"/>
        <w:numPr>
          <w:ilvl w:val="0"/>
          <w:numId w:val="2"/>
        </w:numPr>
        <w:spacing w:after="30" w:before="30"/>
      </w:pPr>
      <w:r>
        <w:rPr>
          <w:rFonts w:ascii="Arial" w:cs="Arial" w:eastAsia="Arial" w:hAnsi="Arial"/>
          <w:b/>
          <w:bCs/>
          <w:sz w:val="19"/>
          <w:szCs w:val="19"/>
        </w:rPr>
        <w:t xml:space="preserve">B19 Mindeststandard 2026: </w:t>
      </w:r>
      <w:r>
        <w:rPr>
          <w:rFonts w:ascii="Arial" w:cs="Arial" w:eastAsia="Arial" w:hAnsi="Arial"/>
          <w:sz w:val="19"/>
          <w:szCs w:val="19"/>
        </w:rPr>
        <w:t xml:space="preserve">(Anforderungen 12, 35): Verwaltungsvorschrift nach § 26 Abs. 3 VerpackDG, gilt für 2027; Verhältnis zu Verordnungen nach § 26a und zu delegierten Rechtsakten nach Art. 6 Abs. 4 PPWR prüfen. B15-Flag „V16: AbfRRL-Zitat pinnen“.</w:t>
      </w:r>
    </w:p>
    <w:p>
      <w:pPr>
        <w:pStyle w:val="ListParagraph"/>
        <w:numPr>
          <w:ilvl w:val="0"/>
          <w:numId w:val="2"/>
        </w:numPr>
        <w:spacing w:after="30" w:before="30"/>
      </w:pPr>
      <w:r>
        <w:rPr>
          <w:rFonts w:ascii="Arial" w:cs="Arial" w:eastAsia="Arial" w:hAnsi="Arial"/>
          <w:b/>
          <w:bCs/>
          <w:sz w:val="19"/>
          <w:szCs w:val="19"/>
        </w:rPr>
        <w:t xml:space="preserve">C18 Rezyklat-Rechtsakte Art. 7 Abs. 8/9/10: </w:t>
      </w:r>
      <w:r>
        <w:rPr>
          <w:rFonts w:ascii="Arial" w:cs="Arial" w:eastAsia="Arial" w:hAnsi="Arial"/>
          <w:sz w:val="19"/>
          <w:szCs w:val="19"/>
        </w:rPr>
        <w:t xml:space="preserve">(Anforderung 14): Initiativen 18753, 19033, 18752, Annahme Q4 2026, gesetzliche Frist 31.12.2026 [VF]. Keine Freigabefrage, Beobachtung.</w:t>
      </w:r>
    </w:p>
    <w:p>
      <w:pPr>
        <w:pStyle w:val="ListParagraph"/>
        <w:numPr>
          <w:ilvl w:val="0"/>
          <w:numId w:val="2"/>
        </w:numPr>
        <w:spacing w:after="30" w:before="30"/>
      </w:pPr>
      <w:r>
        <w:rPr>
          <w:rFonts w:ascii="Arial" w:cs="Arial" w:eastAsia="Arial" w:hAnsi="Arial"/>
          <w:b/>
          <w:bCs/>
          <w:sz w:val="19"/>
          <w:szCs w:val="19"/>
        </w:rPr>
        <w:t xml:space="preserve">C19 Registerformat Art. 44 Abs. 14: </w:t>
      </w:r>
      <w:r>
        <w:rPr>
          <w:rFonts w:ascii="Arial" w:cs="Arial" w:eastAsia="Arial" w:hAnsi="Arial"/>
          <w:sz w:val="19"/>
          <w:szCs w:val="19"/>
        </w:rPr>
        <w:t xml:space="preserve">(Anforderung 31): Entwurf Ares(2026)7688068, Annahme überfällig [VF]; AT/CZ/EE fordern Zurückstellung (Sekundärquelle). Frage: Hinweis auf ein mögliches EU-Portal ausspielen oder nicht?</w:t>
      </w:r>
    </w:p>
    <w:p>
      <w:pPr>
        <w:pStyle w:val="ListParagraph"/>
        <w:numPr>
          <w:ilvl w:val="0"/>
          <w:numId w:val="2"/>
        </w:numPr>
        <w:spacing w:after="30" w:before="30"/>
      </w:pPr>
      <w:r>
        <w:rPr>
          <w:rFonts w:ascii="Arial" w:cs="Arial" w:eastAsia="Arial" w:hAnsi="Arial"/>
          <w:b/>
          <w:bCs/>
          <w:sz w:val="19"/>
          <w:szCs w:val="19"/>
        </w:rPr>
        <w:t xml:space="preserve">C20 Public Procurement Act, Streichung Art. 63 PPWR: </w:t>
      </w:r>
      <w:r>
        <w:rPr>
          <w:rFonts w:ascii="Arial" w:cs="Arial" w:eastAsia="Arial" w:hAnsi="Arial"/>
          <w:sz w:val="19"/>
          <w:szCs w:val="19"/>
        </w:rPr>
        <w:t xml:space="preserve">(keine Anforderung): COM(2026) 590 vom 09.09.2026 [VF]. Fragen: Relevanz für Lieferanten der öffentlichen Hand; ausspielen oder Hintergrund; Antwort 1.839 Zeichen auf 1.600 kürzen.</w:t>
      </w:r>
    </w:p>
    <w:p>
      <w:pPr>
        <w:pStyle w:val="ListParagraph"/>
        <w:numPr>
          <w:ilvl w:val="0"/>
          <w:numId w:val="2"/>
        </w:numPr>
        <w:spacing w:after="30" w:before="30"/>
      </w:pPr>
      <w:r>
        <w:rPr>
          <w:rFonts w:ascii="Arial" w:cs="Arial" w:eastAsia="Arial" w:hAnsi="Arial"/>
          <w:b/>
          <w:bCs/>
          <w:sz w:val="19"/>
          <w:szCs w:val="19"/>
        </w:rPr>
        <w:t xml:space="preserve">Ältere Pins aus der Launch-Verifikation: </w:t>
      </w:r>
      <w:r>
        <w:rPr>
          <w:rFonts w:ascii="Arial" w:cs="Arial" w:eastAsia="Arial" w:hAnsi="Arial"/>
          <w:sz w:val="19"/>
          <w:szCs w:val="19"/>
        </w:rPr>
        <w:t xml:space="preserve">A05 „U8: Verbund-/Franchise-Eskalationsschwelle“ (Kleinstunternehmen im Franchise); A09 „U5: Wortlaut VO 2019/1020 pinnen“ (Fulfillment für Drittland-Kunden); A15 „U2: Anwendungsbereich § 7 Abs. 2 in Session“ (bedruckte Serviceverpackungen); A17 „Erstattungsverfahren ungeregelt → Eskalation“ (Weiterexport, Lizenz zurückholen); C05 „V2: Fortgeltungs-Mechanik bestätigen“ (Schwermetall-Grenzwert bei Mehrweg); C07 „V14: Absatz-Pins Art. 27/28“ (Mehrweg-Paletten, Systembeitritt).</w:t>
      </w:r>
    </w:p>
    <w:p>
      <w:pPr>
        <w:pStyle w:val="ListParagraph"/>
        <w:numPr>
          <w:ilvl w:val="0"/>
          <w:numId w:val="2"/>
        </w:numPr>
        <w:spacing w:after="30" w:before="30"/>
      </w:pPr>
      <w:r>
        <w:rPr>
          <w:rFonts w:ascii="Arial" w:cs="Arial" w:eastAsia="Arial" w:hAnsi="Arial"/>
          <w:b/>
          <w:bCs/>
          <w:sz w:val="19"/>
          <w:szCs w:val="19"/>
        </w:rPr>
        <w:t xml:space="preserve">Nichtigkeitsklagen gegen die PPWR: </w:t>
      </w:r>
      <w:r>
        <w:rPr>
          <w:rFonts w:ascii="Arial" w:cs="Arial" w:eastAsia="Arial" w:hAnsi="Arial"/>
          <w:sz w:val="19"/>
          <w:szCs w:val="19"/>
        </w:rPr>
        <w:t xml:space="preserve">(Hintergrund): T-197/25 (Art. 50, Pfand) sowie T-236/25 bis T-249/25 (Art. 7 Abs. 1, 2, 5 lit. b; Art. 25 und Anhang V; Art. 29 Abs. 1–4; Art. 50 und Anhang X). Verfahrensstand nicht geprüft (!). Frage: Erwähnung im Radar sinnvoll, oder bis zu einer Entscheidung ignorieren?</w:t>
      </w:r>
    </w:p>
    <w:p>
      <w:pPr>
        <w:pStyle w:val="Heading2"/>
        <w:keepNext/>
        <w:spacing w:after="120" w:before="280"/>
      </w:pPr>
      <w:r>
        <w:rPr>
          <w:rFonts w:ascii="Arial" w:cs="Arial" w:eastAsia="Arial" w:hAnsi="Arial"/>
          <w:b/>
          <w:bCs/>
          <w:color w:val="111111"/>
          <w:sz w:val="26"/>
          <w:szCs w:val="26"/>
        </w:rPr>
        <w:t xml:space="preserve">Querschnittsfragen (Produkt, nicht Datensatz)</w:t>
      </w:r>
    </w:p>
    <w:p>
      <w:pPr>
        <w:spacing w:after="30" w:before="30"/>
      </w:pPr>
      <w:r>
        <w:rPr>
          <w:rFonts w:ascii="Arial" w:cs="Arial" w:eastAsia="Arial" w:hAnsi="Arial"/>
          <w:sz w:val="19"/>
          <w:szCs w:val="19"/>
        </w:rPr>
        <w:t xml:space="preserve">1. Rollen-Engine: Regeln A4, A5 (physische Herstellung vs. Spezifikation/Branding), B1 (Zusammenfügen), B3 und C6 (Bevollmächtigter), D1–D5 (Ebene Verpackungseinheit) – gemeinsam mit P1.1 bis P1.3 prüfen.</w:t>
      </w:r>
    </w:p>
    <w:p>
      <w:pPr>
        <w:spacing w:after="30" w:before="30"/>
      </w:pPr>
      <w:r>
        <w:rPr>
          <w:rFonts w:ascii="Arial" w:cs="Arial" w:eastAsia="Arial" w:hAnsi="Arial"/>
          <w:sz w:val="19"/>
          <w:szCs w:val="19"/>
        </w:rPr>
        <w:t xml:space="preserve">2. Divergenz-Hinweis: Standardsatz für Datensätze, in denen Kommission und ZSVR auseinanderliegen (Vorschlag: „Die ZSVR vertritt für die Systembeteiligung in Deutschland eine strengere Lesart; der PPWR Radar weist beide aus und empfiehlt bis zur Klärung die strengere.“) – Freigabe des Wortlauts.</w:t>
      </w:r>
    </w:p>
    <w:p>
      <w:pPr>
        <w:spacing w:after="30" w:before="30"/>
      </w:pPr>
      <w:r>
        <w:rPr>
          <w:rFonts w:ascii="Arial" w:cs="Arial" w:eastAsia="Arial" w:hAnsi="Arial"/>
          <w:sz w:val="19"/>
          <w:szCs w:val="19"/>
        </w:rPr>
        <w:t xml:space="preserve">3. Kennzeichnung „unverbindliche Auslegung der EU-Kommission“: Gilt die Formel auch für den KMU-Leitfaden und die DG-ENV-Webseiten, oder braucht es eine eigene Kategorie „Information der EU-Kommission“?</w:t>
      </w:r>
    </w:p>
    <w:p>
      <w:pPr>
        <w:spacing w:after="30" w:before="30"/>
      </w:pPr>
      <w:r>
        <w:rPr>
          <w:rFonts w:ascii="Arial" w:cs="Arial" w:eastAsia="Arial" w:hAnsi="Arial"/>
          <w:sz w:val="19"/>
          <w:szCs w:val="19"/>
        </w:rPr>
        <w:t xml:space="preserve">4. Landing-Wortlaut: „juristische Plausibilisierung durch Cattwyk Rechtsanwaltsgesellschaft“ – bleibt die Nennung in der Zwischenstufe (redaktionell geprüft, juristische Prüfung läuft)?</w:t>
      </w:r>
    </w:p>
    <w:p>
      <w:pPr>
        <w:spacing w:after="30" w:before="30"/>
      </w:pPr>
      <w:r>
        <w:rPr>
          <w:rFonts w:ascii="Arial" w:cs="Arial" w:eastAsia="Arial" w:hAnsi="Arial"/>
          <w:sz w:val="19"/>
          <w:szCs w:val="19"/>
        </w:rPr>
        <w:t xml:space="preserve">5. Update-Ticker: Seit 30.10.2026 zeigt das Produkt die Funde des wöchentlichen Rechtsmonitorings als datierte Meldungen mit Quelle und Einordnung (rechtsverbindlich / unverbindliche Auslegung / Verfahren / Behördeninformation / Gericht), jeweils mit dem Hinweis „Entwurf – ungeprüft“ und dem Satz „Geltende Rechtslage dadurch unverändert“, wo das zutrifft. Auslegung bleibt den Praxisfragen vorbehalten. Frage: Ist diese Trennung (Meldung = Fakt mit Quelle, Praxisfrage = Einordnung nach Prüfung) aus Ihrer Sicht tragfähig, und soll die Kanzlei die Meldungen einzeln sehen oder nur stichprobenartig?</w:t>
      </w:r>
    </w:p>
    <w:p>
      <w:pPr>
        <w:pStyle w:val="Heading2"/>
        <w:keepNext/>
        <w:spacing w:after="120" w:before="280"/>
      </w:pPr>
      <w:r>
        <w:rPr>
          <w:rFonts w:ascii="Arial" w:cs="Arial" w:eastAsia="Arial" w:hAnsi="Arial"/>
          <w:b/>
          <w:bCs/>
          <w:color w:val="111111"/>
          <w:sz w:val="26"/>
          <w:szCs w:val="26"/>
        </w:rPr>
        <w:t xml:space="preserve">Vollständigkeitsprüfung (30.10.2026)</w:t>
      </w:r>
    </w:p>
    <w:p>
      <w:pPr>
        <w:pStyle w:val="ListParagraph"/>
        <w:numPr>
          <w:ilvl w:val="0"/>
          <w:numId w:val="2"/>
        </w:numPr>
        <w:spacing w:after="30" w:before="30"/>
      </w:pPr>
      <w:r>
        <w:rPr>
          <w:rFonts w:ascii="Arial" w:cs="Arial" w:eastAsia="Arial" w:hAnsi="Arial"/>
          <w:sz w:val="19"/>
          <w:szCs w:val="19"/>
        </w:rPr>
        <w:t xml:space="preserve">Alle 20 Praxisfragen mit Flag „(neu 10/2026)“ sind in Teil B.1 enthalten: A30, A31, A32, A33, A34, A35, A36, B18, B19, B20, B21, C13, C14, C15, C16, C17, C18, C19, C20, C21.</w:t>
      </w:r>
    </w:p>
    <w:p>
      <w:pPr>
        <w:pStyle w:val="ListParagraph"/>
        <w:numPr>
          <w:ilvl w:val="0"/>
          <w:numId w:val="2"/>
        </w:numPr>
        <w:spacing w:after="30" w:before="30"/>
      </w:pPr>
      <w:r>
        <w:rPr>
          <w:rFonts w:ascii="Arial" w:cs="Arial" w:eastAsia="Arial" w:hAnsi="Arial"/>
          <w:sz w:val="19"/>
          <w:szCs w:val="19"/>
        </w:rPr>
        <w:t xml:space="preserve">Alle 17 älteren Praxisfragen mit offenem Flag sind in Teil B.4 enthalten: A02, A05, A09, A15, A17, A23, A28, A29, B05, B15, C03, C05, C07, C09, C10, C11, C12.</w:t>
      </w:r>
    </w:p>
    <w:p>
      <w:pPr>
        <w:pStyle w:val="ListParagraph"/>
        <w:numPr>
          <w:ilvl w:val="0"/>
          <w:numId w:val="2"/>
        </w:numPr>
        <w:spacing w:after="30" w:before="30"/>
      </w:pPr>
      <w:r>
        <w:rPr>
          <w:rFonts w:ascii="Arial" w:cs="Arial" w:eastAsia="Arial" w:hAnsi="Arial"/>
          <w:sz w:val="19"/>
          <w:szCs w:val="19"/>
        </w:rPr>
        <w:t xml:space="preserve">Die Cattwyk-Abschnitte der Delta-Recherchen 17.10., 19.10. und 26.10.2026 sind eingearbeitet; die drei Recherchen liegen als Beilage bei, ebenso der KMU-Leitfaden der Kommission.</w:t>
      </w:r>
    </w:p>
    <w:p>
      <w:pPr>
        <w:pStyle w:val="ListParagraph"/>
        <w:numPr>
          <w:ilvl w:val="0"/>
          <w:numId w:val="2"/>
        </w:numPr>
        <w:spacing w:after="30" w:before="30"/>
      </w:pPr>
      <w:r>
        <w:rPr>
          <w:rFonts w:ascii="Arial" w:cs="Arial" w:eastAsia="Arial" w:hAnsi="Arial"/>
          <w:sz w:val="19"/>
          <w:szCs w:val="19"/>
        </w:rPr>
        <w:t xml:space="preserve">Anforderungen mit (!)-Stellen im Fachtext: 24 von 40 (nr 1, 4, 5, 6, 7, 11, 14, 15, 16, 17, 18, 22, 23, 24, 25, 27, 29, 30, 33, 34, 35, 36, 37, 39). Davon sind 4, 5, 6, 7, 14, 22, 27, 33, 35 über die Praxisfragen oben abgedeckt; die übrigen 15 tragen eigene Unsicherheitsmarker, die in Teil C als Fundstellen-Pins erscheinen.</w:t>
      </w:r>
    </w:p>
    <w:p>
      <w:pPr>
        <w:pStyle w:val="Heading1"/>
        <w:pageBreakBefore/>
        <w:spacing w:after="160" w:before="0"/>
      </w:pPr>
      <w:r>
        <w:rPr>
          <w:rFonts w:ascii="Arial" w:cs="Arial" w:eastAsia="Arial" w:hAnsi="Arial"/>
          <w:b/>
          <w:bCs/>
          <w:color w:val="004494"/>
          <w:sz w:val="32"/>
          <w:szCs w:val="32"/>
        </w:rPr>
        <w:t xml:space="preserve">Teil A – Sammelfreigabe</w:t>
      </w:r>
    </w:p>
    <w:p>
      <w:pPr>
        <w:spacing w:after="160" w:before="60"/>
      </w:pPr>
      <w:r>
        <w:rPr>
          <w:rFonts w:ascii="Arial" w:cs="Arial" w:eastAsia="Arial" w:hAnsi="Arial"/>
          <w:sz w:val="20"/>
          <w:szCs w:val="20"/>
        </w:rPr>
        <w:t xml:space="preserve">Je Zeile ein Datensatz. Kernaussage ist der erste Satz der Kurzerklärung; die vollständigen Texte liegen im System und können jederzeit nachgereicht werden. Prüfen Sie Kernaussage und Fundstelle; markieren Sie Auffälliges mit „Anm.“. Am Ende jedes Blocks die Sammelfreigabe.</w:t>
      </w:r>
    </w:p>
    <w:p>
      <w:pPr>
        <w:pStyle w:val="Heading2"/>
        <w:keepNext/>
        <w:spacing w:after="120" w:before="280"/>
      </w:pPr>
      <w:r>
        <w:rPr>
          <w:rFonts w:ascii="Arial" w:cs="Arial" w:eastAsia="Arial" w:hAnsi="Arial"/>
          <w:b/>
          <w:bCs/>
          <w:color w:val="111111"/>
          <w:sz w:val="26"/>
          <w:szCs w:val="26"/>
        </w:rPr>
        <w:t xml:space="preserve">A.1 Rollen-Definitionen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250"/>
        <w:gridCol w:w="3400"/>
        <w:gridCol w:w="1738"/>
        <w:gridCol w:w="1000"/>
      </w:tblGrid>
      <w:tr>
        <w:trPr>
          <w:cantSplit/>
          <w:tblHeader/>
        </w:trPr>
        <w:tc>
          <w:tcPr>
            <w:tcW w:type="dxa" w:w="1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Nr.</w:t>
            </w:r>
          </w:p>
        </w:tc>
        <w:tc>
          <w:tcPr>
            <w:tcW w:type="dxa" w:w="2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Begriff</w:t>
            </w:r>
          </w:p>
        </w:tc>
        <w:tc>
          <w:tcPr>
            <w:tcW w:type="dxa" w:w="34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Kernaussage</w:t>
            </w:r>
          </w:p>
        </w:tc>
        <w:tc>
          <w:tcPr>
            <w:tcW w:type="dxa" w:w="1738"/>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Fundstelle(n)</w:t>
            </w:r>
          </w:p>
        </w:tc>
        <w:tc>
          <w:tcPr>
            <w:tcW w:type="dxa" w:w="10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Prüfung</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bevollmaechtigter</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Bevollmächtigter (authorised representative)</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Jede in der Union ansässige natürliche oder juristische Person, die vom ERZEUGER schriftlich beauftragt wurde, in dessen Namen bestimmte Aufgaben zur Erfüllung der Erzeugerpflichten wahrzunehmen.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19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bevollmaechtigter_ehv</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Bevollmächtigter für die erweiterte Herstellerverantwortung (authorised representative for extended producer responsibility)</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Person mit Niederlassung im Ziel-Mitgliedstaat (in dem der Hersteller erstmals bereitstellt bzw. auspackt), benannt vom HERSTELLER gemäß Art. 8a Abs. 5 UAbs. 3 der Richtlinie 2008/98/EG, zur Erfüllung von dessen Pflichten nach Kapitel VIII PPWR.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20 i. V. m. Art. 45 Abs. 3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endvertreiber</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Endvertreiber (final distributor)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natürliche oder juristische Person in der Lieferkette, die verpackte Produkte – einschließlich durch Wiederverwendung – oder Produkte, die in Form einer Wiederbefüllung erworben werden können, an den Endabnehmer liefert.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21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erzeuger</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Erzeuger (manufacturer)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Jede natürliche oder juristische Person, die Verpackungen oder ein verpacktes Produkt herstellt; lit. a: bei Fertigung unter eigenem Namen/eigener Marke ist Erzeuger, wer entwickeln oder herstellen lässt (Markenkriterium), unabhängig von weiteren sichtbaren Marken; lit.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lit. a und b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hb_bereitstellung_markt</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Bereitstellung auf dem Markt (making available on the market)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Jede entgeltliche oder unentgeltliche Abgabe befüllter oder unbefüllter Verpackungen zum Vertrieb, Verbrauch oder zur Verwendung auf dem Unionsmarkt im Rahmen einer Geschäftstätigkeit.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9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hb_erstinverkehrbringer_de</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Erstinverkehrbringer / Inverkehrbringer (national) (—)</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Erstinverkehrbringer: wer Verpackungen erstmals gewerbsmäßig im Bundesgebiet bereitstellt. Inverkehrbringer: wer Verpackungen unabhängig von Vertriebsmethode oder Handelsstufe im Bundesgebiet bereitstellt.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3 Abs. 17 und 18 VerpackDG (BGBl. 2026 I Nr. 207; national ergänzend)</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hersteller</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Hersteller (producer)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Jeder Erzeuger, Importeur oder Vertreiber, der – unabhängig von der Verkaufsmethode, auch im Fernabsatz – (a) Transport-, Service- oder Primärproduktionsverpackungen (leer, Einweg oder Mehrweg) erstmals im Sitz-Mitgliedstaat und von dort aus bereitstellt;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a–e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importeur</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Importeur (importer)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Jede in der Union ansässige natürliche oder juristische Person, die Verpackungen aus einem Drittland in Verkehr bringt.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17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lieferant</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Lieferant (supplier)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Jede natürliche oder juristische Person, die Verpackungen oder Verpackungsmaterial an einen Erzeuger liefert.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16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vertreiber</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Vertreiber (distributor)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Jede natürliche oder juristische Person in der Lieferkette, die Verpackungen auf dem Markt bereitstellt, mit Ausnahme des Erzeugers oder des Importeurs.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18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wirtschaftsakteur</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Wirtschaftsakteur (economic operator)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Sammelbegriff: der Erzeuger, der Lieferant, der Importeur, der Vertreiber, der Bevollmächtigte, der Endvertreiber und der Fulfillment-Dienstleister.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12 VO (EU) 2025/40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bl>
    <w:p>
      <w:pPr>
        <w:spacing w:after="40" w:before="6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shd w:fill="E9F6F1" w:color="auto" w:val="clear"/>
            <w:tcMar>
              <w:top w:type="dxa" w:w="60"/>
              <w:left w:type="dxa" w:w="90"/>
              <w:bottom w:type="dxa" w:w="60"/>
              <w:right w:type="dxa" w:w="90"/>
            </w:tcMar>
            <w:vAlign w:val="top"/>
          </w:tcPr>
          <w:p>
            <w:pPr>
              <w:spacing w:after="60" w:before="0"/>
            </w:pPr>
            <w:r>
              <w:rPr>
                <w:rFonts w:ascii="Arial" w:cs="Arial" w:eastAsia="Arial" w:hAnsi="Arial"/>
                <w:b/>
                <w:bCs/>
                <w:sz w:val="20"/>
                <w:szCs w:val="20"/>
              </w:rPr>
              <w:t xml:space="preserve">Sammelfreigabe Rollen-Definitionen (11 Datensätze)</w:t>
            </w:r>
          </w:p>
          <w:p>
            <w:pPr>
              <w:spacing w:after="60" w:before="60"/>
            </w:pPr>
            <w:r>
              <w:rPr>
                <w:rFonts w:ascii="Arial" w:cs="Arial" w:eastAsia="Arial" w:hAnsi="Arial"/>
                <w:sz w:val="19"/>
                <w:szCs w:val="19"/>
              </w:rPr>
              <w:t xml:space="preserve">☐  Freigegeben wie vorgelegt, mit Ausnahme der oben mit „Anm.“ markierten Nummern (Anmerkungen bitte am Rand oder in Teil D).</w:t>
            </w:r>
          </w:p>
          <w:p>
            <w:pPr>
              <w:spacing w:after="60" w:before="60"/>
            </w:pPr>
            <w:r>
              <w:rPr>
                <w:rFonts w:ascii="Arial" w:cs="Arial" w:eastAsia="Arial" w:hAnsi="Arial"/>
                <w:sz w:val="19"/>
                <w:szCs w:val="19"/>
              </w:rPr>
              <w:t xml:space="preserve">☐  Nicht freigegeben, Gesamtbesprechung erforderlich.</w:t>
            </w:r>
          </w:p>
          <w:p>
            <w:pPr>
              <w:spacing w:after="0" w:before="120"/>
            </w:pPr>
            <w:r>
              <w:rPr>
                <w:rFonts w:ascii="Arial" w:cs="Arial" w:eastAsia="Arial" w:hAnsi="Arial"/>
                <w:sz w:val="19"/>
                <w:szCs w:val="19"/>
              </w:rPr>
              <w:t xml:space="preserve">Datum / Kürzel: ______________________________</w:t>
            </w:r>
          </w:p>
        </w:tc>
      </w:tr>
    </w:tbl>
    <w:p>
      <w:pPr>
        <w:pStyle w:val="Heading2"/>
        <w:keepNext/>
        <w:spacing w:after="120" w:before="280"/>
      </w:pPr>
      <w:r>
        <w:rPr>
          <w:rFonts w:ascii="Arial" w:cs="Arial" w:eastAsia="Arial" w:hAnsi="Arial"/>
          <w:b/>
          <w:bCs/>
          <w:color w:val="111111"/>
          <w:sz w:val="26"/>
          <w:szCs w:val="26"/>
        </w:rPr>
        <w:t xml:space="preserve">A.2 Regeln der Rollen-Engine ohne offenen Punkt (9)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250"/>
        <w:gridCol w:w="3400"/>
        <w:gridCol w:w="1738"/>
        <w:gridCol w:w="1000"/>
      </w:tblGrid>
      <w:tr>
        <w:trPr>
          <w:cantSplit/>
          <w:tblHeader/>
        </w:trPr>
        <w:tc>
          <w:tcPr>
            <w:tcW w:type="dxa" w:w="1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Nr.</w:t>
            </w:r>
          </w:p>
        </w:tc>
        <w:tc>
          <w:tcPr>
            <w:tcW w:type="dxa" w:w="2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Rechtsfolge</w:t>
            </w:r>
          </w:p>
        </w:tc>
        <w:tc>
          <w:tcPr>
            <w:tcW w:type="dxa" w:w="34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Kernaussage</w:t>
            </w:r>
          </w:p>
        </w:tc>
        <w:tc>
          <w:tcPr>
            <w:tcW w:type="dxa" w:w="1738"/>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Fundstelle(n)</w:t>
            </w:r>
          </w:p>
        </w:tc>
        <w:tc>
          <w:tcPr>
            <w:tcW w:type="dxa" w:w="10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Prüfung</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erzeuger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Bei Verkaufs- und Umverpackungen ist Erzeuger regelmäßig, wer die finalen Verarbeitungsschritte (Zuschneiden, Befüllen, Versiegeln) vornimmt und die Verpackung bzw. das verpackte Produkt erstmals auf dem Unionsmarkt bereitstellt – häufig zugleich Markeninhaber des Produkts.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VO (EU) 2025/40; Leitfaden C(2026)3702, Abschn. 2 (Abfüller-Regel)</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erzeuger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Wer Verpackung oder verpacktes Produkt unter eigenem Namen/eigener Marke entwickeln oder herstellen lässt, ist Erzeuger – unabhängig von physischer Produktion und unabhängig davon, ob weitere Marken sichtbar sind (Private-Label-Fall).</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lit. a VO (EU) 2025/40; Leitfaden C(2026)3702, Abschn. 2 (Markenkriterium)</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erzeuger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Für leere Gebrauchsverpackungen ist der physische Hersteller Erzeuger, außer die Verpackung trägt die Marke des Verwenders. Unbrandete Sonderanfertigungen: Besteller mit Design-Hoheit.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VO (EU) 2025/40; Leitfaden C(2026)3702, Abschn. 2 (bei Transport-/Service-/Primärproduktionsverpackung regelmäßig der Verpackungshersteller; bei Branding durch den Nutzer dieser; ohne Marke: wer bestellt und Designspezifikationen festlegt)</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hersteller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Bei verpackten Produkten ist Hersteller, wer sie erstmals in DE bereitstellt: der inländische Abfüller ODER – bei Bezug verpackter Ware aus anderem Mitgliedstaat/Drittland – das erste inländische Unternehmen in der Lieferkette.</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b VO (EU) 2025/40; Leitfaden C(2026)3702, Abschn. 3 (Verkaufsverpackung: der Befüller, der erstmals im Mitgliedstaat bereitstellt); ErwG 122; EUNR-Papier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Z1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rollen_set_je_produktlinie (Mehrfachrollen möglich; keine pauschale Firmenrolle)</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Output-Prinzip der Engine: Jede Produktlinie erhält ein Rollen-SET mit Herleitung (angewandte Regeln + Fundstellen). Typische Doppelrollen: Marken-Abfüller = Erzeuger + Hersteller; Eigenmarken-Importeur = Importeur + Erzeuger (Art. 21) + ggf. Hersteller; Händler mit Endkundengeschäft = Vertreiber + Endvertreiber +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Systematik Art. 3 Abs. 1 Nr. 12–21 VO (EU) 2025/40; Leitfaden C(2026)3702, Abschn. 2/3 (Tabelle Manufacturer vs. Producer)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vertreiber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Auffangrolle der Lieferkette mit Sorgfaltspflichten (u. a. Prüfung Registereintrag des Herstellers, Art. 44).</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18; Art. 19 VO (EU) 2025/40; —</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endvertreiber (zusätzlich)</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Zusatzrolle bei Lieferung an Endabnehmer (auch beruflicher Endabnehmer, auch via Website). Löst endkundennahe Pflichten aus (Mehrwegangebot, Rücknahme, Pfand).</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21 VO (EU) 2025/40; §§ 39 ff., 46 VerpackDG; Leitfaden C(2026)3702, Abschn. 22/23</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C5</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lieferant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Informationspflichten gegenüber dem Erzeuger (Anhang VII); bei Serviceverpackungen zugleich potenzieller Vorvertreiber i. S. d. § 7 Abs. 2 VerpackDG.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16; Art. 16 VO (EU) 2025/40; Leitfaden C(2026)3702, Abschn. 2 (Kleinstunternehmen-Ausnahme: Lieferant kann Erzeuger werden, Regel A3)</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Dann: pflicht: bevollmaechtigter_ehv beauftragen/benennen (vor erster Bereitstellung)</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DE hat die Drittlands-Option des Art. 45 Abs. 3 Satz 2 ausgeübt (§ 5 Abs. 2 Satz 2 VerpackDG). Nur ein Bevollmächtigter je Hersteller; schriftliche Vollmacht auf Deutsch; Benennung gegenüber ZSVR mit Bestätigung; Registrierung nicht delegierbar. | Delta 17.10.2026: Watch-Item, vgl. Praxisfrage A35.</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45 Abs. 3 Satz 1 und 2 VO (EU) 2025/40; § 5 Abs. 2–6 VerpackDG (BGBl. 2026 I Nr. 207); Leitfaden C(2026)3702, Abschn. 4</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bl>
    <w:p>
      <w:pPr>
        <w:spacing w:after="40" w:before="6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shd w:fill="E9F6F1" w:color="auto" w:val="clear"/>
            <w:tcMar>
              <w:top w:type="dxa" w:w="60"/>
              <w:left w:type="dxa" w:w="90"/>
              <w:bottom w:type="dxa" w:w="60"/>
              <w:right w:type="dxa" w:w="90"/>
            </w:tcMar>
            <w:vAlign w:val="top"/>
          </w:tcPr>
          <w:p>
            <w:pPr>
              <w:spacing w:after="60" w:before="0"/>
            </w:pPr>
            <w:r>
              <w:rPr>
                <w:rFonts w:ascii="Arial" w:cs="Arial" w:eastAsia="Arial" w:hAnsi="Arial"/>
                <w:b/>
                <w:bCs/>
                <w:sz w:val="20"/>
                <w:szCs w:val="20"/>
              </w:rPr>
              <w:t xml:space="preserve">Sammelfreigabe Rollen-Regeln (9 Datensätze)</w:t>
            </w:r>
          </w:p>
          <w:p>
            <w:pPr>
              <w:spacing w:after="60" w:before="60"/>
            </w:pPr>
            <w:r>
              <w:rPr>
                <w:rFonts w:ascii="Arial" w:cs="Arial" w:eastAsia="Arial" w:hAnsi="Arial"/>
                <w:sz w:val="19"/>
                <w:szCs w:val="19"/>
              </w:rPr>
              <w:t xml:space="preserve">☐  Freigegeben wie vorgelegt, mit Ausnahme der oben mit „Anm.“ markierten Nummern (Anmerkungen bitte am Rand oder in Teil D).</w:t>
            </w:r>
          </w:p>
          <w:p>
            <w:pPr>
              <w:spacing w:after="60" w:before="60"/>
            </w:pPr>
            <w:r>
              <w:rPr>
                <w:rFonts w:ascii="Arial" w:cs="Arial" w:eastAsia="Arial" w:hAnsi="Arial"/>
                <w:sz w:val="19"/>
                <w:szCs w:val="19"/>
              </w:rPr>
              <w:t xml:space="preserve">☐  Nicht freigegeben, Gesamtbesprechung erforderlich.</w:t>
            </w:r>
          </w:p>
          <w:p>
            <w:pPr>
              <w:spacing w:after="0" w:before="120"/>
            </w:pPr>
            <w:r>
              <w:rPr>
                <w:rFonts w:ascii="Arial" w:cs="Arial" w:eastAsia="Arial" w:hAnsi="Arial"/>
                <w:sz w:val="19"/>
                <w:szCs w:val="19"/>
              </w:rPr>
              <w:t xml:space="preserve">Datum / Kürzel: ______________________________</w:t>
            </w:r>
          </w:p>
        </w:tc>
      </w:tr>
    </w:tbl>
    <w:p>
      <w:pPr>
        <w:pStyle w:val="Heading2"/>
        <w:keepNext/>
        <w:spacing w:after="120" w:before="280"/>
      </w:pPr>
      <w:r>
        <w:rPr>
          <w:rFonts w:ascii="Arial" w:cs="Arial" w:eastAsia="Arial" w:hAnsi="Arial"/>
          <w:b/>
          <w:bCs/>
          <w:color w:val="111111"/>
          <w:sz w:val="26"/>
          <w:szCs w:val="26"/>
        </w:rPr>
        <w:t xml:space="preserve">A.3 Anforderungen ohne offenen Punkt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250"/>
        <w:gridCol w:w="3400"/>
        <w:gridCol w:w="1738"/>
        <w:gridCol w:w="1000"/>
      </w:tblGrid>
      <w:tr>
        <w:trPr>
          <w:cantSplit/>
          <w:tblHeader/>
        </w:trPr>
        <w:tc>
          <w:tcPr>
            <w:tcW w:type="dxa" w:w="1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Nr.</w:t>
            </w:r>
          </w:p>
        </w:tc>
        <w:tc>
          <w:tcPr>
            <w:tcW w:type="dxa" w:w="2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Titel</w:t>
            </w:r>
          </w:p>
        </w:tc>
        <w:tc>
          <w:tcPr>
            <w:tcW w:type="dxa" w:w="34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Kernaussage</w:t>
            </w:r>
          </w:p>
        </w:tc>
        <w:tc>
          <w:tcPr>
            <w:tcW w:type="dxa" w:w="1738"/>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Fundstelle(n)</w:t>
            </w:r>
          </w:p>
        </w:tc>
        <w:tc>
          <w:tcPr>
            <w:tcW w:type="dxa" w:w="10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Prüfung</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PFAS-Grenzwerte bei Lebensmittelkontakt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Verpackungen mit Lebensmittelkontakt dürfen seit dem 12.08.2026 nur in Verkehr gebracht werden, wenn sie die PFAS-Grenzwerte einhalten: 25 ppb je Einzelsubstanz, 250 ppb in der Summe und 50 ppm inklusive polymerer PFAS. Das trifft Erzeuger und Importeure.</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5 Abs. 5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Anforderungen an wiederverwendbare Verpackungen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Wer eine Verpackung als Mehrweg einstuft oder vermarktet, muss alle Kriterien des Art. 11 erfüllen – von der Konzeption für mehrere Umläufe bis zur Rekonditionierbarkeit – und die Verpackung muss Teil eines Wiederverwendungssystems sein. Das gilt für alles, was seit dem 11.02.2025 in Verkehr kam.</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11 Abs. 1 i. V. m. Anhang VI PPWR; Art. 15 Abs. 9</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Rollenzuordnung &amp; erweiterte Herstellerpflichten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PPWR und VerpackDG verteilen Pflichten strikt nach Rollen – und die Begriffe sind gegenläufig übersetzt: Der „Erzeuger“ (englisch manufacturer) trägt die Konformitätspflichten, der „Hersteller“ (englisch producer) die EPR-Pflichten wie Registrierung und Systembeteiligung.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Nr. 13/15 &amp; Art. 21 PPWR; §§ 6/7/13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#09</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Bevollmächtigter für die EHV (grenzüberschreitender Direktvertrieb)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Wer als Hersteller ohne Niederlassung im Zielland dort erstmals Verpackungen bereitstellt – vor allem im Direktvertrieb an Endkunden aus einem anderen Mitgliedstaat – muss vorab je Vertriebsland einen Bevollmächtigten für die erweiterte Herstellerverantwortung benennen.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45 Abs. 3 &amp; Art. 3 Nr. 20 PPWR; § 5 Abs. 2–6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Was JETZT NICHT gilt (Entwarnung mit Frist) · gilt ab</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Entwarnung mit Ansage: Recyclingklassen, EU-Rezyklatquoten, das Sortierlabel, die Leerraumquote, die Anhang-V-Verbote und die Mehrwegquoten gelten noch nicht – sie kommen gestaffelt ab 2028/2030, teils erst nach ausstehenden EU-Rechtsakten.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6/7/10/12/24/25/29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Design-for-Recycling-Einstufung (Klassen A/B/C) · Rechtsakt ausstehend, geplant ab 2030-01-01</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Künftig muss jede Verpackung recyclinggerecht designt und in Leistungsklassen (A/B/C) eingestuft sein – wer unter der Mindestklasse liegt, darf nicht mehr in Verkehr bringen. Die Detailkriterien legt die EU erst per delegierte Rechtsakte fest (Frist: 01.01.2028).</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6 Abs. 4 PPWR (delegierte Rechtsakte bis 01.01.2028)</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Recycled at scale · Rechtsakt ausstehend, geplant ab 2035-01-01</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In einer zweiten Stufe gilt eine Verpackung nur noch als recyclingfähig, wenn sie tatsächlich in großem Maßstab getrennt gesammelt, sortiert und recycelt wird. Die Methodik legt die EU erst per Durchführungsrechtsakte fest. Gelten wird das ab dem 01.01.2035 – vorher ist keine Maßnahme nötig, der Radar beobachtet.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6 Abs. 2 lit. b &amp; Abs. 5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#19</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Harmonisiertes Sortierlabel · Rechtsakt ausstehend, geplant ab 2028-08-12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Ein EU-weit einheitliches, piktogrammbasiertes Sortierlabel wird Pflicht – frühestens ab dem 12.08.2028, abhängig vom noch ausstehenden Durchführungsrechtsakt. Nationale Sortierhinweise werden dann verdrängt.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12 Abs. 1/6 PPWR; § 4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Mehrweg-Kennzeichnung + QR-Datenträger · Rechtsakt ausstehend, geplant ab 2029-02-12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Mehrwegverpackungen bekommen künftig ein eigenes Label plus QR-Code oder anderen Datenträger – mit Infos zum System, zu Sammelstellen und zur Umlaufzählung. Das gilt ab dem 12.02.2029 oder 30 Monate nach dem noch ausstehenden Durchführungsrechtsakt.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12 Abs. 2/6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Freiwillige Labels Rezyklat-/Bioanteil · Rechtsakt ausstehend, geplant ab 2028-08-12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Angaben zum Rezyklatanteil oder zum biobasierten Anteil bleiben freiwillig. Aber: Wer sie macht, muss ab Geltung der Regelung die harmonisierten EU-Spezifikationen nutzen – voraussichtlich ab dem 12.08.2028 oder 24 Monate nach dem noch ausstehenden Rechtsakt. (Art. 12 Abs. 4 PPWR)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12 Abs. 4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SUPD-Schnittstelle: EPS-/XPS-Verbote &amp; EWKVerbotsV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bestehenden Verbote für Lebensmittelbehälter und Becher aus expandiertem Polystyrol (EPS) gelten weiter. Ab dem 01.01.2030 kommen die entsprechenden Formate aus extrudiertem Polystyrol (XPS) hinzu – unmittelbar über EU-Recht, ohne dass Deutschland etwas umsetzen muss.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EWKVerbotsV; Art. 67 Abs. 5 PPWR (XPS ab 2030)</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Mehrwegquote Getränke (10 % ab 2030) · gilt ab 2030-01-01</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Ab dem 01.01.2030 müssen Endvertreiber – Handel, Gastronomie, Online – mindestens 10 % ihrer Getränke in Mehrweg-Verkaufsverpackungen anbieten. Es zählt das Angebot, keine Verkaufsquote. Unabhängig davon gelten die deutschen EINWEG/MEHRWEG-Hinweispflichten am Regal schon heute. (Art. 29 Abs. 6 PPWR)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29 Abs. 6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Registrierung im Herstellerregister (LUCID)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Wer als Hersteller Verpackungen in Deutschland erstmals bereitstellt – oder als gewerblicher Auspacker tätig wird – muss sich vorher bei der ZSVR im Register LUCID registrieren. Bestehende Registrierungen gelten fort, Änderungen sind bis zum 12.11.2026 mitzuteilen, erstmals Verpflichtete müssen sich bis zum 12.09.2026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6 VerpackDG; Art. 44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Systembeteiligungspflicht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Hersteller müssen sich vor der ersten Bereitstellung systembeteiligungspflichtiger Verpackungen an mindestens einem dualen System beteiligen – mit Mengen und Materialart. Ausgenommen sind unter anderem Mehrweg im funktionierenden System und pfandpflichtige Einweggetränke.</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7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Vertreiber-Sorgfaltspflichten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Händler müssen vor der Bereitstellung zweierlei prüfen: Trägt die Verpackung die Pflichtkennzeichnungen – und ist der Hersteller im Register des jeweiligen Landes registriert? In Deutschland ist das LUCID, öffentlich einsehbar. Bei Zweifeln gilt: nicht bereitstellen und melden.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19 PPWR; Art. 44</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#40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Lieferanten-Informationspflichten · gilt seit 2026-08-12</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Wer Verpackungen oder Verpackungsmaterial an einen Erzeuger liefert, muss ihm alle Informationen und Unterlagen geben, die er für den Konformitätsnachweis braucht – von der Zusammensetzung inklusive Schwermetallen und PFAS bis zu Prüfberichten. Wer nicht liefert, riskiert die Haftungskette und den Listungsverlust.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16 Abs. 1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bl>
    <w:p>
      <w:pPr>
        <w:spacing w:after="40" w:before="6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shd w:fill="E9F6F1" w:color="auto" w:val="clear"/>
            <w:tcMar>
              <w:top w:type="dxa" w:w="60"/>
              <w:left w:type="dxa" w:w="90"/>
              <w:bottom w:type="dxa" w:w="60"/>
              <w:right w:type="dxa" w:w="90"/>
            </w:tcMar>
            <w:vAlign w:val="top"/>
          </w:tcPr>
          <w:p>
            <w:pPr>
              <w:spacing w:after="60" w:before="0"/>
            </w:pPr>
            <w:r>
              <w:rPr>
                <w:rFonts w:ascii="Arial" w:cs="Arial" w:eastAsia="Arial" w:hAnsi="Arial"/>
                <w:b/>
                <w:bCs/>
                <w:sz w:val="20"/>
                <w:szCs w:val="20"/>
              </w:rPr>
              <w:t xml:space="preserve">Sammelfreigabe Anforderungen (16 Datensätze)</w:t>
            </w:r>
          </w:p>
          <w:p>
            <w:pPr>
              <w:spacing w:after="60" w:before="60"/>
            </w:pPr>
            <w:r>
              <w:rPr>
                <w:rFonts w:ascii="Arial" w:cs="Arial" w:eastAsia="Arial" w:hAnsi="Arial"/>
                <w:sz w:val="19"/>
                <w:szCs w:val="19"/>
              </w:rPr>
              <w:t xml:space="preserve">☐  Freigegeben wie vorgelegt, mit Ausnahme der oben mit „Anm.“ markierten Nummern (Anmerkungen bitte am Rand oder in Teil D).</w:t>
            </w:r>
          </w:p>
          <w:p>
            <w:pPr>
              <w:spacing w:after="60" w:before="60"/>
            </w:pPr>
            <w:r>
              <w:rPr>
                <w:rFonts w:ascii="Arial" w:cs="Arial" w:eastAsia="Arial" w:hAnsi="Arial"/>
                <w:sz w:val="19"/>
                <w:szCs w:val="19"/>
              </w:rPr>
              <w:t xml:space="preserve">☐  Nicht freigegeben, Gesamtbesprechung erforderlich.</w:t>
            </w:r>
          </w:p>
          <w:p>
            <w:pPr>
              <w:spacing w:after="0" w:before="120"/>
            </w:pPr>
            <w:r>
              <w:rPr>
                <w:rFonts w:ascii="Arial" w:cs="Arial" w:eastAsia="Arial" w:hAnsi="Arial"/>
                <w:sz w:val="19"/>
                <w:szCs w:val="19"/>
              </w:rPr>
              <w:t xml:space="preserve">Datum / Kürzel: ______________________________</w:t>
            </w:r>
          </w:p>
        </w:tc>
      </w:tr>
    </w:tbl>
    <w:p>
      <w:pPr>
        <w:pStyle w:val="Heading2"/>
        <w:keepNext/>
        <w:spacing w:after="120" w:before="280"/>
      </w:pPr>
      <w:r>
        <w:rPr>
          <w:rFonts w:ascii="Arial" w:cs="Arial" w:eastAsia="Arial" w:hAnsi="Arial"/>
          <w:b/>
          <w:bCs/>
          <w:color w:val="111111"/>
          <w:sz w:val="26"/>
          <w:szCs w:val="26"/>
        </w:rPr>
        <w:t xml:space="preserve">A.4 Praxisfragen ohne offenen Punkt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250"/>
        <w:gridCol w:w="3400"/>
        <w:gridCol w:w="1738"/>
        <w:gridCol w:w="1000"/>
      </w:tblGrid>
      <w:tr>
        <w:trPr>
          <w:cantSplit/>
          <w:tblHeader/>
        </w:trPr>
        <w:tc>
          <w:tcPr>
            <w:tcW w:type="dxa" w:w="1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Nr.</w:t>
            </w:r>
          </w:p>
        </w:tc>
        <w:tc>
          <w:tcPr>
            <w:tcW w:type="dxa" w:w="2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Praxisfrage</w:t>
            </w:r>
          </w:p>
        </w:tc>
        <w:tc>
          <w:tcPr>
            <w:tcW w:type="dxa" w:w="34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Kernaussage</w:t>
            </w:r>
          </w:p>
        </w:tc>
        <w:tc>
          <w:tcPr>
            <w:tcW w:type="dxa" w:w="1738"/>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Fundstelle(n)</w:t>
            </w:r>
          </w:p>
        </w:tc>
        <w:tc>
          <w:tcPr>
            <w:tcW w:type="dxa" w:w="10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Prüfung</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A01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Lohnabfüllung: Wer ist der Erzeuger?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PPWR trennt zwei Rollen, die das VerpackG in „Hersteller“ bündelte. Erzeuger (Konformitätsschiene) ist, wer die Verpackung oder das verpackte Produkt unter eigenem Namen oder eigener Marke entwickeln oder herstellen LÄSST – das eigene Abfüllen ist nicht nötig (Art. 3 Abs. 1 Nr. 13 lit. a PPWR).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lit. a PPWR; Art. 15 Abs. 1 u. 2 PPWR; Leitfaden C(2026) 3702 Abschn. 2</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A03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Handels-Eigenmarke: Wer trägt welche Rolle?</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Beim mehrstufigen Private Label fallen die Rollen typischerweise auseinander. Erzeuger ist der Händler, weil das Produkt unter SEINER Marke hergestellt wird (Art. 3 Abs. 1 Nr. 13 lit. a PPWR) – er trägt die Konformitätsverantwortung (Art. 15).</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lit. a PPWR; Art. 3 Abs. 1 Nr. 15 lit. b PPWR; §§ 6, 7, 9 VerpackDG; Leitfaden C(2026) 3702 Abschn. 2 u. 3</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A04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Kleiner Onlineshop mit Logo-Ware: Erzeuger?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Ja, wenn die Kleinstunternehmen-Ausnahme greift: Fällt der Markeninhaber unter die am 11.02.2025 geltende Kleinstunternehmen-Definition der Empfehlung 2003/361/EG (unter 10 Beschäftigte UND Jahresumsatz oder Bilanzsumme max. 2 Mio.</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lit. b PPWR; Empfehlung 2003/361/EG; Leitfaden C(2026) 3702 Abschn. 2</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A06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Kleinstunternehmen mit EU-Lieferant: Wer haftet?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Ja, entscheidend. Die Kleinstunternehmen-Entlastung des Art. 3 Abs. 1 Nr. 13 lit. b PPWR setzt zwingend voraus, dass der Verpackungslieferant im SELBEN Mitgliedstaat ansässig ist wie Sie. Sitzt er in Polen und Sie in Deutschland, ist die Bedingung nicht erfüllt.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lit. a u. b PPWR; §§ 6, 7 VerpackDG; § 9 Abs. 2 VerpackDG; § 10 Abs. 4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A07</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Auspacken von Palettenware: Neue Pflichten?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Der Berater hat vermutlich recht. „Hersteller“ ist in der PPWR keine Produktionsrolle, sondern die EPR-Rolle. Nach dem Auffangtatbestand des Art. 3 Abs. 1 Nr. 15 lit. e PPWR ist Hersteller, wer in einem Mitgliedstaat niedergelassen ist und verpackte Produkte AUSPACKT, ohne Endabnehmer zu sein – es sei denn, eine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e PPWR; § 6 Abs. 1 VerpackDG; § 7 Abs. 1 VerpackDG; § 13 Abs. 1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A08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Auspacker-Regel: Betrifft uns das?</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In dieser Konstellation regelmäßig nein, aus zwei Gründen. Erstens ist der Auspacker-Tatbestand subsidiär: Er greift nur, wenn NICHT bereits eine andere Person Hersteller nach Art. 3 Abs. 1 Nr. 15 lit. a–d PPWR ist.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e PPWR; Art. 3 Abs. 1 Nr. 23 PPWR; § 39 Abs. 1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US-Konzern mit Zweigniederlassung: Wer ist Hersteller?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Nein. Importeur kann nur eine IN DER UNION ANSÄSSIGE natürliche oder juristische Person sein (Art. 3 Abs. 1 Nr. 17 PPWR). Nach der Kommissions-Auslegung erfüllt eine unselbstständige Zweigniederlassung dieses Merkmal nicht: Sie hat keine eigene Rechtspersönlichkeit, handelt nur unter der Identität der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17 PPWR; Art. 17 PPWR; § 5 Abs. 2 VerpackDG; Leitfaden C(2026) 3702 Abschn. 4</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Bevollmächtigter vs. EPR-Bevollmächtigter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Das sind zwei völlig getrennte Institute auf zwei Schienen. Der Bevollmächtigte nach Art. 3 Abs. 1 Nr. 19 i. V. m. Art. 17 PPWR wird vom ERZEUGER schriftlich mandatiert und übernimmt Aufgaben der Konformitätsschiene (z. B. Ausstellung der EU-Konformitätserklärung) – er ist stets freiwillig.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19 u. 20 PPWR; Art. 17 PPWR; Art. 45 Abs. 3 PPWR; § 5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AT-Webshop an deutsche Endkunden: Pflichten?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Sie sind Hersteller in Deutschland nach Art. 3 Abs. 1 Nr. 15 lit. d PPWR (Erstbereitstellung verpackter Produkte direkt an Endabnehmer im Hoheitsgebiet eines anderen Mitgliedstaats); beim Online-Verkauf gilt bereits das Angebot an den Endkunden als Bereitstellung im Zielstaat (Leitfaden Abschn. 3).</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d PPWR; Art. 45 Abs. 3 Satz 1 PPWR; § 5 Abs. 2–5 VerpackDG; § 6 VerpackDG; § 13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China-Lieferant über Marktplatz: Wer haftet?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Ja. Auch ein in einem Drittland niedergelassener Anbieter ist Hersteller in Deutschland, wenn er verpackte Produkte erstmals direkt an Endabnehmer im Bundesgebiet bereitstellt (Art. 3 Abs. 1 Nr. 15 lit. d PPWR: „in einem Mitgliedstaat oder in einem Drittland niedergelassen“). Deutschland hat die Option des Art.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d PPWR; Art. 45 Abs. 3 Satz 2 u. Abs. 4 PPWR; § 5 Abs. 2 Satz 2 VerpackDG; § 13 Abs. 3 u. 4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Bäckertüten vom Großhandel: Bin ich Hersteller?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Systematik hat sich zu Ihren Gunsten gedreht. Serviceverpackungen gehören zu den Verpackungsarten, bei denen die Herstellerrolle an der LEEREN Verpackung ansetzt: Hersteller ist, wer die Transport-, Service- oder Primärproduktionsverpackung erstmals im Bundesgebiet bereitstellt (Art. 3 Abs. 1 Nr. 15 lit.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a PPWR; ErwG 122 PPWR; § 3 Abs. 6 VerpackDG; Leitfaden C(2026) 3702 Abschn. 3</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Export nach Frankreich: Wer lizenziert dort?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Nein. Die Herstellerrolle entsteht je Mitgliedstaat dort, wo die Verpackung erstmals bereitgestellt wird – im Staat, in dem sie voraussichtlich zu Abfall wird (Art. 3 Abs. 1 Nr. 15 lit. b, ErwG 122 PPWR). Liefern Sie an den französischen Großhändler, erfolgt die erste Bereitstellung in Frankreich;</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b PPWR; ErwG 122 PPWR; § 11 Nr. 4 VerpackDG; Leitfaden C(2026) 3702 Abschn. 3</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Schweiz-Export: Zählt das in die Mengen?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Nein. Die erweiterte Herstellerverantwortung knüpft an die Bereitstellung im Hoheitsgebiet eines Mitgliedstaats an (Art. 45 Abs. 1 PPWR); wird die Ware in ein Drittland exportiert, wo sie zu Abfall wird, entsteht in keinem Mitgliedstaat eine Herstellerrolle (Leitfaden Abschn.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45 Abs. 1 PPWR; § 11 Nr. 4 VerpackDG; Leitfaden C(2026) 3702 Abschn. 3; EUNR-Papier Producer Definition (Sekundärquelle)</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A19</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Importeur: Vom Alt-„Hersteller" zu welchen Rollen?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Typischerweise drei. (1) Importeur nach Art. 3 Abs. 1 Nr. 17 PPWR mit eigenen Konformitäts-Prüfpflichten: Sie dürfen nur Verpackungen in Verkehr bringen, bei denen der Erzeuger Konformitätsbewertung, Doku und Kennzeichnung erledigt hat, und müssen Ihre eigenen Kontaktangaben ergänzen (Art. 18, insb. Abs. 3).</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lit. b u. Nr. 17 PPWR; Art. 18 PPWR; Art. 21 PPWR; §§ 6, 7, 9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A20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Eigenmarken-Handel: Werden wir Erzeuger?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Ja. Bringt ein Importeur oder Vertreiber Verpackungen unter eigenem Namen oder eigener Marke in Verkehr, gilt er als Erzeuger und unterliegt den Erzeuger-Pflichten nach Art. 15 (Art. 21 UAbs. 1 PPWR) – also Konformitätsbewertung (Art. 38), technische Dokumentation (Anhang VII) und EU-Konformitätserklärung (Art.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21 PPWR; Art. 15 PPWR; Art. 16 PPWR; Art. 38 u. 39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A21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Firmengruppe: Eine Registrierung oder drei?</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Nein. Hersteller ist „jede natürliche oder juristische Person“, die einen Tatbestand des Art. 3 Abs. 1 Nr. 15 PPWR erfüllt – die Rolle entsteht je Rechtsträger, nicht je Konzern. Jede GmbH, die selbst erstmals im Bundesgebiet bereitstellt (oder auspackt, lit. e), ist eigenständig registrierungspflichtig (§ 6 Abs.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15 PPWR; § 5 Abs. 1 Satz 2 VerpackDG; § 6 Abs. 1 u. 2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A22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Eigene Limo im Handel: Welche Rollen haben wir?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Beides – die Doppelrolle ist der Normalfall des inländischen Markenabfüllers. Erzeuger sind Sie, weil die Verkaufsverpackung unter Ihrem Namen befüllt/versiegelt und in Verkehr gebracht wird (Art. 3 Abs. 1 Nr. 13 PPWR; Leitfaden Abschn. 2: Abfüller mit finalen Verarbeitungsschritten).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13 PPWR; Art. 3 Abs. 1 Nr. 15 lit. b PPWR; §§ 6, 7, 9, 10 VerpackDG; § 11 Nr. 2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A24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Endvertreiber = alter Letztvertreiber?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Funktional ja, terminologisch neu. Endvertreiber ist die Person in der Lieferkette, die verpackte Produkte – auch im Wege der Wiederverwendung oder als Wiederbefüllung – an den Endabnehmer liefert (Art. 3 Abs. 1 Nr. 21 PPWR); das erfasst stationären Handel, Gastronomie und Fernabsatz gleichermaßen.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21 PPWR; Art. 19 PPWR; §§ 46, 47, 60 VerpackDG; § 12 Abs. 1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A25</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Eine Rolle je Firma – oder je Produktlinie?</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Es gibt keine pauschale Firmenrolle. Alle Rollen der PPWR (Erzeuger, Hersteller, Importeur, Vertreiber, Endvertreiber, Lieferant, Fulfilment-Dienstleister) knüpfen an konkrete Tätigkeiten in Bezug auf konkrete Verpackungen an (Art. 3 Abs. 1 Nr. 12–21 PPWR);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12–21 PPWR; Leitfaden C(2026) 3702 Abschn. 2–4</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B01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LUCID: Gilt die alte Registrierung weiter?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Sie gilt fort. Wer nach § 9 VerpackG (Fassung bis 11.08.2026) registriert ist, gilt auch nach § 6 VerpackDG als registriert (§ 68 Abs. 2 Satz 1 VerpackDG). Folge: Keine Neuregistrierung – aber eine Pflicht zur Aktualisierung: Änderungen der Registrierungsdaten nach neuem Recht (z. B. neue Angaben nach § 6 Abs.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68 Abs. 2 Satz 1 u. 2 VerpackDG; § 6 Abs. 1 u. 2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B02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Erstmals registrierungspflichtig: Frist?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Für Bestands-Konstellationen gibt es eine Nachfrist: Hersteller, die nach § 6 Abs. 1 VerpackDG erstmals registrierungspflichtig sind und nicht bereits nach § 9 VerpackG a. F. registrierungspflichtig waren, müssen sich bis zum 12. September 2026 registrieren (§ 68 Abs. 2 Satz 3).</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68 Abs. 2 Satz 3 VerpackDG; § 6 Abs. 1 VerpackDG; § 13 Abs. 1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B03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Systemvertrag bis 2027: Weiterlaufen lassen?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Nur begrenzt. Systembeteiligungen nach § 7 VerpackG a. F., die vor dem 12.08.2026 erfolgt sind, gelten – vorbehaltlich abweichender privatrechtlicher Vereinbarungen – fort, längstens jedoch bis zum Ablauf des 31. Dezember 2026 (§ 68 Abs. 1 VerpackDG).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68 Abs. 1 VerpackDG; § 7 Abs. 1 VerpackDG; § 13 Abs. 1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B04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Bußgeld-Moratorium bis 2027: Zeit lassen?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Das Gerücht verkürzt gefährlich. Richtig ist nur: Die Bußgeldtatbestände für Verstöße gegen die PPWR selbst (§ 66 Abs. 2 VerpackDG) sind erst ab dem 12. Februar 2027 anzuwenden (§ 68 Abs. 17). Falsch ist der Umkehrschluss: Die NATIONALEN Bußgeldtatbestände (§ 66 Abs. 1 – z. B.</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66 Abs. 1 u. 2 VerpackDG; § 68 Abs. 17 VerpackDG; § 13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B06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Vollständigkeitserklärung: Ab welchen Mengen?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Schwellen stehen jetzt in § 10 Abs. 4 VerpackDG: Befreit ist, wer systembeteiligungspflichtige Verpackungen im vorangegangenen Kalenderjahr höchstens in folgenden Mengen im Bundesgebiet bereitgestellt hat – Glas unter 80 Tonnen, Papier/Pappe/Karton unter 50 Tonnen, übrige Materialarten (nach § 42 Abs.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10 Abs. 4 VerpackDG; § 10 Abs. 1 u. 3 VerpackDG; § 56 Abs. 2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B07</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Parallelmeldung an die ZSVR: Wirklich sofort?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Grundsatz ja, mit Kleinmengen-Erleichterung. Hersteller müssen die im Rahmen der Systembeteiligung getätigten Angaben (Registrierungsnummer, Materialart/Masse, System, Zeitraum) unverzüglich nach Übermittlung an das System auch der ZSVR melden (§ 9 Abs. 1 VerpackDG).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9 Abs. 1 u. 2 VerpackDG; § 5 Abs. 1 Satz 2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B08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Pfand: Was ändert sich für Saft und Limo?</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Inhaltlich weitgehend Kontinuität, jetzt in §§ 46/47 VerpackDG. Es bleibt beim Mindestpfand von 0,25 € je Einweggetränkeverpackung, der Pfandkennzeichnung vor der Bereitstellung, der Teilnahme am bundesweit einheitlichen Pfandsystem und den Rücknahme-/Erstattungspflichten auf allen Handelsstufen (§ 46 Abs. 1–3).</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46 Abs. 1–5 VerpackDG; § 47 VerpackDG; § 11 Nr. 2 VerpackDG; Art. 50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B09</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EINWEG/MEHRWEG-Kennzeichnung im Onlineshop</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Ja. Die Hinweispflichten der Endvertreiber (EINWEG bei pfandpflichtigen Einweg-Getränkeverpackungen, MEHRWEG bei wiederverwendbaren Getränkeverpackungen) gelten im Fernabsatz entsprechend – die Hinweise sind in den jeweils verwendeten Darstellungsmedien zu geben (§ 47 Abs. 1–3 VerpackDG), also z. B.</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47 Abs. 1–5 VerpackDG; § 66 Abs. 1 Nr. 26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B10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Hersteller vs. Erstinverkehrbringer</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Nein – Vorsicht Begriffsfalle. „Erstinverkehrbringer“ (jede Person, die Verpackungen erstmals gewerbsmäßig im Bundesgebiet bereitstellt) und „Inverkehrbringer“ sind rein nationale Hilfsbegriffe des § 3 Abs. 17 u. 18 VerpackDG;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3 Abs. 17 u. 18 VerpackDG; § 46 VerpackDG; Art. 3 Abs. 1 Nr. 13 u. 15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B11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Mehrwegkisten: Lizenz und Registrierung nötig?</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Beides ja. Die Systembeteiligungspflicht (und §§ 8–10) gilt nicht für Hersteller wiederverwendbarer Verpackungen, deren tatsächliche Rücknahme und Wiederverwendung durch ein bestehendes Wiederverwendungssystem ermöglicht wird (§ 11 Nr. 1 VerpackDG). Die Registrierungspflicht bleibt davon aber unberührt: § 6 Abs.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11 Nr. 1 VerpackDG; § 6 Abs. 1 u. 2 VerpackDG; § 39 Abs. 1 Satz 1 Nr. 6 VerpackDG; Art. 11 PPWR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B12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Reine B2B-Transportverpackungen: Befreit?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Aus der Systembeteiligung meist ja, aus dem Pflichtenkreis nein. Systembeteiligungspflichtig sind nur Verpackungen, die typischerweise mehrheitlich in privaten Haushaltungen oder vergleichbaren Anfallstellen als Abfall anfallen (§ 3 Abs. 6 VerpackDG) – reine B2B-Transportverpackungen regelmäßig nicht.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3 Abs. 6 u. 7 VerpackDG; § 39 Abs. 1 u. 3 VerpackDG; § 19 VerpackDG; § 68 Abs. 9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B13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Branchenlösung: Bleibt sie zulässig?</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Nein, aber es gibt eine Zulassungs-Uhr. Branchenlösungen bleiben als Erfüllungsweg erhalten (§ 8 VerpackDG: unentgeltliche Rücknahme bei nachweislich belieferten vergleichbaren Anfallstellen statt Systembeteiligung), neu ist eine Zulassungspflicht. Übergang: Wer den Betrieb vor dem 12.08.2026 nach § 8 Abs.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8 VerpackDG; § 68 Abs. 6 u. 7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B14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Händler-Prüfpflicht: Lieferanten in LUCID checken?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Ja, das ist zweifach angeordnet. EU-Ebene: Vertreiber müssen vor der Bereitstellung überprüfen, dass der Hersteller im Herstellerregister des jeweiligen Mitgliedstaats registriert ist (Art. 19 PPWR i. V. m. Art. 44) und dass die Kennzeichnungen nach Art. 15 Abs. 5/6 bzw. Art. 18 Abs. 3 vorhanden sind.</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19 PPWR; Art. 44 PPWR; § 13 Abs. 3 VerpackDG; § 6 Abs. 4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C01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Lagerbestand aus 2025: Abverkauf erlaubt?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Entscheidend ist nicht das Produktionsdatum, sondern das Inverkehrbringen – die ERSTMALIGE Bereitstellung (Art. 3 Abs. 1 Nr. 10 u. 11 PPWR). Lebensmittelkontakt-Verpackungen, die ab dem 12.08.2026 in Verkehr gebracht werden, müssen die PFAS-Grenzwerte des Art. 5 Abs. 5 einhalten;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 Abs. 1 Nr. 10 u. 11 PPWR; Art. 5 Abs. 5 PPWR; Leitfaden C(2026) 3702 Abschn. 5</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C02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PFAS-Grenzwerte: Was müssen Lieferanten liefern?</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Seit 12.08.2026 darf Lebensmittelkontakt-Verpackung nicht in Verkehr gebracht werden, wenn sie PFAS in folgenden Konzentrationen enthält: 25 ppb je Einzelsubstanz (gezielte Analyse, polymere PFAS ausgenommen), 250 ppb als Summe der gezielten Analysen (ggf.</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5 Abs. 5 PPWR; Leitfaden C(2026) 3702 Abschn. 5</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C04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Private Label: Wer unterschreibt die Erklärung?</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Erklärung ist Sache des Erzeugers – beim Private Label also des Markeninhabers (Art. 3 Abs. 1 Nr. 13 lit. a, Art. 39 PPWR). Delegation ist zweistufig möglich: (1) Das Konformitätsbewertungsverfahren selbst darf ein Dritter im Auftrag durchführen (z. B.</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39 PPWR; Art. 15 Abs. 2 PPWR; Art. 16 Abs. 1 PPWR; Art. 17 PPWR; Leitfaden C(2026) 3702 Abschn. 2</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C06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Als „Mehrweg" vermarkten: Was ist nötig?</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Nein. Als wiederverwendbar gilt eine Verpackung nur, wenn sie ALLE Kriterien des Art. 11 Abs. 1 lit. a–i PPWR erfüllt (u. a. Konzeption für Mehrfachumläufe, Entleer-/Wiederbefüllbarkeit ohne Beschädigung, Rekonditionierbarkeit nach Anhang VI Teil B, Kennzeichnungsfähigkeit, Recyclingfähigkeit am Lebensende) UND Teil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Art. 11 Abs. 1 i. V. m. Anhang VI PPWR; Art. 15 Abs. 9 PPWR; Leitfaden C(2026) 3702 Abschn. 12; § 11 Nr. 1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C08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Kleines Café: Mehrweg-Angebotspflicht?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Mehrwegangebotspflicht gilt weiter (Fortführung aus §§ 33/34 VerpackG): Endvertreiber, die Einwegkunststoff-Lebensmittelverpackungen oder Einweg-Getränkebecher erst vor Ort befüllen, müssen die Ware auch in wiederverwendbaren Verpackungen anbieten – nicht teurer und nicht zu schlechteren Bedingungen,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 60 VerpackDG; § 61 VerpackDG</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bl>
    <w:p>
      <w:pPr>
        <w:spacing w:after="40" w:before="6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shd w:fill="E9F6F1" w:color="auto" w:val="clear"/>
            <w:tcMar>
              <w:top w:type="dxa" w:w="60"/>
              <w:left w:type="dxa" w:w="90"/>
              <w:bottom w:type="dxa" w:w="60"/>
              <w:right w:type="dxa" w:w="90"/>
            </w:tcMar>
            <w:vAlign w:val="top"/>
          </w:tcPr>
          <w:p>
            <w:pPr>
              <w:spacing w:after="60" w:before="0"/>
            </w:pPr>
            <w:r>
              <w:rPr>
                <w:rFonts w:ascii="Arial" w:cs="Arial" w:eastAsia="Arial" w:hAnsi="Arial"/>
                <w:b/>
                <w:bCs/>
                <w:sz w:val="20"/>
                <w:szCs w:val="20"/>
              </w:rPr>
              <w:t xml:space="preserve">Sammelfreigabe Praxisfragen (37 Datensätze)</w:t>
            </w:r>
          </w:p>
          <w:p>
            <w:pPr>
              <w:spacing w:after="60" w:before="60"/>
            </w:pPr>
            <w:r>
              <w:rPr>
                <w:rFonts w:ascii="Arial" w:cs="Arial" w:eastAsia="Arial" w:hAnsi="Arial"/>
                <w:sz w:val="19"/>
                <w:szCs w:val="19"/>
              </w:rPr>
              <w:t xml:space="preserve">☐  Freigegeben wie vorgelegt, mit Ausnahme der oben mit „Anm.“ markierten Nummern (Anmerkungen bitte am Rand oder in Teil D).</w:t>
            </w:r>
          </w:p>
          <w:p>
            <w:pPr>
              <w:spacing w:after="60" w:before="60"/>
            </w:pPr>
            <w:r>
              <w:rPr>
                <w:rFonts w:ascii="Arial" w:cs="Arial" w:eastAsia="Arial" w:hAnsi="Arial"/>
                <w:sz w:val="19"/>
                <w:szCs w:val="19"/>
              </w:rPr>
              <w:t xml:space="preserve">☐  Nicht freigegeben, Gesamtbesprechung erforderlich.</w:t>
            </w:r>
          </w:p>
          <w:p>
            <w:pPr>
              <w:spacing w:after="0" w:before="120"/>
            </w:pPr>
            <w:r>
              <w:rPr>
                <w:rFonts w:ascii="Arial" w:cs="Arial" w:eastAsia="Arial" w:hAnsi="Arial"/>
                <w:sz w:val="19"/>
                <w:szCs w:val="19"/>
              </w:rPr>
              <w:t xml:space="preserve">Datum / Kürzel: ______________________________</w:t>
            </w:r>
          </w:p>
        </w:tc>
      </w:tr>
    </w:tbl>
    <w:p>
      <w:pPr>
        <w:pStyle w:val="Heading2"/>
        <w:keepNext/>
        <w:spacing w:after="120" w:before="280"/>
      </w:pPr>
      <w:r>
        <w:rPr>
          <w:rFonts w:ascii="Arial" w:cs="Arial" w:eastAsia="Arial" w:hAnsi="Arial"/>
          <w:b/>
          <w:bCs/>
          <w:color w:val="111111"/>
          <w:sz w:val="26"/>
          <w:szCs w:val="26"/>
        </w:rPr>
        <w:t xml:space="preserve">A.5 Glossar ohne offenen Punkt (48)</w:t>
      </w:r>
    </w:p>
    <w:p>
      <w:pPr>
        <w:spacing w:after="60" w:before="60"/>
      </w:pPr>
      <w:r>
        <w:rPr>
          <w:rFonts w:ascii="Arial" w:cs="Arial" w:eastAsia="Arial" w:hAnsi="Arial"/>
          <w:sz w:val="19"/>
          <w:szCs w:val="19"/>
        </w:rPr>
        <w:t xml:space="preserve">Das Glossar enthält keine eigenständigen Rechtsaussagen, nur beschreibende Einordnung und Verweise auf die geprüften Datensätze. Prüfbitte: Ist ein Begriff falsch einsortiert oder ein Verweis irreführend?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250"/>
        <w:gridCol w:w="3400"/>
        <w:gridCol w:w="1738"/>
        <w:gridCol w:w="1000"/>
      </w:tblGrid>
      <w:tr>
        <w:trPr>
          <w:cantSplit/>
          <w:tblHeader/>
        </w:trPr>
        <w:tc>
          <w:tcPr>
            <w:tcW w:type="dxa" w:w="1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Nr.</w:t>
            </w:r>
          </w:p>
        </w:tc>
        <w:tc>
          <w:tcPr>
            <w:tcW w:type="dxa" w:w="225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Lemma</w:t>
            </w:r>
          </w:p>
        </w:tc>
        <w:tc>
          <w:tcPr>
            <w:tcW w:type="dxa" w:w="34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Kernaussage</w:t>
            </w:r>
          </w:p>
        </w:tc>
        <w:tc>
          <w:tcPr>
            <w:tcW w:type="dxa" w:w="1738"/>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Fundstelle(n)</w:t>
            </w:r>
          </w:p>
        </w:tc>
        <w:tc>
          <w:tcPr>
            <w:tcW w:type="dxa" w:w="10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Prüfung</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Marmeladenglas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aus Glas mit Metall-Twist-off-Deckel und Etikett – eine Verpackungseinheit aus mehreren Bestandteilen (Glaskörper, Deckel, Etikett). Im Handel praktisch immer Einweg, auch wenn Kunden das Glas zu Hause weiterverwenden;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#01, #07, #32, A01, A02, C06, erzeuger, hersteller,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Versandkarton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Wellpappe-Verpackung, in der Ware im Versandhandel zum Endkunden geht – die PPWR kennt dafür den eigenen Typ E-Commerce-Versandverpackung. Fällt typischerweise beim privaten Endkunden als Abfall an.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#18, #19, #27, #32, hersteller, endvertreiber, fulfillment_dienstleister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Getränkedose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Einweg-Getränkeverkaufsverpackung aus Aluminium oder Weißblech mit Aufreißdeckel. Der klassische Pfand-Fall: Dosen gehören zu den Formaten, bei denen die Getränke-Ausnahmen vom Pfand gerade nicht greifen (Rückausnahme).</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#36, #01, #31, B08, hersteller, vertreiber,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L05</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Skin-/Wurstverpackung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für Fleisch- und Wurstwaren, bei der eine Folie das Produkt hauteng auf einer Trägerschale fixiert (Skin) oder unter Schutzatmosphäre verschließt (MAP).</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#02, #11, #12, #32, erzeuger,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Coffee-to-go-Becher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Einweg-Getränkebecher, der erst an der Theke befüllt wird – damit eine Serviceverpackung. Meist Papier mit PE-Innenbeschichtung (Verbund) plus Kunststoffdeckel. Kernformat der Mehrwegangebotspflicht in Gastronomie und To-go; direkter Lebensmittelkontakt.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#29, #26, #32, C08, A14, endvertreiber,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L09</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Bäckertüte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Serviceverpackung in Reinform: Die Tüte wird erst an der Verkaufsstelle befüllt und an den Kunden abgegeben. Meist Papier, teils mit Folien-Sichtfenster oder Pergamin-Einlage. Direkter Lebensmittelkontakt; fettabweisende Ausrüstungen sind der PFAS-Prüfpunkt.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#02, #32, A14, A15, endvertreiber, hersteller, lieferant</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Glas-Mehrwegflasche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Wiederverwendbare Getränkeverkaufsverpackung aus Glas im Pool- oder Individualsystem, mit Umlauf über Kästen und Rücknahme. Der Mehrweg-Status setzt Kriterien-Erfüllung plus Zugehörigkeit zu einem Wiederverwendungssystem voraus – Stabilität allein genügt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#03, #30, #36, C06, B11, hersteller,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Getränkekarton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aus Karton-Kunststoff-(teils Aluminium-)Verbund für Getränke und flüssige Lebensmittel. Als Verbund mit relevantem Kunststoffanteil ein Kernfall der Verbund-Diskussion im Recycling-Design;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#36, #11, #12, #24, B08, erzeuger,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Joghurtbecher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aus PP oder PS, oft mit Aluminium-Platine als Deckel und teils Kartonmantel (K3) – eine Verpackungseinheit aus mehreren, getrennt entsorgbaren Bestandteilen. Genau diese Bestandteil-Logik (integriert vs.</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#32, #11, #12, #19, erzeuger,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L15</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Konservendose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aus Weißblech (verzinntem Stahl) mit Innenlackierung für haltbare Lebensmittel. Kein Pfand-Fall – Konserven sind keine Getränkeverpackungen. Lebensmittelkontakt über die Innenlackierung.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#01, #32, erzeuger,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Tube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aus Aluminium oder Kunststoff-Laminat (oft mit Alu-Barriereschicht) für pastöse Füllgüter von Senf bis Kosmetik. Laminattuben sind ein typischer Mehrschicht-Verbund-Fall im Recycling-Design. Lebensmittelkontakt je nach Füllgut.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#12, #32, erzeuger,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L17</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Blisterverpackung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bei der das Produkt zwischen tiefgezogener Kunststoffschale (klassisch PVC oder PET) und Karton- oder Folienrückseite sitzt – als Pharma-Durchdrückblister oder Sicht-/Hängeverpackung im Non-Food. Der Materialmix Kunststoff/Karton bzw.</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#12, #19, #32, erzeuger,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Faltschachtel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 oder Umverpackung aus Karton, flach angeliefert und beim Abpacken aufgerichtet. Mit Sichtfenster oder Beschichtung wird aus dem Mono-Material schnell ein Verbund-Kandidat. Lebensmittelkontakt typischerweise mittelbar über Innenbeutel.</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#32, #11, #17, erzeuger,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Papiertragetasche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Tragetasche aus Papier, an der Kasse oder als Versandbeipack. Vom deutschen Tragetaschenverbot nicht erfasst – das zielt auf Kunststoff. An der Verkaufsstelle Teil der Serviceverpackungs-Kette.</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#25, #32, A14, endvertreiber,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Menüschale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Serviceverpackung der Gastronomie für Speisen zum Mitnehmen oder Liefern – als Kunststoffschale, Faserguss-/Bagasse-Schale oder beschichtete Kartonschale, historisch auch EPS. Kernformat der Mehrwegangebotspflicht bei Einwegkunststoff-Varianten;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#29, #26, #32, C08, endvertreiber,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L25</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Eimer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 oder Transportverpackung aus PP/HDPE mit Bügel und Deckel – für Farben, Baustoffe oder Großgebinde-Lebensmittel. Gehört zu den Formaten der Transport-Mehrwegquoten; im reinen B2B-Strom greift die Rücknahme-Logik statt der Systembeteiligung.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#27, #34, #32, B12, hersteller, vertreiber,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Kanister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Transport- und Verkaufsverpackung aus HDPE (teils Metall) für flüssige Füllgüter von Reinigern bis Chemikalien. Bei schadstoffhaltigen Füllgütern gelten eigene Rücknahme-Pfade statt dualem System;</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#27, #34, #32, B12, hersteller, 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L27</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IBC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Großgebinde (typisch 1.000 Liter) aus HDPE-Blase, Stahl-Gitterrahmen und Palette – Transportverpackung im industriellen Umlauf, regelmäßig rekonditioniert und wiederverwendet.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#27, #03, #30, #34, C07, B12, hersteller, lieferant</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Tray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Umverpackung, die mehrere Verkaufseinheiten bündelt – als offener Karton-Tray, oft mit Schrumpffolie kombiniert. Wird sie vor dem Regal entsorgt, ist sie eine eigene Verpackungseinheit. Leerraum- und Minimierungs-Themen laufen hier zusammen.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#17, #18, #32, hersteller, 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L29</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Chipstüte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aus mehrschichtiger, häufig metallisierter Kunststofffolie (teils mit Alu- oder Papierlage) – der Standardfall des flexiblen Verbunds. Recycling-Design und die Verbund-Einstufung nach Kunststoffanteil sind die Praxisthemen.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#12, #24, #32, erzeuger,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Getränkekasten (objekt)</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Wiederverwendbare Transport-/Umverpackung aus HDPE für Mehrwegflaschen – mit Pfand belegt und in Poolsystemen im Umlauf. Kunststoffkästen mit Rezyklateinsatz sind neben Paletten der Anwendungsfall der deutschen Schwermetall-Ausnahme für geschlossene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#03, #01, #30, C05, C06, B11,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Papier/Pappe/Karton (PPK)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Sammelbegriff der faserbasierten Verpackungsmaterialien und eigene Materialfraktion mit eigener VE-Schwelle. Gilt als etabliert recycelbar, wird aber mit Beschichtung, Sichtfenster oder Nassfestmitteln schnell zum Verbund-Fall.</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#19, #02, B06</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Polyethylen (PE)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Mengenmäßig wichtigster Verpackungskunststoff: als LDPE für Folien, Beutel und Stretchfolie, als HDPE für Flaschen, Kanister, Kästen und Paletten. Kennzeichnungsnummern 2 (HDPE) und 4 (LDPE).</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#19, #25</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L35</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Polypropylen (PP)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Kunststoff Nr. 5 der Kennzeichnungssystematik; Standard für Becher, Verschlüsse, Eimer und mikrowellenfeste Schalen. Temperaturbeständiger als PE und verbreiteter Werkstoff für Mehrweg-Geschirr und -Behälter.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#19</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Polystyrol (PS)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Kunststoff Nr. 6 der Kennzeichnungssystematik – klassisch für Becher, Molkereiverpackungen und Trägermaterial. In geschäumter Form der Ausgangsstoff für EPS/XPS mit eigener Verbotslage.</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#19, #26</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L37</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EPS/XPS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Geschäumte Polystyrol-Varianten: EPS (Partikelschaum, „Styropor“) und XPS (extrudiert). Im Lebensmittel-To-go-Bereich gelten für EPS bereits Verbote, XPS folgt 2030 – die saubere Unterscheidung der beiden Schaumtypen ist deshalb der Prüfpunkt in den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#26, #24</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Glas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Materialfraktion mit eigener VE-Schwelle und eigener Kennzeichnungsgruppe (GL 70–72 nach Farbe). Praktisch beliebig oft recycelbar; hoher Rezyklateinsatz ist Standard – dafür existiert die deutsche Schwermetall-Sonderregel für rezyklatbedingte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#01, #19, B06</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L39</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Aluminium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Metall-Verpackungsmaterial für Dosen, Tuben, Platinen und Kapseln sowie als Barriereschicht in Verbunden. Als Mono-Material gut recycelbar; als dünne Verbundschicht der klassische Design-Zielkonflikt zwischen Barrierewirkung und Recyclingfähigkeit.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#12, #36</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Weißblech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Verzinnter Stahl für Konserven, Getränkedosen, Kronkorken und Deckel – magnetisch sortierbar und als Metallfraktion etabliert im Recycling. Den Lebensmittelkontakt stellen Innenlackierungen her.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#11, #19</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Rezyklat (material)</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Aus Recyclingprozessen gewonnenes Material, das Primärrohstoff ersetzt – in der PPWR-Terminologie „Sekundärrohstoff“. Rezyklateinsatz ist zugleich Quotenthema (PET heute, EU-weit ab 2030), Kostenhebel über die Ökomodulation und Sonderfall bei den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#14, #15, #35, #01, #02, C05, C10, B15</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Pfand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Geldbetrag, der bei pfandpflichtigen Einweg-Getränkeverpackungen auf allen Handelsstufen erhoben und bei Rückgabe erstattet wird – in Deutschland mindestens 0,25 € im bundesweiten DPG-System.</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#36, B08, B09, hersteller, vertreiber,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Private Label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Produkte, die unter der Marke des Händlers gefertigt werden. Verpackungsrechtlich der Lehrbuchfall auseinanderfallender Rollen: Markeninhaber auf der Konformitätsschiene, Abfüller/Lieferant auf der EPR-Schiene – mit Sonderregel für Kleinstunternehmen.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#08, #04, #06, A03, A20, A04, C04, erzeuger, hersteller, 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Verkaufsverpackung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Verpackung, die dem Endabnehmer als Verkaufseinheit mit dem Produkt angeboten wird – die innerste Verpackungsebene. Im Produkt der wichtigste Verpackungstyp der Kombinatorik, weil hier Lebensmittelkontakt, Kennzeichnung und Systembeteiligung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#32, #07, #17, erzeuger, hersteller,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Umverpackung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Verpackungsebene, die mehrere Verkaufseinheiten bündelt – vom Tray bis zur Multipack-Folie – und entfernt werden kann, ohne das Produkt zu beeinträchtigen. Eigenes Regulierungs-Feld bei Leerraum und Minimierung.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#18, #17, #32, hersteller, 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Transportverpackung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Verpackungsebene für Handhabung und Transport zwischen Wirtschaftsakteuren – Paletten, Kisten, Fässer, Wickelfolien und Co. Hauptschauplatz der kommenden Mehrwegquoten und der B2B-Rücknahmelogik;</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#27, #34, #19, B12, hersteller, 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L55</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Mehrwegverpackung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Verpackung, die für mehrere Umläufe konzipiert ist und in einem Wiederverwendungssystem tatsächlich rotiert – erst beides zusammen macht den Mehrweg-Status aus, robuste Bauweise allein genügt nicht.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#03, #30, #20, C06, C07, B11, hersteller,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Einwegverpackung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Jede Verpackung, die keine Mehrwegverpackung ist – die Auffangkategorie mit den Massenpflichten von Systembeteiligung bis Pfand. Eine Falsch-Einstufung als Mehrweg kippt automatisch in die Einweg-Folgen zurück.</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#36, #32, #29, C06, hersteller,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L57</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Systembeteiligung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Finanzierungsbeteiligung des Herstellers an einem dualen System für Verpackungen, die typischerweise beim privaten Endverbraucher anfallen. Die Entgelte werden ökologisch moduliert – Recyclingfähigkeit wird damit zum direkten Kostenfaktor.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#32, #35, B03, B15, A14,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L58</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Registrierung (LUCID)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Der öffentliche Registereintrag des Herstellers bei der Zentralen Stelle Verpackungsregister – für alle Verpackungsarten, nicht nur lizenzpflichtige. Praktisch die Eintrittskarte in den Markt: Händler und Fulfillment-Dienstleister prüfen den Registerstatus …</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#31, #38, #39, B01, B02, A21, B14, hersteller, vertreiber, fulfillment_dienstleister, bevollmaechtigter_ehv</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L59</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Inverkehrbringen / Bereitstellung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Das Scharnier des ganzen Systems: „Bereitstellung“ ist jede Abgabe zum Vertrieb oder Verbrauch, „Inverkehrbringen“ die erste davon. An diesem Zeitpunkt hängen Stichtage und Bestandsschutz – unverkaufte Lagerware ist noch nicht in Verkehr gebracht.</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#10, #08, C01, A16, erzeuger, hersteller, importeur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L60</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Lebensmittelkontakt-Verpackung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Verpackung, die bestimmungsgemäß mit Lebensmitteln in Berührung kommt – im Produkt das Filterkriterium für die schärfsten Stoffregeln, allen voran PFAS. „Kontaktempfindlich“ ist der weitere PPWR-Begriff, der darüber hinaus u. a.</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#02, #14, C01, C02, erzeuger, importeur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L61</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E-Commerce-Verpackung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Verpackung, die im Fernabsatz für den Versand an den Endabnehmer verwendet wird – typischerweise der Versandkarton samt Füll- und Polstermaterial (Art. 3 Abs. 1 Nr. 8 PPWR). Eigene Kategorie neben Verkaufs-, Um- und Transportverpackung, u. a.</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#18, A12, hersteller, endvertreiber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L62</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Primärproduktionsverpackung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Verpackung für Erzeugnisse der Primärproduktion (Landwirtschaft, Fischerei), die bei der ersten Bereitstellung verwendet wird – etwa Steigen und Kisten ab Hof (Art. 3 Abs. 1 Nr. 4 PPWR). Für die Erzeuger-Zuordnung gelten hier eigene Regeln.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erzeuger, lieferant</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L63</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Physische Verpackungsherstellung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Die eigentliche Fertigung leerer Verpackungen oder Packmittel – Kartonagen, Folien, Gläser, Dosen. Wer nur physisch fertigt, ist nicht automatisch „Erzeuger" im PPWR-Sinn: Bei Markenware entscheidet die Marken-Konstellation (siehe Rollen-Klärung).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A01, A23, erzeuger, lieferant</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L64</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Befüllen / Versiegeln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Tätigkeit, bei der Ware in die Verpackung gelangt und diese verschlossen wird – vom Lebensmittel-Abfüllen bis zum Konfektionieren. Für Verkaufsverpackungen ein zentraler Anknüpfungspunkt der Rollenbestimmung; die genaue Zuordnung leitet der Wizard her.</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A01, A22, erzeuger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L65</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Gewerbliches Auspacken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Das gewerbsmäßige Entfernen von Um- oder Transportverpackungen angelieferter Ware, z. B. beim Kommissionieren im Lager. Kann seit dem VerpackDG eigene Pflichten auslösen – ein häufig übersehener Fall.</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A07, A08, hersteller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L66</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Eigenmarke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Das Produkt bzw. die Verpackung trägt Namen oder Marke des eigenen Unternehmens. Die Marken-Konstellation ist ein Schlüsselkriterium der Erzeuger-Zuordnung – wer unter eigener Marke in Verkehr bringt, rückt in die Konformitätsverantwortung.</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A20, A15, erzeuger</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r>
        <w:trPr>
          <w:cantSplit/>
          <w:tblHeader w:val="false"/>
        </w:trPr>
        <w:tc>
          <w:tcPr>
            <w:tcW w:type="dxa" w:w="125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L67</w:t>
            </w:r>
          </w:p>
        </w:tc>
        <w:tc>
          <w:tcPr>
            <w:tcW w:type="dxa" w:w="2250"/>
            <w:tcMar>
              <w:top w:type="dxa" w:w="60"/>
              <w:left w:type="dxa" w:w="90"/>
              <w:bottom w:type="dxa" w:w="60"/>
              <w:right w:type="dxa" w:w="90"/>
            </w:tcMar>
            <w:vAlign w:val="top"/>
          </w:tcPr>
          <w:p>
            <w:pPr>
              <w:spacing w:after="0" w:before="0"/>
            </w:pPr>
            <w:r>
              <w:rPr>
                <w:rFonts w:ascii="Arial" w:cs="Arial" w:eastAsia="Arial" w:hAnsi="Arial"/>
                <w:sz w:val="18"/>
                <w:szCs w:val="18"/>
              </w:rPr>
              <w:t xml:space="preserve">Ware ohne Marke (begriff)</w:t>
            </w:r>
          </w:p>
        </w:tc>
        <w:tc>
          <w:tcPr>
            <w:tcW w:type="dxa" w:w="3400"/>
            <w:tcMar>
              <w:top w:type="dxa" w:w="60"/>
              <w:left w:type="dxa" w:w="90"/>
              <w:bottom w:type="dxa" w:w="60"/>
              <w:right w:type="dxa" w:w="90"/>
            </w:tcMar>
            <w:vAlign w:val="top"/>
          </w:tcPr>
          <w:p>
            <w:pPr>
              <w:spacing w:after="0" w:before="0"/>
            </w:pPr>
            <w:r>
              <w:rPr>
                <w:rFonts w:ascii="Arial" w:cs="Arial" w:eastAsia="Arial" w:hAnsi="Arial"/>
                <w:sz w:val="18"/>
                <w:szCs w:val="18"/>
              </w:rPr>
              <w:t xml:space="preserve">Weder Produkt noch Verpackung tragen eine Marke. Die Rollen richten sich dann nach der physischen Herstellung bzw. der Auftrags-Konstellation (wer bestellt und spezifiziert) – relevant vor allem bei Transport- und Serviceverpackungen.</w:t>
            </w:r>
          </w:p>
        </w:tc>
        <w:tc>
          <w:tcPr>
            <w:tcW w:type="dxa" w:w="1738"/>
            <w:tcMar>
              <w:top w:type="dxa" w:w="60"/>
              <w:left w:type="dxa" w:w="90"/>
              <w:bottom w:type="dxa" w:w="60"/>
              <w:right w:type="dxa" w:w="90"/>
            </w:tcMar>
            <w:vAlign w:val="top"/>
          </w:tcPr>
          <w:p>
            <w:pPr>
              <w:spacing w:after="0" w:before="0"/>
            </w:pPr>
            <w:r>
              <w:rPr>
                <w:rFonts w:ascii="Arial" w:cs="Arial" w:eastAsia="Arial" w:hAnsi="Arial"/>
                <w:sz w:val="16"/>
                <w:szCs w:val="16"/>
              </w:rPr>
              <w:t xml:space="preserve">Verweise: A23, erzeuger, lieferant</w:t>
            </w:r>
          </w:p>
        </w:tc>
        <w:tc>
          <w:tcPr>
            <w:tcW w:type="dxa" w:w="1000"/>
            <w:tcMar>
              <w:top w:type="dxa" w:w="60"/>
              <w:left w:type="dxa" w:w="90"/>
              <w:bottom w:type="dxa" w:w="60"/>
              <w:right w:type="dxa" w:w="90"/>
            </w:tcMar>
            <w:vAlign w:val="top"/>
          </w:tcPr>
          <w:p>
            <w:pPr>
              <w:spacing w:after="20" w:before="0"/>
            </w:pPr>
            <w:r>
              <w:rPr>
                <w:rFonts w:ascii="Arial" w:cs="Arial" w:eastAsia="Arial" w:hAnsi="Arial"/>
                <w:sz w:val="18"/>
                <w:szCs w:val="18"/>
              </w:rPr>
              <w:t xml:space="preserve">☐ ok</w:t>
            </w:r>
          </w:p>
          <w:p>
            <w:pPr>
              <w:spacing w:after="20" w:before="0"/>
            </w:pPr>
            <w:r>
              <w:rPr>
                <w:rFonts w:ascii="Arial" w:cs="Arial" w:eastAsia="Arial" w:hAnsi="Arial"/>
                <w:sz w:val="18"/>
                <w:szCs w:val="18"/>
              </w:rPr>
              <w:t xml:space="preserve">☐ Anm.</w:t>
            </w:r>
          </w:p>
        </w:tc>
      </w:tr>
    </w:tbl>
    <w:p>
      <w:pPr>
        <w:spacing w:after="40" w:before="6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shd w:fill="E9F6F1" w:color="auto" w:val="clear"/>
            <w:tcMar>
              <w:top w:type="dxa" w:w="60"/>
              <w:left w:type="dxa" w:w="90"/>
              <w:bottom w:type="dxa" w:w="60"/>
              <w:right w:type="dxa" w:w="90"/>
            </w:tcMar>
            <w:vAlign w:val="top"/>
          </w:tcPr>
          <w:p>
            <w:pPr>
              <w:spacing w:after="60" w:before="0"/>
            </w:pPr>
            <w:r>
              <w:rPr>
                <w:rFonts w:ascii="Arial" w:cs="Arial" w:eastAsia="Arial" w:hAnsi="Arial"/>
                <w:b/>
                <w:bCs/>
                <w:sz w:val="20"/>
                <w:szCs w:val="20"/>
              </w:rPr>
              <w:t xml:space="preserve">Sammelfreigabe Glossar (48 Datensätze)</w:t>
            </w:r>
          </w:p>
          <w:p>
            <w:pPr>
              <w:spacing w:after="60" w:before="60"/>
            </w:pPr>
            <w:r>
              <w:rPr>
                <w:rFonts w:ascii="Arial" w:cs="Arial" w:eastAsia="Arial" w:hAnsi="Arial"/>
                <w:sz w:val="19"/>
                <w:szCs w:val="19"/>
              </w:rPr>
              <w:t xml:space="preserve">☐  Freigegeben wie vorgelegt, mit Ausnahme der oben mit „Anm.“ markierten Nummern (Anmerkungen bitte am Rand oder in Teil D).</w:t>
            </w:r>
          </w:p>
          <w:p>
            <w:pPr>
              <w:spacing w:after="60" w:before="60"/>
            </w:pPr>
            <w:r>
              <w:rPr>
                <w:rFonts w:ascii="Arial" w:cs="Arial" w:eastAsia="Arial" w:hAnsi="Arial"/>
                <w:sz w:val="19"/>
                <w:szCs w:val="19"/>
              </w:rPr>
              <w:t xml:space="preserve">☐  Nicht freigegeben, Gesamtbesprechung erforderlich.</w:t>
            </w:r>
          </w:p>
          <w:p>
            <w:pPr>
              <w:spacing w:after="0" w:before="120"/>
            </w:pPr>
            <w:r>
              <w:rPr>
                <w:rFonts w:ascii="Arial" w:cs="Arial" w:eastAsia="Arial" w:hAnsi="Arial"/>
                <w:sz w:val="19"/>
                <w:szCs w:val="19"/>
              </w:rPr>
              <w:t xml:space="preserve">Datum / Kürzel: ______________________________</w:t>
            </w:r>
          </w:p>
        </w:tc>
      </w:tr>
    </w:tbl>
    <w:p>
      <w:pPr>
        <w:pStyle w:val="Heading1"/>
        <w:pageBreakBefore/>
        <w:spacing w:after="160" w:before="0"/>
      </w:pPr>
      <w:r>
        <w:rPr>
          <w:rFonts w:ascii="Arial" w:cs="Arial" w:eastAsia="Arial" w:hAnsi="Arial"/>
          <w:b/>
          <w:bCs/>
          <w:color w:val="004494"/>
          <w:sz w:val="32"/>
          <w:szCs w:val="32"/>
        </w:rPr>
        <w:t xml:space="preserve">Teil B – Einzelprüfung</w:t>
      </w:r>
    </w:p>
    <w:p>
      <w:pPr>
        <w:spacing w:after="160" w:before="60"/>
      </w:pPr>
      <w:r>
        <w:rPr>
          <w:rFonts w:ascii="Arial" w:cs="Arial" w:eastAsia="Arial" w:hAnsi="Arial"/>
          <w:sz w:val="20"/>
          <w:szCs w:val="20"/>
        </w:rPr>
        <w:t xml:space="preserve">65 Datensätze mit einer konkreten Frage an die Kanzlei. Je Karte: unsere Aussage, die Fundstellen, der offene Punkt, drei Kästchen. Wenn Sie „Ändern“ wählen, genügt ein Satz in der Anmerkungszeile; wir formulieren den Datensatz um und legen ihn Ihnen erneut vor.</w:t>
      </w:r>
    </w:p>
    <w:p>
      <w:pPr>
        <w:pStyle w:val="Heading2"/>
        <w:keepNext/>
        <w:spacing w:after="120" w:before="280"/>
      </w:pPr>
      <w:r>
        <w:rPr>
          <w:rFonts w:ascii="Arial" w:cs="Arial" w:eastAsia="Arial" w:hAnsi="Arial"/>
          <w:b/>
          <w:bCs/>
          <w:color w:val="111111"/>
          <w:sz w:val="26"/>
          <w:szCs w:val="26"/>
        </w:rPr>
        <w:t xml:space="preserve">B.1 Neu seit Juli 2026 (20 Praxisfragen)</w:t>
      </w:r>
    </w:p>
    <w:p>
      <w:pPr>
        <w:spacing w:after="120" w:before="60"/>
      </w:pPr>
      <w:r>
        <w:rPr>
          <w:rFonts w:ascii="Arial" w:cs="Arial" w:eastAsia="Arial" w:hAnsi="Arial"/>
          <w:sz w:val="19"/>
          <w:szCs w:val="19"/>
        </w:rPr>
        <w:t xml:space="preserve">Diese Datensätze sind aus der Rechtsentwicklung seit dem 17.07.2026 entstanden und waren noch in keinem Paket. Die wichtigsten Konflikte: Versandetikett und Zusammenfügen von Versandverpackungen (Kommission vs. ZSVR, A30/A31), Lagerware per Begleitdokument (C15, Spannung zu #10), Kennzeichnungstermine als Mindestdaten (C14), Bevollmächtigter zwischen Rechtslage und Politik (A35).</w:t>
      </w:r>
    </w:p>
    <w:p>
      <w:pPr>
        <w:keepNext/>
        <w:pBdr>
          <w:top w:val="single" w:color="24A27F" w:sz="6" w:space="4"/>
        </w:pBdr>
        <w:spacing w:after="40" w:before="240"/>
      </w:pPr>
      <w:r>
        <w:rPr>
          <w:rFonts w:ascii="Arial" w:cs="Arial" w:eastAsia="Arial" w:hAnsi="Arial"/>
          <w:b/>
          <w:bCs/>
          <w:color w:val="004494"/>
          <w:sz w:val="22"/>
          <w:szCs w:val="22"/>
        </w:rPr>
        <w:t xml:space="preserve">A30  </w:t>
      </w:r>
      <w:r>
        <w:rPr>
          <w:rFonts w:ascii="Arial" w:cs="Arial" w:eastAsia="Arial" w:hAnsi="Arial"/>
          <w:b/>
          <w:bCs/>
          <w:sz w:val="22"/>
          <w:szCs w:val="22"/>
        </w:rPr>
        <w:t xml:space="preserve">Versandetikett auf dem Karton: Werden wir dadurch zum Erzeuger?</w:t>
      </w:r>
    </w:p>
    <w:p>
      <w:pPr>
        <w:spacing w:after="60" w:before="60"/>
      </w:pPr>
      <w:r>
        <w:rPr>
          <w:rFonts w:ascii="Arial" w:cs="Arial" w:eastAsia="Arial" w:hAnsi="Arial"/>
          <w:color w:val="6B7280"/>
          <w:sz w:val="17"/>
          <w:szCs w:val="17"/>
        </w:rPr>
        <w:t xml:space="preserve">Block A – Rollen-Grenzfälle · Rollen / EPR · unverbindliche Auslegung · Bezug: #08, #07</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sind Onlinehändler und kleben auf fertig gekaufte Versandkartons nur unser Versandetikett. Im Sommer hieß es, damit würden wir zum Erzeuger. Stimmt das?</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Frage ist derzeit zwischen EU-Kommission und ZSVR unterschiedlich beantwortet. Die Kommission stellt in der 2. Edition ihrer FAQ (Kap. II FAQ 6/7) klar, dass ein Aufkleber zu Versandzwecken kein „Branding“ ist und den Versender daher nicht zum Erzeuger im Sinne des Art. 3 Abs. 1 Nr. 13 PPWR macht; ein handelsüblicher Karton ist mit seiner Herstellung fertig (FAQ 5). Die ZSVR behandelt das Etikett auf ihrer Themenseite nicht gesondert, sieht aber denjenigen als Erzeuger, der Materialien erst zur vollständigen Versandverpackung zusammenfügt, und bei Hinzufügen zu einer fertigen Verpackung eine Erzeugereigenschaft nach Art. 21 PPWR nur, wenn die Recyclingfähigkeit beeinflusst werden kann. Folge: Nach der Kommissionslesart entsteht durch das reine Etikett keine Erzeugerrolle und damit keine Pflicht zur Konformitätsbewertung, technischen Dokumentation und Konformitätserklärung für den Karton; diese bleiben beim Kartonhersteller.</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PPWR (VO (EU) 2025/40); Art. 21 PPWR; Kommissions-FAQ zur PPWR, 2. Edition (03.08.2026), Kap. II FAQ 5–7 (unverbindliche Auslegung der EU-Kommission); ZSVR: „Versand- und Onlinehandel: Was ändert sich durch die PPWR?“ (verpackungsregister.org, Behördeninformation, keine Rechtsnorm)</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Divergenz Kommission (FAQ 2. Ed. Kap. II FAQ 6/7: Versandaufkleber ist kein Branding) vs. ZSVR-Themenseite Versandhandel (Zusammenfügen zur Versandverpackung macht zum Erzeuger; Etikett nicht eigens behandelt). Schriftliche ZSVR-Stellungnahme zum Etikett bis 17.10.2026 nicht auffindbar. Cattwyk-Einordnung, welche Lesart ausgespielt wird.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A31  </w:t>
      </w:r>
      <w:r>
        <w:rPr>
          <w:rFonts w:ascii="Arial" w:cs="Arial" w:eastAsia="Arial" w:hAnsi="Arial"/>
          <w:b/>
          <w:bCs/>
          <w:sz w:val="22"/>
          <w:szCs w:val="22"/>
        </w:rPr>
        <w:t xml:space="preserve">Flach gelieferter Karton, Klebeband, Füllmaterial: Wer ist Erzeuger der Versandverpackung?</w:t>
      </w:r>
    </w:p>
    <w:p>
      <w:pPr>
        <w:spacing w:after="60" w:before="60"/>
      </w:pPr>
      <w:r>
        <w:rPr>
          <w:rFonts w:ascii="Arial" w:cs="Arial" w:eastAsia="Arial" w:hAnsi="Arial"/>
          <w:color w:val="6B7280"/>
          <w:sz w:val="17"/>
          <w:szCs w:val="17"/>
        </w:rPr>
        <w:t xml:space="preserve">Block A – Rollen-Grenzfälle · Rollen / EPR · unverbindliche Auslegung · Bezug: #08</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kaufen Faltkartons flach ein, falten sie, kleben sie mit unserem Klebeband zu und füllen mit Luftpolsterfolie. Sind wir Erzeuger dieser Versandverpackung?</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Kommission betrachtet jedes Verpackungselement einzeln: Erzeuger einer Transportverpackung ist, wer die leere Verpackung in ihre endgültige Form bringt. Ein Faltkarton ist nach der Kommissions-FAQ bereits mit seiner Herstellung fertig, auch wenn er flach geliefert wird; Klebeband, Folie und Palette haben jeweils ihren eigenen Erzeuger, eine Sendung kann daher mehrere Erzeuger haben (FAQ 2. Ed. Kap. II FAQ 5). Die ZSVR sieht es enger: Wer Materialien zur vollständigen Versandverpackung zusammenfügt, ist nach ihrer Themenseite Erzeuger (Fall B.2); wer einer fertigen Verpackung Klebeband oder Füllmaterial hinzufügt, nur dann, wenn dies die Recyclingfähigkeit beeinflussen kann (Fall B.3, Art. 21 PPWR). Folge: Nach der Kommissionslesart bleiben Konformitätsbewertung und Konformitätserklärung beim jeweiligen Materialhersteller; Sie benötigen von jedem Lieferanten die Angaben nach Art. 16 PPWR. Nach der ZSVR-Lesart treffen Sie als Erzeuger der zusammengefügten Versandverpackung die Pflichten der Art. 15, 38 und 39 PPWR.</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und Nr. 15 lit. a PPWR (VO (EU) 2025/40); Art. 21 PPWR; Kommissions-FAQ zur PPWR, 2. Edition (03.08.2026), Kap. II FAQ 4 und 5 (unverbindliche Auslegung der EU-Kommission); ZSVR: „Versand- und Onlinehandel“, Fälle B.2 und B.3 (verpackungsregister.org,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Kommissions-FAQ 2. Ed. Kap. II FAQ 5 („mehrere Hersteller je Sendung“) gegen ZSVR-Fälle B.2/B.3 (Zusammenfügen beim Händler). Abgleich mit Regel B1 und A5 der Rollen-Engine; B1-Flag ggf. auflösbar.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A32  </w:t>
      </w:r>
      <w:r>
        <w:rPr>
          <w:rFonts w:ascii="Arial" w:cs="Arial" w:eastAsia="Arial" w:hAnsi="Arial"/>
          <w:b/>
          <w:bCs/>
          <w:sz w:val="22"/>
          <w:szCs w:val="22"/>
        </w:rPr>
        <w:t xml:space="preserve">Handels-Eigenmarke mit genanntem Abfüller: Wer ist Erzeuger?</w:t>
      </w:r>
    </w:p>
    <w:p>
      <w:pPr>
        <w:spacing w:after="60" w:before="60"/>
      </w:pPr>
      <w:r>
        <w:rPr>
          <w:rFonts w:ascii="Arial" w:cs="Arial" w:eastAsia="Arial" w:hAnsi="Arial"/>
          <w:color w:val="6B7280"/>
          <w:sz w:val="17"/>
          <w:szCs w:val="17"/>
        </w:rPr>
        <w:t xml:space="preserve">Block A – Rollen-Grenzfälle · Rollen / EPR · unverbindliche Auslegung · Bezug: #08</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Auf unserer Handelsmarke steht zusätzlich „hergestellt für … von Molkerei XY“. Sind wir trotzdem Erzeuger der Verpackung?</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Erzeuger ist nach Art. 3 Abs. 1 Nr. 13 lit. a PPWR, wer eine Verpackung unter eigenem Namen oder eigener Marke in Verkehr bringt. Die Kommissions-FAQ (2. Ed. Kap. II FAQ 6) stellt klar, dass bei Verpackungen mit Marke derjenige Erzeuger ist, dessen Name oder Marke aufgebracht ist, sofern er die maßgebliche vertragliche Kontrolle über Gestaltung und Herstellung hat; ist zusätzlich ein Fremdname genannt, entscheidet der Vertrag (FAQ 7). Die ZSVR liest das so, dass bei Handels-Eigenmarken das Handelsunternehmen Hersteller nach VerpackDG und in der Regel auch Erzeuger ist, auch wenn der Abfüller mitgenannt wird. Folge: Als Markeninhaber mit Gestaltungsvorgaben tragen Sie die Erzeugerpflichten (Art. 15, 38, 39 PPWR) und die Herstellerpflichten nach VerpackDG. Der Abfüller bleibt Lieferant nach Art. 16 PPWR und muss Ihnen die Konformitätsangaben liefern. Quellen: Art. 3 Abs. 1 Nr. 13 lit. a, Nr. 15 lit. b PPWR; Kommissions-FAQ 2. Ed. Kap. II FAQ 6/7 (unverbindlich); ZSVR-Meldung 12.08.2026 (Behördeninformation).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lit. a und Nr. 15 lit. b PPWR (VO (EU) 2025/40); Kommissions-FAQ zur PPWR, 2. Edition (03.08.2026), Kap. II FAQ 6 und 7 (unverbindliche Auslegung der EU-Kommission); ZSVR-Meldung vom 12.08.2026: „Zweite Fassung der PPWR-FAQ: Klarstellung zur Erzeugereigenschaft bei Eigenmarken des Handels“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Ergänzt A03/A20 um Kommissions-FAQ 2. Ed. Kap. II FAQ 6/7 und ZSVR-Meldung vom 12.08.2026. ZSVR-Lesart („Handelsunternehmen in der Regel auch Erzeuger“) gegen Einzelfallvorbehalt der Kommission bei Lizenzmodellen abgleichen.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A33  </w:t>
      </w:r>
      <w:r>
        <w:rPr>
          <w:rFonts w:ascii="Arial" w:cs="Arial" w:eastAsia="Arial" w:hAnsi="Arial"/>
          <w:b/>
          <w:bCs/>
          <w:sz w:val="22"/>
          <w:szCs w:val="22"/>
        </w:rPr>
        <w:t xml:space="preserve">Maßgefertigte neutrale Transportverpackung: Erzeuger ist der Auftraggeber?</w:t>
      </w:r>
    </w:p>
    <w:p>
      <w:pPr>
        <w:spacing w:after="60" w:before="60"/>
      </w:pPr>
      <w:r>
        <w:rPr>
          <w:rFonts w:ascii="Arial" w:cs="Arial" w:eastAsia="Arial" w:hAnsi="Arial"/>
          <w:color w:val="6B7280"/>
          <w:sz w:val="17"/>
          <w:szCs w:val="17"/>
        </w:rPr>
        <w:t xml:space="preserve">Block A – Rollen-Grenzfälle · Rollen / EPR · unverbindliche Auslegung · Bezug: #08, #40</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lassen uns unbedruckte Transportkartons nach unseren Maßen und Spezifikationen fertigen. Ist der Kartonagenhersteller oder sind wir der Erzeuger?</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Bei kundenspezifisch gefertigter, unbedruckter Transportverpackung ordnet die Kommission die Erzeugerrolle dem Auftraggeber zu, der die Spezifikation festlegt (FAQ 2. Ed. Kap. X FAQ 14). Der fertigende Betrieb ist in diesem Fall Lieferant nach Art. 3 Abs. 1 Nr. 16 PPWR. Folge: Sie tragen als Erzeuger die Pflichten aus Art. 15 PPWR (Konformitätsbewertung nach Art. 38, technische Dokumentation nach Anhang VII, Konformitätserklärung nach Art. 39). Der Lieferant muss Ihnen nach Art. 16 Abs. 1 PPWR alle Informationen und Unterlagen liefern, die Sie für den Konformitätsnachweis brauchen; vereinbaren Sie das ausdrücklich im Liefervertrag. Quellen: Art. 3 Abs. 1 Nr. 13 und 16, Art. 15, 16 PPWR; Kommissions-FAQ 2. Ed. Kap. X FAQ 14 (unverbindlich). Grenze: Kauft derselbe Betrieb Standardkartons aus dem Katalog, bleibt der Kartonagenhersteller Erzeuger (vgl. A31).</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PPWR (VO (EU) 2025/40); Art. 16 Abs. 1 PPWR; Kommissions-FAQ zur PPWR, 2. Edition (03.08.2026), Kap. X FAQ 14 (unverbindliche Auslegung der EU-Kommission)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Kommissions-FAQ 2. Ed. Kap. X FAQ 14. Prüfen gegen Regel A4 (physische Herstellung) – FAQ ordnet bei kundenspezifischer Spezifikation dem Auftraggeber zu.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A34  </w:t>
      </w:r>
      <w:r>
        <w:rPr>
          <w:rFonts w:ascii="Arial" w:cs="Arial" w:eastAsia="Arial" w:hAnsi="Arial"/>
          <w:b/>
          <w:bCs/>
          <w:sz w:val="22"/>
          <w:szCs w:val="22"/>
        </w:rPr>
        <w:t xml:space="preserve">Konzerninterne Verbringung: Inverkehrbringen oder nicht?</w:t>
      </w:r>
    </w:p>
    <w:p>
      <w:pPr>
        <w:spacing w:after="60" w:before="60"/>
      </w:pPr>
      <w:r>
        <w:rPr>
          <w:rFonts w:ascii="Arial" w:cs="Arial" w:eastAsia="Arial" w:hAnsi="Arial"/>
          <w:color w:val="6B7280"/>
          <w:sz w:val="17"/>
          <w:szCs w:val="17"/>
        </w:rPr>
        <w:t xml:space="preserve">Block A – Rollen-Grenzfälle · Rollen / EPR · unverbindliche Auslegung · Bezug: #08, #10</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verpacken Teile in unserem Werk in Polen und schicken sie an unser eigenes Werk in Deutschland. Bringen wir diese Verpackung in Verkehr?</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Inverkehrbringen setzt eine erstmalige Bereitstellung auf dem Unionsmarkt voraus, also eine Abgabe im Rahmen einer Geschäftstätigkeit an einen anderen (Art. 3 Abs. 1 Nr. 10 und 11 PPWR). Die Kommission stellt klar, dass die Verbringung eigener Verpackungen innerhalb desselben Rechtsträgers ohne Handelsgeschäft kein Inverkehrbringen ist (FAQ 2. Ed. Kap. II FAQ 13). Folge: Für reine Werksverkehre innerhalb einer juristischen Person entstehen keine Erzeugerpflichten nach Art. 15 PPWR. Sobald die Verpackung einen anderen Rechtsträger erreicht, auch eine Konzernschwester, liegt eine Bereitstellung vor. Quellen: Art. 3 Abs. 1 Nr. 10 und 11 PPWR; Kommissions-FAQ 2. Ed. Kap. II FAQ 13 (unverbindlich). Grenze: Die Herstellerpflichten nach VerpackDG (Registrierung, Systembeteiligung) knüpfen an die erstmalige Bereitstellung im Bundesgebiet an; ob und ab wann diese im Konzern vorliegt, hängt von der konkreten Gesellschaftsstruktur ab (vgl. A21).</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10 und 11 PPWR (VO (EU) 2025/40); Kommissions-FAQ zur PPWR, 2. Edition (03.08.2026), Kap. II FAQ 13 (unverbindliche Auslegung der EU-Kommission)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Kommissions-FAQ 2. Ed. Kap. II FAQ 13. Verhältnis zur Definition Art. 3 Abs. 1 Nr. 10/11 und zu Datensatz #10 prüfen.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A35  </w:t>
      </w:r>
      <w:r>
        <w:rPr>
          <w:rFonts w:ascii="Arial" w:cs="Arial" w:eastAsia="Arial" w:hAnsi="Arial"/>
          <w:b/>
          <w:bCs/>
          <w:sz w:val="22"/>
          <w:szCs w:val="22"/>
        </w:rPr>
        <w:t xml:space="preserve">Bevollmächtigter nach Art. 45 Abs. 3: Gilt die Pflicht noch, oder wird sie ausgesetzt?</w:t>
      </w:r>
    </w:p>
    <w:p>
      <w:pPr>
        <w:spacing w:after="60" w:before="60"/>
      </w:pPr>
      <w:r>
        <w:rPr>
          <w:rFonts w:ascii="Arial" w:cs="Arial" w:eastAsia="Arial" w:hAnsi="Arial"/>
          <w:color w:val="6B7280"/>
          <w:sz w:val="17"/>
          <w:szCs w:val="17"/>
        </w:rPr>
        <w:t xml:space="preserve">Block A – Rollen-Grenzfälle · Rollen / EPR · rechtsverbindlich · Bezug: #09</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Es heißt, die Pflicht zum Bevollmächtigten für ausländische Online-Händler werde wieder gekippt. Müssen wir jetzt überhaupt noch einen benennen?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Ja. Art. 45 Abs. 3 PPWR gilt seit dem 12.08.2026 unverändert, in Deutschland umgesetzt durch § 5 Abs. 2 VerpackDG (vgl. A26). Richtig ist, dass eine Änderung verhandelt wird (Omnibus VIII, Verfahren 2025/0395(COD)): Die Kommission hat mit COM(2025) 982 vorgeschlagen, die Pflicht vollständig bis zum 01.01.2035 auszusetzen. Das Europäische Parlament hat am 20.10.2026 seine Position beschlossen (616:9:39): Aussetzung nur für Kleinst- und Kleinunternehmen mit EU-Sitz (unter 50 Beschäftigte, Umsatz oder Bilanzsumme unter 10 Mio. Euro), längstens bis 2035; Drittstaaten-Hersteller bleiben pflichtig. Der Rat hat am 21.10.2026 sein Mandat beschlossen: Befreiung für EU-Hersteller unter einer Tonne Verpackung je Kalenderjahr im jeweiligen Mitgliedstaat, Überprüfung bis Ende 2030. Der Trilog folgt. Die Kommission hat die Mitgliedstaaten gebeten, bis zur Entscheidung auf Sanktionen zu verzichten (politische Aussage, keine Rechtsnorm); die ZSVR erklärt eine Befreiung für nicht möglich. Folge: Rechtlich besteht die Pflicht fort;</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45 Abs. 3 PPWR (VO (EU) 2025/40); § 5 Abs. 2 VerpackDG (BGBl. 2026 I Nr. 207); Kommissionsvorschlag COM(2025) 982 (Verfahren 2025/0395(COD)); ENVI-Bericht A10-0266/2026 vom 09.10.2026 (Gesetzgebungsverfahren, nicht erlassen); DG ENV: „Extended producer responsibility for packaging: small businesses“ (environment.ec.europa.eu, politische Aussage, unverbindlich); BMUKN-Meldung vom 08.09.2026: „Kritik an der EU-Verpackungsverordnung (PPWR): Bundesregierung setzt sich für Entlastungen ein“ (politische Position)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Watch-Item Omnibus VIII, Stand 26.10.2026 (EP-Position 20.10., Ratsmandat 21.10., Trilog offen). Antwort am 30.10.2026 konsolidiert. Frage an die Kanzlei: Kernaussage „Pflicht gilt, Verzicht ist bewusstes Risiko“ und Hinweis auf den Kommissions-Appell freigeben?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A36  </w:t>
      </w:r>
      <w:r>
        <w:rPr>
          <w:rFonts w:ascii="Arial" w:cs="Arial" w:eastAsia="Arial" w:hAnsi="Arial"/>
          <w:b/>
          <w:bCs/>
          <w:sz w:val="22"/>
          <w:szCs w:val="22"/>
        </w:rPr>
        <w:t xml:space="preserve">Verlag oder Versandhändler: Umschlag, Karton, Folie – welche Pflichten je Verpackung?</w:t>
      </w:r>
    </w:p>
    <w:p>
      <w:pPr>
        <w:spacing w:after="60" w:before="60"/>
      </w:pPr>
      <w:r>
        <w:rPr>
          <w:rFonts w:ascii="Arial" w:cs="Arial" w:eastAsia="Arial" w:hAnsi="Arial"/>
          <w:color w:val="6B7280"/>
          <w:sz w:val="17"/>
          <w:szCs w:val="17"/>
        </w:rPr>
        <w:t xml:space="preserve">Block A – Rollen-Grenzfälle · Rollen / EPR · unverbindliche Auslegung · Bezug: #06, #07, #31, #32, #38, #18</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sind ein Verlag und verschicken Zeitschriften und Bücher an Leser, teils in Folie eingeschweißt, teils im Umschlag oder Buchkarton. Betrifft uns die PPWR, und was müssen wir für welche Verpackung tun?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Betroffen sind Sie nicht wegen der Zeitschriften und Bücher, sondern wegen der Verpackung darum herum. Umschlag, Buchkarton, Folie und Füllmaterial sind E-Commerce-Verpackung und damit Transportverpackung (Art. 3 Abs. 1 Nr. 1 PPWR; FAQ 2. Ed. Kap. II FAQ 4); nach dem Katalog der ZSVR sind Versandverpackungen an Endkunden systembeteiligungspflichtig. Briefumschläge mit Rechnungen oder Korrespondenz sind keine Verpackung. Die Rolle bestimmt sich je Verpackung: Fertig gekaufte formstabile Umschläge und Kartons eines deutschen Lieferanten sind mit der Herstellung fertig; Erzeuger und Hersteller ist der Lieferant (Art. 3 Abs. 1 Nr. 13, Nr. 15 lit. a; ZSVR „Abgrenzung“; FAQ Kap. II FAQ 5). Sie sind dafür Vertreiber mit der Pflicht, die Registrierung des Lieferanten zu prüfen (Art. 19, § 13 Abs. 3 VerpackDG). Folie, die Sie oder Ihre Druckerei um die Zeitschrift schweißen, entsteht nach der ZSVR-Lesart erst bei der Anwendung; wer einschweißt und erstmals bereitstellt, ist Erzeuger und Hersteller.</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 Nr. 13, Nr. 15 lit. a und Nr. 18 PPWR (VO (EU) 2025/40); Art. 15 Abs. 2, Art. 19, Art. 24 PPWR; §§ 6, 7, 13 Abs. 3, 68 Abs. 2 VerpackDG (BGBl. 2026 I Nr. 207); Kommissions-FAQ zur PPWR, 2. Edition (03.08.2026), Kap. II FAQ 4 und 5 (unverbindliche Auslegung der EU-Kommission); ZSVR: „Abgrenzung Erzeuger &amp; Hersteller“ und „Versand- und Onlinehandel“ (verpackungsregister.org, Behördeninformation, keine Rechtsnorm); ZSVR: Katalog systembeteiligungspflichtiger Verpackungen, Allgemeiner Teil, Stand 08/2026</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Musterfall für die Verpackungs-Ebene (Regeln D1–D4). Beruht auf der ZSVR-Unterscheidung formstabil/flexibel und der Kommissions-FAQ 2. Ed.; Divergenz beim Zusammenfügen (A30/A31) und Lohnfertigung (A02) offen. Mit Regeln D1–D5 gemeinsam prüfen.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B18  </w:t>
      </w:r>
      <w:r>
        <w:rPr>
          <w:rFonts w:ascii="Arial" w:cs="Arial" w:eastAsia="Arial" w:hAnsi="Arial"/>
          <w:b/>
          <w:bCs/>
          <w:sz w:val="22"/>
          <w:szCs w:val="22"/>
        </w:rPr>
        <w:t xml:space="preserve">Vollständigkeitserklärung für 2026: Welche Regeln gelten für das Übergangsjahr?</w:t>
      </w:r>
    </w:p>
    <w:p>
      <w:pPr>
        <w:spacing w:after="60" w:before="60"/>
      </w:pPr>
      <w:r>
        <w:rPr>
          <w:rFonts w:ascii="Arial" w:cs="Arial" w:eastAsia="Arial" w:hAnsi="Arial"/>
          <w:color w:val="6B7280"/>
          <w:sz w:val="17"/>
          <w:szCs w:val="17"/>
        </w:rPr>
        <w:t xml:space="preserve">Block B – PPWR × VerpackDG · Rollen / EPR · rechtsverbindlich · Bezug: #33</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Unser Wirtschaftsprüfer fragt, ob wir für 2026 zwei Vollständigkeitserklärungen brauchen, eine nach altem und eine nach neuem Recht. Wie läuft das?</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Für das Bezugsjahr 2026 ist nach den Hinweisen der ZSVR nur eine Vollständigkeitserklärung je Hersteller zu hinterlegen, und zwar nach § 10 VerpackDG (§ 68 Abs. 5 VerpackDG). Die Prüfleitlinien vom 19.11.2024 gelten für das gesamte Jahr 2026 fort, ab dem 12.08.2026 sinngemäß. Für Mengen bis zum 11.08.2026 richten sich Herstellereigenschaft und Verpackungsarten nach dem VerpackG und dem alten Katalog, ab dem 12.08.2026 nach PPWR, VerpackDG und dem neuen Katalog; bestandskräftige Einordnungsentscheidungen bleiben wirksam (§ 68 Abs. 15 VerpackDG). Folge: Eine Erklärung, aber zwei Bewertungsmaßstäbe innerhalb des Jahres; Ihr Prüfer muss die Mengen entsprechend trennen. Neu ist außerdem die Schulungspflicht für registrierte Prüfer: Bestandsprüfer müssen den Nachweis bis zum 31.12.2027 erbringen, sonst wird die Registrierung ab dem 01.01.2028 aufgehoben (§ 56 Abs. 4, § 68 Abs. 16 VerpackDG). Quellen: §§ 10, 56 Abs. 4, 68 Abs. 5, 15 und 16 VerpackDG; ZSVR-Hinweise VE 2026 (Behördeninformation). Grenze: Neue Prüfleitlinien erscheinen erst für das Bezugsjahr 2027;</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10 VerpackDG (BGBl. 2026 I Nr. 207); § 68 Abs. 5 VerpackDG; § 56 Abs. 4 Satz 3 und 4 VerpackDG; § 68 Abs. 16 VerpackDG; ZSVR: „Aktuelle Hinweise zur Prüfung der Vollständigkeitserklärung 2026 und Schulungspflicht VE-Prüfung 2026“ (verpackungsregister.org, Behördeninformation, keine Rechtsnorm)</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Grundlage ZSVR-Hinweise 2026 (PDF undatiert, verbreitet 13.08.2026); Normzitate § 68 Abs. 5 Satz 4, § 56 Abs. 4, § 68 Abs. 16 VerpackDG am Volltext prüfen. Ergänzt B05/B06.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B19  </w:t>
      </w:r>
      <w:r>
        <w:rPr>
          <w:rFonts w:ascii="Arial" w:cs="Arial" w:eastAsia="Arial" w:hAnsi="Arial"/>
          <w:b/>
          <w:bCs/>
          <w:sz w:val="22"/>
          <w:szCs w:val="22"/>
        </w:rPr>
        <w:t xml:space="preserve">Mindeststandard 2026 veröffentlicht: Was ändert sich für die Ökomodulation?</w:t>
      </w:r>
    </w:p>
    <w:p>
      <w:pPr>
        <w:spacing w:after="60" w:before="60"/>
      </w:pPr>
      <w:r>
        <w:rPr>
          <w:rFonts w:ascii="Arial" w:cs="Arial" w:eastAsia="Arial" w:hAnsi="Arial"/>
          <w:color w:val="6B7280"/>
          <w:sz w:val="17"/>
          <w:szCs w:val="17"/>
        </w:rPr>
        <w:t xml:space="preserve">Block B – PPWR × VerpackDG · Rollen / EPR · rechtsverbindlich · Bezug: #35, #12</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Die ZSVR hat einen neuen Mindeststandard veröffentlicht. Gilt der schon, und was heißt das für unsere Beteiligungsentgelte?</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ZSVR und Umweltbundesamt haben am 31.08.2026 den Mindeststandard 2026 nach § 26 Abs. 3 VerpackDG veröffentlicht. Er gilt für Verpackungen, die im Kalenderjahr nach der Veröffentlichung, also 2027, in Verkehr gebracht werden. Die Methodik bleibt unverändert; Gestaltungsparameter wurden ergänzt und zusammengefasst, recyclingunverträgliche Merkmale führen weiterhin zu einer Recyclingfähigkeit von null Prozent, pauschale Materialboni gibt es nicht. Folge: Die Systeme müssen ihre Beteiligungsentgelte nach § 26 VerpackDG an der Recyclingfähigkeit ausrichten; bis die delegierten Rechtsakte nach Art. 6 Abs. 4 PPWR (Leistungsklassen A bis C) gelten, bleiben Verordnungen zur Ökomodulierung nach § 26a VerpackDG an den Mindeststandard gebunden. Prüfen Sie Ihre Verpackungen für 2027 gegen den neuen Katalog der Gestaltungsparameter. Quellen: §§ 26, 26a VerpackDG; Art. 6 Abs. 4 PPWR; Mindeststandard 2026 (ZSVR/UBA, Verwaltungsvorschrift). Grenze: Der Mindeststandard ist kein Gesetz, sondern eine Verwaltungsvorschrift; eine Rechtsverordnung nach § 26a VerpackDG liegt noch nicht vor.</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26 Abs. 3 VerpackDG (BGBl. 2026 I Nr. 207); § 26a VerpackDG; Art. 6 Abs. 4 PPWR (VO (EU) 2025/40); ZSVR/UBA: „Mindeststandard für die Bemessung der Recyclingfähigkeit systembeteiligungspflichtiger Verpackungen gemäß § 26 Abs. 3 VerpackDG“, Osnabrück 31.08.2026 (Verwaltungsvorschrift,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Mindeststandard ist Verwaltungsvorschrift nach § 26 Abs. 3 VerpackDG; Verhältnis zu künftigen Verordnungen nach § 26a und zu den delegierten Rechtsakten nach Art. 6 Abs. 4 PPWR prüfen. Ergänzt B15/#35.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B20  </w:t>
      </w:r>
      <w:r>
        <w:rPr>
          <w:rFonts w:ascii="Arial" w:cs="Arial" w:eastAsia="Arial" w:hAnsi="Arial"/>
          <w:b/>
          <w:bCs/>
          <w:sz w:val="22"/>
          <w:szCs w:val="22"/>
        </w:rPr>
        <w:t xml:space="preserve">Permanenttragetaschen: Systembeteiligungspflichtig trotz Mehrfachnutzung?</w:t>
      </w:r>
    </w:p>
    <w:p>
      <w:pPr>
        <w:spacing w:after="60" w:before="60"/>
      </w:pPr>
      <w:r>
        <w:rPr>
          <w:rFonts w:ascii="Arial" w:cs="Arial" w:eastAsia="Arial" w:hAnsi="Arial"/>
          <w:color w:val="6B7280"/>
          <w:sz w:val="17"/>
          <w:szCs w:val="17"/>
        </w:rPr>
        <w:t xml:space="preserve">Block B – PPWR × VerpackDG · Rollen / EPR · rechtsverbindlich · Bezug: #32</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geben an der Kasse stabile Mehrfach-Tragetaschen aus recyceltem PET ab. Sind das Produkte oder lizenzpflichtige Verpackungen?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Das Bundesverwaltungsgericht hat am 23.07.2026 entschieden, dass eine Permanenttragetasche, die am Verkaufsort zum Transport der gekauften Waren abgegeben wird, systembeteiligungspflichtige Verpackung ist, unabhängig von Material, Haltbarkeit, Zweitnutzung und davon, ob sie entgeltlich oder unentgeltlich abgegeben wird (10 C 6.25, zu § 3 Abs. 8, § 7 VerpackG). Maßgeblich ist die Zweckbestimmung zum Transport am Verkaufsort. Die Definitionen des VerpackDG (§ 3 Abs. 6, § 7 Abs. 1) sind insoweit inhaltsgleich. Folge: Wer solche Taschen als Letztvertreiber oder Hersteller erstmals in Verkehr bringt, muss sie registrieren und an einem System beteiligen. Die ZSVR weist darauf hin, dass sich daraus auch rückwirkende Beteiligungspflichten ergeben können und Prüfer der Vollständigkeitserklärung dies künftig kontrollieren. Quellen: § 3 Abs. 6, § 7 Abs. 1 VerpackDG; BVerwG 10 C 6.25; ZSVR-PM 23.07.2026. Grenze: Das Urteil ist zum alten Recht ergangen; die Übertragung auf das VerpackDG ist naheliegend, aber noch nicht gerichtlich bestätigt.</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3 Abs. 6 und § 7 Abs. 1 VerpackDG (BGBl. 2026 I Nr. 207); BVerwG, Urteil vom 23.07.2026 – 10 C 6.25 (Pressemitteilung Nr. 57/2026; ergangen zu § 3 Abs. 8, § 7 VerpackG); ZSVR-Pressemitteilung vom 23.07.2026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BVerwG-Urteil 23.07.2026 ergangen zu § 3 Abs. 8, § 7 VerpackG; Übertragung auf § 3 Abs. 6, § 7 Abs. 1 VerpackDG ist unsere Zuordnung, nicht die des Gerichts. Rückwirkende Beteiligungspflichten laut ZSVR möglich.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B21  </w:t>
      </w:r>
      <w:r>
        <w:rPr>
          <w:rFonts w:ascii="Arial" w:cs="Arial" w:eastAsia="Arial" w:hAnsi="Arial"/>
          <w:b/>
          <w:bCs/>
          <w:sz w:val="22"/>
          <w:szCs w:val="22"/>
        </w:rPr>
        <w:t xml:space="preserve">Neuer Katalog 2026: E-Commerce-Verpackungen immer systembeteiligungspflichtig?</w:t>
      </w:r>
    </w:p>
    <w:p>
      <w:pPr>
        <w:spacing w:after="60" w:before="60"/>
      </w:pPr>
      <w:r>
        <w:rPr>
          <w:rFonts w:ascii="Arial" w:cs="Arial" w:eastAsia="Arial" w:hAnsi="Arial"/>
          <w:color w:val="6B7280"/>
          <w:sz w:val="17"/>
          <w:szCs w:val="17"/>
        </w:rPr>
        <w:t xml:space="preserve">Block B – PPWR × VerpackDG · Rollen / EPR · rechtsverbindlich · Bezug: #32</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versenden ausschließlich an Gewerbekunden. Trotzdem sagt die ZSVR, unsere Versandkartons seien systembeteiligungspflichtig. Wie passt das?</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Der zum 12.08.2026 neu gefasste Allgemeine Teil des Katalogs stellt auf eine Gesamtmarktbetrachtung ab: Entscheidend ist, wo Verpackungen einer Art typischerweise als Abfall anfallen, nicht die individuelle Vertriebsstruktur eines Unternehmens. Transportverpackungen für den Versand an Endkunden gelten danach als systembeteiligungspflichtig, Transportverpackungen für die Speditionslogistik in der Regel nicht; Serviceverpackungen sind stets pflichtig. Das VG Osnabrück hat diese typisierende Betrachtung am 30.09.2026 bestätigt und den Katalog als norminterpretierende Verwaltungsvorschrift eingeordnet (7 A 112/24, nicht rechtskräftig). Folge: Versandkartons an gewerbliche Kunden sind systembeteiligungspflichtig, wenn sie einer Katalogposition entsprechen, die typischerweise beim privaten Endverbraucher oder vergleichbaren Anfallstellen (§ 3 Abs. 7 VerpackDG) anfällt. Eine Befreiung über den Nachweis eigener B2B-Kunden ist nicht vorgesehen; eine herstellereigene Rücknahme ist keine Branchenlösung nach § 8 VerpackDG. Quellen: § 3 Abs. 6 und 7, § 7 Abs. 1, § 8 VerpackDG;</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3 Abs. 6 und 7 VerpackDG (BGBl. 2026 I Nr. 207); § 7 Abs. 1 Satz 1, § 8, § 54 Abs. 1 Satz 2 Nr. 33 VerpackDG; ZSVR: Katalog systembeteiligungspflichtiger Verpackungen, Allgemeiner Teil, Stand 08/2026, gültig ab 12.08.2026 (Verwaltungsvorschrift, Behördeninformation); VG Osnabrück, Urteil vom 30.09.2026 – 7 A 112/24 (nicht rechtskräftig)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Katalog Allgemeiner Teil Stand 08/2026 ist norminterpretierende Verwaltungsvorschrift (§ 54 Abs. 1 Satz 2 Nr. 33 VerpackDG); VG Osnabrück 30.09.2026 nicht rechtskräftig. Verhältnis zu B12 prüfen.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C13  </w:t>
      </w:r>
      <w:r>
        <w:rPr>
          <w:rFonts w:ascii="Arial" w:cs="Arial" w:eastAsia="Arial" w:hAnsi="Arial"/>
          <w:b/>
          <w:bCs/>
          <w:sz w:val="22"/>
          <w:szCs w:val="22"/>
        </w:rPr>
        <w:t xml:space="preserve">Berichtigung der deutschen Fassung: Art. 29 Abs. 4 lit. b PPWR sagt jetzt „Waren“</w:t>
      </w:r>
    </w:p>
    <w:p>
      <w:pPr>
        <w:spacing w:after="60" w:before="60"/>
      </w:pPr>
      <w:r>
        <w:rPr>
          <w:rFonts w:ascii="Arial" w:cs="Arial" w:eastAsia="Arial" w:hAnsi="Arial"/>
          <w:color w:val="6B7280"/>
          <w:sz w:val="17"/>
          <w:szCs w:val="17"/>
        </w:rPr>
        <w:t xml:space="preserve">Block C – Konformität, Stoffe, Mehrweg · Mehrweg · rechtsverbindlich · Bezug: #27</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In unserem Ausdruck der PPWR steht bei den Mehrweg-Ausnahmen für Transportverpackungen „Rohstoffe“. Gilt die Ausnahme nur für Rohstofftransporte?</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Nein. Die deutsche Sprachfassung des Art. 29 Abs. 4 lit. b PPWR enthielt einen Übersetzungsfehler, der mit Berichtigung vom 04.08.2026 (ABl. L 2026/90654) korrigiert wurde: Die Ausnahme von den Mehrwegquoten gilt für Transportverpackungen, die für den Transport großer Maschinen, Ausrüstungen und „Waren“ verwendet werden, für die die Verpackung nach den individuellen Anforderungen des beauftragenden Wirtschaftsakteurs konzipiert ist; bisher stand dort „Rohstoffe“. Die anderen Sprachfassungen waren bereits korrekt. Folge: Maßgefertigte Transportverpackungen für individuelle Güter aller Art fallen unter die Ausnahme, nicht nur Rohstofftransporte. Prüfen Sie, ob Ihre Transportverpackungen kundenspezifisch konzipiert sind; dann greift Art. 29 Abs. 4 lit. b. Quellen: Art. 29 Abs. 4 lit. b PPWR in der berichtigten Fassung; ABl. L 2026/90654. Grenze: Die Berichtigung ändert nichts an den übrigen Voraussetzungen der Mehrwegquoten ab 2030 (vgl. #27) und an der Ausnahme für Palettenwicklungen und Umreifungsbänder (vgl. C11).</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29 Abs. 4 lit. b PPWR (VO (EU) 2025/40); Berichtigung der Verordnung (EU) 2025/40, ABl. L 2026/90654 vom 04.08.2026 (deutsche Sprachfassung, rechtsverbindlich)</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Berichtigung ABl. L 2026/90654 vom 04.08.2026 betrifft nur die deutsche Sprachfassung. Datensatz #27 und Glossar-/Erklärtexte, die „Rohstoffe“ zitieren, anpassen.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C14  </w:t>
      </w:r>
      <w:r>
        <w:rPr>
          <w:rFonts w:ascii="Arial" w:cs="Arial" w:eastAsia="Arial" w:hAnsi="Arial"/>
          <w:b/>
          <w:bCs/>
          <w:sz w:val="22"/>
          <w:szCs w:val="22"/>
        </w:rPr>
        <w:t xml:space="preserve">Kennzeichnungspflichten: Verschieben sich die Termine 2028/2029?</w:t>
      </w:r>
    </w:p>
    <w:p>
      <w:pPr>
        <w:spacing w:after="60" w:before="60"/>
      </w:pPr>
      <w:r>
        <w:rPr>
          <w:rFonts w:ascii="Arial" w:cs="Arial" w:eastAsia="Arial" w:hAnsi="Arial"/>
          <w:color w:val="6B7280"/>
          <w:sz w:val="17"/>
          <w:szCs w:val="17"/>
        </w:rPr>
        <w:t xml:space="preserve">Block C – Konformität, Stoffe, Mehrweg · Kennzeichnung · rechtsverbindlich · Bezug: #19, #20, #21</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planen unsere Verpackungsdrucke für 2028. Steht das harmonisierte Sortierlabel wirklich zum 12.08.2028 fest?</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Kommission hätte die Durchführungsrechtsakte zu den harmonisierten Kennzeichnungen (Art. 12 Abs. 6, Art. 13 Abs. 2 PPWR) bis zum 12.08.2026 erlassen müssen. Das ist nicht geschehen; der Entwurf ist als Initiative 19243 angekündigt, die Annahme für das vierte Quartal 2026 geplant. Die Kennzeichnungspflichten gelten nach der Verordnung ab dem 12.08.2028 (Materialkennzeichnung, freiwillige Rezyklat- und Bio-Labels) bzw. 12.02.2029 (Mehrweg-Kennzeichnung) oder 24 bzw. 30 Monate nach Geltungsbeginn des Durchführungsakts, je nachdem, welcher Zeitpunkt der spätere ist. Folge: Wird der Durchführungsakt erst Ende 2026 oder 2027 wirksam, verschieben sich die Pflichten rechnerisch in das Jahr 2029. Die Termine 2028 sind damit Mindestdaten, keine festen Stichtage. Planen Sie Druckvorlagen so, dass das Label nach Veröffentlichung der Spezifikationen nachgezogen werden kann. Unverändert gilt bereits seit dem 12.08.2026 das Irreführungsverbot des Art. 12 Abs. 8. Quellen: Art. 12 Abs. 1, 2, 4, 6, 8, Art. 13 PPWR; Initiative 19243; Kommissions-FAQ 2. Ed. Kap. VIII (unverbindlich).</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12 Abs. 1, 2, 4, 6 und 7 PPWR (VO (EU) 2025/40); Art. 13 Abs. 1 und 2 PPWR; Europäische Kommission, Have your say, Initiative 19243 „Packaging and packaging waste – new Commission implementing rules on harmonised labels“ (Entwurf angekündigt, Annahme geplant Q4 2026); Kommissions-FAQ zur PPWR, 2. Edition (03.08.2026), Kap. VIII FAQ 1–4 (unverbindliche Auslegung der EU-Kommission)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Durchführungsakt nach Art. 12 Abs. 6 / Art. 13 Abs. 2 verfehlt die Frist 12.08.2026 (Have-your-say-Initiative 19243, Annahme geplant Q4 2026). Folgetermine über „je nachdem, welcher Zeitpunkt der spätere ist“ errechnen; exakte Wortlaute Art. 12 Abs. 1, 2, 4 und Art. 13 Abs. 1 am Volltext pinnen. Datensätze #19–#21 angepasst.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C15  </w:t>
      </w:r>
      <w:r>
        <w:rPr>
          <w:rFonts w:ascii="Arial" w:cs="Arial" w:eastAsia="Arial" w:hAnsi="Arial"/>
          <w:b/>
          <w:bCs/>
          <w:sz w:val="22"/>
          <w:szCs w:val="22"/>
        </w:rPr>
        <w:t xml:space="preserve">Lagerware von vor dem 12.08.2026: Umetikettieren oder Begleitdokument?</w:t>
      </w:r>
    </w:p>
    <w:p>
      <w:pPr>
        <w:spacing w:after="60" w:before="60"/>
      </w:pPr>
      <w:r>
        <w:rPr>
          <w:rFonts w:ascii="Arial" w:cs="Arial" w:eastAsia="Arial" w:hAnsi="Arial"/>
          <w:color w:val="6B7280"/>
          <w:sz w:val="17"/>
          <w:szCs w:val="17"/>
        </w:rPr>
        <w:t xml:space="preserve">Block C – Konformität, Stoffe, Mehrweg · Konformität · unverbindliche Auslegung · Bezug: #10, #07</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haben Verpackungen im Lager, die vor dem 12. August produziert wurden, aber noch nicht verkauft sind. Müssen wir die jetzt alle mit Erzeugerangaben nachkennzeichnen?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Vor dem 12.08.2026 produzierte, aber noch nicht in Verkehr gebrachte Verpackungen unterliegen beim Inverkehrbringen den Anforderungen der PPWR (Art. 3 Abs. 1 Nr. 10 und 11; vgl. C01). Die Kommission hat in der 2. Edition ihrer FAQ (Kap. X FAQ 5) aber klargestellt, dass sie keine Vernichtung, Umarbeitung oder Umetikettierung solcher Bestände erwartet: Die Angaben zur Erzeugeridentifikation nach Art. 15 Abs. 5 und 6 dürfen für diese Ware über Begleitdokumente erfolgen; eine Einzelstückkennzeichnung verlangt Art. 15 Abs. 5 ohnehin nicht, eine Chargennummer genügt. Ist der Lieferant nicht mehr erreichbar, erwartet die Kommission „best efforts“. Bereits in Verkehr gebrachte Ware darf ohnehin am Markt bleiben. Folge: Dokumentieren Sie je Charge Erzeugername, Marke, Anschrift und Kontaktweg in den Lieferpapieren und halten Sie die Konformitätsangaben nach Art. 5 bereit; eine physische Nachkennzeichnung des Lagerbestands ist nach Kommissionslesart nicht erforderlich. Quellen: Art. 3 Abs. 1 Nr. 10 und 11, Art. 15 Abs. 5 und 6 PPWR; Kommissions-FAQ 2. Ed. Kap.</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10 und 11 PPWR (VO (EU) 2025/40); Art. 15 Abs. 5 und 6 PPWR; Kommissions-FAQ zur PPWR, 2. Edition (03.08.2026), Kap. X FAQ 5 (unverbindliche Auslegung der EU-Kommission)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Kommissions-FAQ 2. Ed. Kap. X FAQ 5 ist pragmatischer als unsere Lesart in #10 und C01 (kein Abverkaufsprivileg): keine Vernichtung/Umetikettierung, Art. 15 Abs. 5/6 per Begleitdokument. Spannung zu #10 für Cattwyk aufbereiten.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C16  </w:t>
      </w:r>
      <w:r>
        <w:rPr>
          <w:rFonts w:ascii="Arial" w:cs="Arial" w:eastAsia="Arial" w:hAnsi="Arial"/>
          <w:b/>
          <w:bCs/>
          <w:sz w:val="22"/>
          <w:szCs w:val="22"/>
        </w:rPr>
        <w:t xml:space="preserve">Konformitätserklärung: Eine je Verpackungseinheit, und darf sie der Bevollmächtigte ausstellen?</w:t>
      </w:r>
    </w:p>
    <w:p>
      <w:pPr>
        <w:spacing w:after="60" w:before="60"/>
      </w:pPr>
      <w:r>
        <w:rPr>
          <w:rFonts w:ascii="Arial" w:cs="Arial" w:eastAsia="Arial" w:hAnsi="Arial"/>
          <w:color w:val="6B7280"/>
          <w:sz w:val="17"/>
          <w:szCs w:val="17"/>
        </w:rPr>
        <w:t xml:space="preserve">Block C – Konformität, Stoffe, Mehrweg · Konformität · unverbindliche Auslegung · Bezug: #06, #05, #37</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Brauchen wir für jeden Karton, jede Folie und jedes Etikett eine eigene Konformitätserklärung? Und darf unser Bevollmächtigter die unterschreiben?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Nach der Kommissions-FAQ kann eine Konformitätsbewertung und eine Konformitätserklärung die gesamte Verpackungseinheit abdecken, also alle Bestandteile, die zusammen in Verkehr gebracht werden (2. Ed. Kap. XV FAQ 5). Die Erklärung ist in der Sprache des Mitgliedstaats abzufassen, in dem die Verpackung bereitgestellt wird; in Deutschland genügt Deutsch oder Englisch (§ 62 VerpackDG). Prüfungen und Zertifizierungen dürfen an Labore delegiert werden, die Erstellung der technischen Dokumentation nach Anhang VII bleibt Sache des Erzeugers (Kap. XV FAQ 8). Ein Bevollmächtigter nach Art. 17 PPWR darf die Konformitätserklärung mit schriftlichem Mandat ausstellen (Kap. XV FAQ 14). Importeure müssen sicherstellen, dass der Drittlandserzeuger Konformitätsbewertung und Erklärung vorgenommen hat (Kap. X FAQ 9, Art. 18 PPWR). Folge: Eine Erklärung je Verpackungseinheit statt je Bestandteil ist zulässig; die Aufbewahrungsfrist beträgt fünf Jahre bei Einweg- und zehn Jahre bei Mehrwegverpackungen (Art. 15 Abs. 3). Quellen: Art. 15 Abs. 3, 17, 18, 38, 39, Anhang VII und VIII PPWR;</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15 Abs. 3 PPWR (VO (EU) 2025/40); Art. 17 PPWR; Art. 18 PPWR; Art. 38 und 39 i. V. m. Anhang VII und VIII PPWR; § 62 VerpackDG (BGBl. 2026 I Nr. 207); Kommissions-FAQ zur PPWR, 2. Edition (03.08.2026), Kap. XV FAQ 5, 8 und 14 sowie Kap. X FAQ 9 (unverbindliche Auslegung der EU-Kommission)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Kommissions-FAQ 2. Ed. Kap. XV FAQ 5/8/14 und Kap. X FAQ 9. Ergänzt C03/C04; Aussage „TD-Erstellung nicht delegierbar“ gegen Art. 17 Abs. 2 PPWR pinnen. Relevanz für Dokumenten-Generator (Ebene Verpackungseinheit).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C17  </w:t>
      </w:r>
      <w:r>
        <w:rPr>
          <w:rFonts w:ascii="Arial" w:cs="Arial" w:eastAsia="Arial" w:hAnsi="Arial"/>
          <w:b/>
          <w:bCs/>
          <w:sz w:val="22"/>
          <w:szCs w:val="22"/>
        </w:rPr>
        <w:t xml:space="preserve">Marktüberwachung ab Tag eins: Droht sofort ein Vertriebsverbot?</w:t>
      </w:r>
    </w:p>
    <w:p>
      <w:pPr>
        <w:spacing w:after="60" w:before="60"/>
      </w:pPr>
      <w:r>
        <w:rPr>
          <w:rFonts w:ascii="Arial" w:cs="Arial" w:eastAsia="Arial" w:hAnsi="Arial"/>
          <w:color w:val="6B7280"/>
          <w:sz w:val="17"/>
          <w:szCs w:val="17"/>
        </w:rPr>
        <w:t xml:space="preserve">Block C – Konformität, Stoffe, Mehrweg · Konformität · unverbindliche Auslegung · Bezug: #04, #06</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Wenn unsere Konformitätserklärung noch nicht fertig ist, kann die Behörde unsere Verpackungen sofort vom Markt nehmen?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Nach Art. 62 PPWR fordert die Marktüberwachungsbehörde bei formaler Nichtkonformität, etwa fehlender Konformitätserklärung oder technischer Dokumentation, den Wirtschaftsakteur zunächst auf, den Mangel zu beheben. Weitergehende Maßnahmen bis zur Rücknahme vom Markt folgen erst, wenn die Nichtkonformität fortbesteht. Die Kommission hat in ihrer FAQ (2. Ed. Kap. XVI FAQ 1) klargestellt, dass eine Nichtkonformität ab dem 12.08.2026 nicht automatisch zu einem Vertriebsverbot führt, und den Behörden einen unterstützenden Ansatz empfohlen. In Deutschland sind die Bußgeldtatbestände für Verstöße gegen die PPWR (§ 66 Abs. 2 VerpackDG) erst ab dem 12.02.2027 anwendbar (§ 68 Abs. 17). Folge: Sie haben eine Abhilfephase, aber keine Freistellung. Nutzen Sie die Zeit bis Februar 2027, um Dokumentation und Erklärung zu vervollständigen; die Pflicht selbst gilt seit dem 12.08.2026. Quellen: Art. 62 PPWR; § 66 Abs. 2, § 68 Abs. 17 VerpackDG; Kommissions-FAQ 2. Ed. Kap. XVI (unverbindlich). Grenze: Die Übergangsregel des § 68 Abs. 17 betrifft nur die Bußgeldtatbestände des Abs. 2;</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62 PPWR (VO (EU) 2025/40); § 66 Abs. 2 und § 68 Abs. 17 VerpackDG (BGBl. 2026 I Nr. 207); Kommissions-FAQ zur PPWR, 2. Edition (03.08.2026), Kap. XVI FAQ 1 (unverbindliche Auslegung der EU-Kommission)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Kommissions-FAQ 2. Ed. Kap. XVI FAQ 1 (Art. 62, „supportive approach“) plus Instagram-Äußerung der Kommission vom 12.08.2026 (keine förmliche Mitteilung gefunden). Nationale Ebene: § 68 Abs. 17 VerpackDG unverändert. Ergänzt B04.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C18  </w:t>
      </w:r>
      <w:r>
        <w:rPr>
          <w:rFonts w:ascii="Arial" w:cs="Arial" w:eastAsia="Arial" w:hAnsi="Arial"/>
          <w:b/>
          <w:bCs/>
          <w:sz w:val="22"/>
          <w:szCs w:val="22"/>
        </w:rPr>
        <w:t xml:space="preserve">Rezyklatanteil Kunststoff: Welche Rechtsakte fehlen noch, und wann kommen sie?</w:t>
      </w:r>
    </w:p>
    <w:p>
      <w:pPr>
        <w:spacing w:after="60" w:before="60"/>
      </w:pPr>
      <w:r>
        <w:rPr>
          <w:rFonts w:ascii="Arial" w:cs="Arial" w:eastAsia="Arial" w:hAnsi="Arial"/>
          <w:color w:val="6B7280"/>
          <w:sz w:val="17"/>
          <w:szCs w:val="17"/>
        </w:rPr>
        <w:t xml:space="preserve">Block C – Konformität, Stoffe, Mehrweg · Stoffrecht · rechtsverbindlich · Bezug: #14</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Ab 2030 müssen unsere Kunststoffverpackungen Rezyklat enthalten. Nach welcher Methode wird das berechnet, und ist das schon geregelt?</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Mindestrezyklatanteile des Art. 7 Abs. 1 PPWR gelten ab dem 01.01.2030 (vgl. #14). Die Berechnungs- und Nachweismethodik (Art. 7 Abs. 8), die Nachhaltigkeitskriterien für Recyclingtechnologien (Art. 7 Abs. 9) und die Bedingungen für die Anrechnung von Rezyklat aus Drittstaaten (Art. 7 Abs. 10) muss die Kommission bis zum 31.12.2026 festlegen. Dazu laufen seit August 2026 drei Verfahren; die Sondierung endete am 16.09.2026, Rechtsaktentwürfe liegen noch nicht vor, die Annahme ist für das vierte Quartal 2026 geplant. Folge: Für die Planung Ihrer Rezyklatbeschaffung stehen heute nur die Zielwerte fest, nicht die Methode. Ob chemisches Recycling angerechnet wird und unter welchen Bedingungen Importrezyklat zählt, entscheidet sich mit diesen Rechtsakten. Quellen: Art. 7 PPWR; Initiativen 18753, 19033, 18752 (Vorstufe). Grenze: Für PET-Einweggetränkeflaschen gelten bereits die nationale Quote des § 45 VerpackDG und die SUPD-Berechnungsmethode (vgl. C10, C12).</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7 Abs. 1, 8, 9 und 10 PPWR (VO (EU) 2025/40); Europäische Kommission, Have your say, Initiativen 18753 (Art. 7 Abs. 8, Berechnung und Verifizierung), 19033 (Art. 7 Abs. 9, Nachhaltigkeitskriterien Recyclingtechnologien) und 18752 (Art. 7 Abs. 10, Drittlandsrezyklat), Call for Evidence 14.08.–16.09.2026 (Vorstufe, nicht erlassen)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Drei Kommissions-Initiativen (18753, 19033, 18752) im Call-for-Evidence-Stadium, Annahme geplant Q4 2026, gesetzliche Frist 31.12.2026. Ergänzt #14, C10, C12.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C19  </w:t>
      </w:r>
      <w:r>
        <w:rPr>
          <w:rFonts w:ascii="Arial" w:cs="Arial" w:eastAsia="Arial" w:hAnsi="Arial"/>
          <w:b/>
          <w:bCs/>
          <w:sz w:val="22"/>
          <w:szCs w:val="22"/>
        </w:rPr>
        <w:t xml:space="preserve">Herstellerregister: Kommt ein einheitliches EU-Meldeformat?</w:t>
      </w:r>
    </w:p>
    <w:p>
      <w:pPr>
        <w:spacing w:after="60" w:before="60"/>
      </w:pPr>
      <w:r>
        <w:rPr>
          <w:rFonts w:ascii="Arial" w:cs="Arial" w:eastAsia="Arial" w:hAnsi="Arial"/>
          <w:color w:val="6B7280"/>
          <w:sz w:val="17"/>
          <w:szCs w:val="17"/>
        </w:rPr>
        <w:t xml:space="preserve">Block C – Konformität, Stoffe, Mehrweg · Rollen / EPR · rechtsverbindlich · Bezug: #31</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sind in mehreren EU-Ländern registrierungspflichtig. Gibt es bald ein einheitliches Formular oder sogar ein zentrales Register?</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Art. 44 Abs. 14 PPWR ermächtigt die Kommission, das Format für Registrierung und Berichterstattung in den nationalen Herstellerregistern zu harmonisieren. Der Entwurf einer Durchführungsverordnung lag vom 06.08. bis 10.09.2026 zur Rückmeldung aus; er sieht einheitliche Registrierungs- und Meldeformate sowie ein vereinfachtes Format für Hersteller unter zehn Tonnen pro Jahr und Mitgliedstaat vor. Die ursprünglich für Anfang 2026 geplante Annahme ist überfällig. Ein zentrales EU-Register ist in der Verordnung nicht vorgesehen; die Bundesregierung und mehrere Mitgliedstaaten fordern ein EU-Registrierungsportal, bevor die Registrierungspflicht im Zielland durchgesetzt wird. Folge: Bis zur Annahme gelten die nationalen Formate weiter, in Deutschland die LUCID-Registrierung nach § 6 VerpackDG (vgl. #31, B01, B02). Quellen: Art. 44 PPWR; § 6 VerpackDG; Initiative 15352 (Entwurf). Grenze: Inhalt und Zeitpunkt der endgültigen Verordnung sind offen; der PPWR Radar meldet die Veröffentlichung.</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44 Abs. 1 und 14 PPWR (VO (EU) 2025/40); § 6 VerpackDG (BGBl. 2026 I Nr. 207); Europäische Kommission, Have your say, Initiative 15352 „Packaging and packaging waste – rules on national registers of producers“, Entwurf Ares(2026)7688068 (Durchführungsverordnung, nicht erlassen)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Entwurf Durchführungsverordnung Art. 44 Abs. 14 (Initiative 15352, Feedback 06.08.–10.09.2026, 7.667 Rückmeldungen), Annahme überfällig; AT/CZ/EE fordern Zurückstellung (Sekundärquelle). Ergänzt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C20  </w:t>
      </w:r>
      <w:r>
        <w:rPr>
          <w:rFonts w:ascii="Arial" w:cs="Arial" w:eastAsia="Arial" w:hAnsi="Arial"/>
          <w:b/>
          <w:bCs/>
          <w:sz w:val="22"/>
          <w:szCs w:val="22"/>
        </w:rPr>
        <w:t xml:space="preserve">Öffentliche Beschaffung: Wird Art. 63 PPWR durch das Public Procurement Act gestrichen?</w:t>
      </w:r>
    </w:p>
    <w:p>
      <w:pPr>
        <w:spacing w:after="60" w:before="60"/>
      </w:pPr>
      <w:r>
        <w:rPr>
          <w:rFonts w:ascii="Arial" w:cs="Arial" w:eastAsia="Arial" w:hAnsi="Arial"/>
          <w:color w:val="6B7280"/>
          <w:sz w:val="17"/>
          <w:szCs w:val="17"/>
        </w:rPr>
        <w:t xml:space="preserve">Block C – Konformität, Stoffe, Mehrweg · Sonstiges · rechtsverbindlich</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liefern verpackte Produkte an Behörden und Kommunen. Jetzt heißt es, die PPWR-Vorgaben zur umweltorientierten öffentlichen Beschaffung sollen gestrichen werden. Stimmt das, und müssen wir uns darauf einstellen?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Art. 63 PPWR gilt unverändert. Er verpflichtet die Kommission, bis zum 12.02.2030 Durchführungsrechtsakte mit verpflichtenden Mindestanforderungen für die umweltorientierte Vergabe öffentlicher Aufträge zu erlassen, soweit Verpackungen oder verpackte Produkte mehr als 30 % des geschätzten Auftragswerts ausmachen (Art. 63 Abs. 1). Die Anforderungen gelten für Vergabeverfahren, die zwölf Monate nach Inkrafttreten des Rechtsakts eingeleitet werden (Abs. 2), und stützen sich auf die Anforderungen der Art. 5 bis 11 (Abs. 3). Richtig ist, dass die Kommission am 09.09.2026 mit dem Vorschlag für ein Public Procurement Act (COM(2026) 590, Verfahren 2026/0265(COD)) vorgeschlagen hat, Art. 63 PPWR zu streichen. Verweise auf Art. 63 sollen künftig als Verweise auf Art. 54 der neuen Vergabeverordnung gelten.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63 PPWR (VO (EU) 2025/40), Abs. 1 bis 5; Kommissionsvorschlag COM(2026) 590 vom 09.09.2026, Art. 54, Art. 149, Anhang VII und Änderungsartikel zu Art. 63 PPWR (Verfahren 2026/0265(COD), Gesetzgebungsverfahren, nicht erlassen); EUR-Lex-Dokumentseite zu VO (EU) 2025/40, Rubrik „Subsequent related instruments“ (Stand 19.10.2026)</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Kommissionsvorschlag COM(2026) 590 vom 09.09.2026 (Public Procurement Act, 2026/0265(COD)) will Art. 63 PPWR aufheben und durch Art. 54 der neuen Vergabeverordnung ersetzen; PPWR ist in Anhang VII des Entwurfs gelistet. Im Delta-Check vom 17.10.2026 nicht erfasst. Frage an die Kanzlei: Relevanz für Lieferanten der öffentlichen Hand, und ob der Datensatz ausgespielt werden soll oder nur als Hintergrund dient.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C21  </w:t>
      </w:r>
      <w:r>
        <w:rPr>
          <w:rFonts w:ascii="Arial" w:cs="Arial" w:eastAsia="Arial" w:hAnsi="Arial"/>
          <w:b/>
          <w:bCs/>
          <w:sz w:val="22"/>
          <w:szCs w:val="22"/>
        </w:rPr>
        <w:t xml:space="preserve">Neuer KMU-Leitfaden der Kommission: Versandaufkleber, neutrale Transportverpackung, Lagerware – was sagt Brüssel jetzt?</w:t>
      </w:r>
    </w:p>
    <w:p>
      <w:pPr>
        <w:spacing w:after="60" w:before="60"/>
      </w:pPr>
      <w:r>
        <w:rPr>
          <w:rFonts w:ascii="Arial" w:cs="Arial" w:eastAsia="Arial" w:hAnsi="Arial"/>
          <w:color w:val="6B7280"/>
          <w:sz w:val="17"/>
          <w:szCs w:val="17"/>
        </w:rPr>
        <w:t xml:space="preserve">Block C – Konformität, Stoffe, Mehrweg · Konformität · unverbindliche Auslegung · Bezug: #05, #06, #07, #08, #10</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Die EU-Kommission hat im Oktober 2026 einen Leitfaden für kleine Unternehmen zur PPWR veröffentlicht. Was steht drin, und ändert das etwas an dem, was wir bisher zu Erzeugerrolle, Konformitätserklärung und Lagerware wissen?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Generaldirektion Umwelt hat am 19.10.2026 einen vierseitigen Leitfaden „PPWR and small businesses: What do I need to know?“ (KH-01-26-088-EN-N) und parallel eine Webseite zur erweiterten Herstellerverantwortung für kleine Unternehmen veröffentlicht. Beides ist eine Information der EU-Kommission, kein Rechtsakt und keine Auslegung mit Bindungswirkung; die Rechtslage ändert sich dadurch nicht. Inhaltlich bestätigt der Leitfaden die Linie der FAQ 2. Edition und formuliert sie für Kleinunternehmen zugespitzt: Wer generische Verpackung kauft und einen Aufkleber mit eigener Marke anbringt, wird Erzeuger (manufacturer); ein reiner Versandaufkleber ist dagegen kein Branding und macht nicht zum Erzeuger (Fn. 6). Wer neutrale Kartons, Klebeband oder Paletten ohne eigene Marke nutzt, ist nicht Erzeuger dieser Transportverpackung, sondern der physische Hersteller bzw. Lieferant. Für bereits produzierte Verpackung ohne Kennzeichnung nach Art. 15 Abs. 5 und 6 verlangt die Kommission weder Umverpacken noch Vernichtung; die Angaben können per Begleitdokument (z. B.</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Europäische Kommission, GD Umwelt: „Packaging and Packaging Waste Regulation (PPWR) and small businesses: What do I need to know?“, Oktober 2026, Amt für Veröffentlichungen 19.10.2026, KH-01-26-088-EN-N, ISBN 978-92-68-44493-1, doi:10.2779/8270922 (Information der EU-Kommission, unverbindlich); Europäische Kommission, GD Umwelt: „Extended producer responsibility for packaging for Small Businesses“, environment.ec.europa.eu, Oktober 2026 (Information der EU-Kommission, unverbindlich); Art. 3 Abs. 1 Nr. 15 und 16, Art. 5, Art. 15 Abs. 5 und 6, Art. 16, Art. 39, Art. 45 Abs. 3 PPWR (VO (EU) 2025/40); Kommissions-FAQ zur PPWR, 2. Edition (03.08.2026), Kap. II FAQ 5–7 (unverbindliche Auslegung der EU-Kommission)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DG ENV, „PPWR and small businesses: What do I need to know?“ (KH-01-26-088-EN-N, Amt für Veröffentlichungen 19.10.2026) plus Web-Leitfaden „EPR for packaging for small businesses“ (Oktober 2026). Vier Aussagen gegen Bestand prüfen: (1) Versandaufkleber ist kein Branding, Fn. 6 – stützt die Kommissionslesart in A30 gegen ZSVR; (2) neutrale Kartons/Klebeband/Paletten ohne eigene Marke machen nicht zum Erzeuger, Erzeuger ist der physische Hersteller – gegen A31/ZSVR-Fälle B.2/B.3; (3) Konformitätserklärung muss „derzeit nur“ Art. 5 (Schwermetalle, PFAS) abdecken (!) – Verhältnis zu Art. 39, Anhang VIII und zu #4/#6 klären; (4) Lagerware: keine Umverpackung/Vernichtung, Angaben nach Art. 15 Abs. 5/6 per Begleitdokument oder digital – deckt sich mit C15. Verbindlichkeit: Information der EU-Kommission, kein Rechtsakt, nicht im ABl. Die Links auf der Green-Forum-Seite führen am 26.10.2026 auf 404 (!), die PDF ist über op.europa.eu erreichbar. Frage an die Kanzlei: Darf der Radar die Aussage (3) ausspielen, oder bleibt es bei der vollen DoC-Struktur nach Anhang VIII?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pStyle w:val="Heading2"/>
        <w:keepNext/>
        <w:spacing w:after="120" w:before="280"/>
      </w:pPr>
      <w:r>
        <w:rPr>
          <w:rFonts w:ascii="Arial" w:cs="Arial" w:eastAsia="Arial" w:hAnsi="Arial"/>
          <w:b/>
          <w:bCs/>
          <w:color w:val="111111"/>
          <w:sz w:val="26"/>
          <w:szCs w:val="26"/>
        </w:rPr>
        <w:t xml:space="preserve">B.2 Rollen-Engine: Regeln und Definitionen mit Vorbehalt (16)</w:t>
      </w:r>
    </w:p>
    <w:p>
      <w:pPr>
        <w:spacing w:after="120" w:before="60"/>
      </w:pPr>
      <w:r>
        <w:rPr>
          <w:rFonts w:ascii="Arial" w:cs="Arial" w:eastAsia="Arial" w:hAnsi="Arial"/>
          <w:sz w:val="19"/>
          <w:szCs w:val="19"/>
        </w:rPr>
        <w:t xml:space="preserve">Die Rollen-Engine ist das sensibelste Modul: Aus diesen Regeln leitet das System je Produktlinie ab, ob ein Unternehmen Erzeuger, Hersteller, Importeur oder Vertreiber ist. Regeln mit Vorbehalt (!) werden dem Nutzer heute mit einem Hinweis ausgespielt; nach Ihrer Freigabe entfällt der Hinweis.</w:t>
      </w:r>
    </w:p>
    <w:p>
      <w:pPr>
        <w:keepNext/>
        <w:pBdr>
          <w:top w:val="single" w:color="24A27F" w:sz="6" w:space="4"/>
        </w:pBdr>
        <w:spacing w:after="40" w:before="240"/>
      </w:pPr>
      <w:r>
        <w:rPr>
          <w:rFonts w:ascii="Arial" w:cs="Arial" w:eastAsia="Arial" w:hAnsi="Arial"/>
          <w:b/>
          <w:bCs/>
          <w:color w:val="004494"/>
          <w:sz w:val="22"/>
          <w:szCs w:val="22"/>
        </w:rPr>
        <w:t xml:space="preserve">Regel A3  </w:t>
      </w:r>
      <w:r>
        <w:rPr>
          <w:rFonts w:ascii="Arial" w:cs="Arial" w:eastAsia="Arial" w:hAnsi="Arial"/>
          <w:sz w:val="20"/>
          <w:szCs w:val="20"/>
        </w:rPr>
        <w:t xml:space="preserve">Block „erzeuger“ · EU-weit</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regel A2 erfüllt UND unternehmensgroesse = kleinstunternehmen (Stand 11.02.2025) UND verpackungslieferant_sitz = gleicher_mitgliedstaat</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erzeuger_ist_lieferant (eigene Rolle: lieferant_als_erzeuger; Markeninhaber entlastet)</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lit. b VO (EU) 2025/40; Leitfaden C(2026)3702, Abschn. 2 (gilt unabhängig davon, ob der Lieferant selbst Kleinstunternehmen ist; Verbund-/Franchise-Berechnung nach Art. 3 Empf. 2003/361/EG)</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Kleinstunternehmen: &lt; 10 Beschäftigte UND Jahresumsatz ODER Bilanzsumme ≤ 2 Mio. EUR (Empfehlung 2003/361/EG in der am 11.02.2025 geltenden Fassung). Beide Bedingungen (Größe + Lieferant im selben Mitgliedstaat) müssen kumulativ vorliegen, sonst bleibt der Markeninhaber Erzeuger.</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A5  </w:t>
      </w:r>
      <w:r>
        <w:rPr>
          <w:rFonts w:ascii="Arial" w:cs="Arial" w:eastAsia="Arial" w:hAnsi="Arial"/>
          <w:sz w:val="20"/>
          <w:szCs w:val="20"/>
        </w:rPr>
        <w:t xml:space="preserve">Block „erzeuger“ · EU-weit</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rolle_basis IN (importeur, vertreiber) UND (bringt_unter_eigenem_namen_in_verkehr = ja ODER veraendert_verpackung_konformitaetsrelevant = ja) UND NOT regel A3</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erzeuger (Zurechnung; zusätzlich zur Basisrolle)</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21 VO (EU) 2025/40; Leitfaden C(2026)3702, Abschn. 2</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Importeure und Vertreiber gelten als Erzeuger, wenn sie Verpackungen unter eigenem Namen/eigener Marke in Verkehr bringen oder bereits in Verkehr gebrachte Verpackungen so verändern, dass die Konformität berührt sein kann. Übernahme sämtlicher Erzeugerpflichten. [Ergänzt 18.07.2026, aus App-Engine-Test: Der NOT-A3-Vorbehalt verhindert, dass die Art.-21-Zurechnung die Kleinstunternehmen-Entlastung des Art. 3 Abs. 1 Nr. 13 lit. b wieder aushebelt – Wechselwirkung über die Auffang-Vertreiberrolle. In Cattwyk-Session bestätigen.] | Delta 17.10.2026: vgl. Praxisfrage A30 (Versandetikett ist kein Branding, Kommissions-FAQ 2. Ed.).</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B1  </w:t>
      </w:r>
      <w:r>
        <w:rPr>
          <w:rFonts w:ascii="Arial" w:cs="Arial" w:eastAsia="Arial" w:hAnsi="Arial"/>
          <w:sz w:val="20"/>
          <w:szCs w:val="20"/>
        </w:rPr>
        <w:t xml:space="preserve">Block „hersteller“ · DE (je Mitgliedstaat)</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verpackungsart IN (transport, service, primaerproduktion) UND zustand = leer UND sitz = DE UND erste_bereitstellung_aus_DE_in_DE = ja</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hersteller</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15 lit. a VO (EU) 2025/40; Leitfaden C(2026)3702, Abschn. 3; ErwG 122; EUNR-Papier 06/2026 (Sekundärquelle: Lieferkette beginnt bei der fertigen leeren Verpackung; bei Folien u. ä. erst mit der Befüllung)</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Für Transport-, Service- und Primärproduktionsverpackungen wird der Hersteller anhand der LEEREN Verpackung bestimmt (Entlastung kleiner Befüller). Erst-Bereitsteller in DE = Hersteller. | Delta 17.10.2026: vgl. Praxisfrage A31 (Finalform-Doktrin, Kommissions-FAQ 2. Ed.).</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B3  </w:t>
      </w:r>
      <w:r>
        <w:rPr>
          <w:rFonts w:ascii="Arial" w:cs="Arial" w:eastAsia="Arial" w:hAnsi="Arial"/>
          <w:sz w:val="20"/>
          <w:szCs w:val="20"/>
        </w:rPr>
        <w:t xml:space="preserve">Block „hersteller“ · DE</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vertriebsweg ENTHÄLT fernabsatz_direkt_an_endabnehmer_DE UND sitz IN (anderer_mitgliedstaat, drittland)</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hersteller (in DE) + pflicht_bevollmaechtigter_ehv</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15 lit. c und d VO (EU) 2025/40; § 5 Abs. 2 VerpackDG (BGBl. 2026 I Nr. 207); Leitfaden C(2026)3702, Abschn. 3 (distance seller is the producer; Plattform-Prüfpflichten); ErwG 123, 132</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Wer aus dem Ausland direkt an Endabnehmer in DE liefert, ist Hersteller in DE. Ohne Niederlassung im Bundesgebiet: Pflicht zur Beauftragung/Benennung eines Bevollmächtigten für die erweiterte Herstellerverantwortung vor der ersten Bereitstellung (Registrierung selbst ausgenommen). | Delta 17.10.2026: Watch-Item, vgl. Praxisfrage A35.</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B4  </w:t>
      </w:r>
      <w:r>
        <w:rPr>
          <w:rFonts w:ascii="Arial" w:cs="Arial" w:eastAsia="Arial" w:hAnsi="Arial"/>
          <w:sz w:val="20"/>
          <w:szCs w:val="20"/>
        </w:rPr>
        <w:t xml:space="preserve">Block „hersteller“ · DE</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taetigkeit ENTHÄLT packt_aus UND ist_endabnehmer = nein UND kein_anderer_hersteller_nach_a_bis_d = ja</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hersteller (Auffangtatbestand)</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15 lit. e VO (EU) 2025/40; § 6 Abs. 1 VerpackDG (Registrierung vor dem Auspacken); Leitfaden C(2026)3702, Abschn. 3 (Logistikunternehmen: Umpacken von Drittlandsware macht zum Hersteller der Transportverpackung, auch ohne Eigentum); ErwG 123</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Auspacker-Tatbestand: Wer verpackte Produkte auspackt, ohne Endabnehmer zu sein, wird Hersteller der anfallenden Verpackung, sofern kein anderer Hersteller nach lit. a–d existiert. Kernfall: Fulfillment/Logistik mit Drittlandsware. Registrierung VOR dem Auspacken.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B5  </w:t>
      </w:r>
      <w:r>
        <w:rPr>
          <w:rFonts w:ascii="Arial" w:cs="Arial" w:eastAsia="Arial" w:hAnsi="Arial"/>
          <w:sz w:val="20"/>
          <w:szCs w:val="20"/>
        </w:rPr>
        <w:t xml:space="preserve">Block „hersteller“ · DE/EU</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warenstrom = export_aus_EU</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kein_hersteller (für diese Mengen)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15 i. V. m. Art. 45 VO (EU) 2025/40 (Systematik); Leitfaden C(2026)3702, Abschn. 3 (Export: kein producer, da kein Abfall in der EU erwartet; bei Weitervertrieb in anderen Mitgliedstaat: Gebührenerstattung)</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Exportmengen lösen keine EPR in DE aus. Wird nach Gebührenzahlung in DE erstmals in einem anderen Mitgliedstaat bereitgestellt, sind die Beiträge zu erstatten; die Pflicht entsteht dort neu.</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B6  </w:t>
      </w:r>
      <w:r>
        <w:rPr>
          <w:rFonts w:ascii="Arial" w:cs="Arial" w:eastAsia="Arial" w:hAnsi="Arial"/>
          <w:sz w:val="20"/>
          <w:szCs w:val="20"/>
        </w:rPr>
        <w:t xml:space="preserve">Block „hersteller“ · DE</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rolle = hersteller UND verpackung IN systembeteiligungspflichtig (§ 3 Abs. 6 VerpackDG)</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rechtsfolgen_DE: registrierung_zsvr + systembeteiligung + datenmeldung</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6, 7, 9, 10 VerpackDG; Art. 44, 45 VO (EU) 2025/40; § 68 VerpackDG (Übergang, final: LUCID-Registrierungen gelten fort, Abs. 2 Satz 1; Änderungsmitteilungen bis 12.11.2026, Abs. 2 Satz 2; erstmals Verpflichtete bis 12.09.2026, Abs. 2 Satz 3; Alt-Systembeteiligungen längstens bis 31.12.2026, Abs. 1); § 68 Abs. 17: Bußgeldtatbestände für PPWR-Verstöße (§ 66 Abs. 2) erst ab 12.02.2027 anwendbar</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Rechtsfolgen-Kaskade in DE: Registrierung bei der ZSVR vor erstmaliger Bereitstellung bzw. vor dem Auspacken (§ 6 Abs. 1); Systembeteiligung mit Materialart/Masse (§ 7 Abs. 1); bei Serviceverpackungen Übertragungsmöglichkeit auf Vorvertreiber (§ 7 Abs. 2 – Auslegungsfrage, s. Review); Datenmeldung § 9; ggf. Vollständigkeitserklärung § 10.</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D1  </w:t>
      </w:r>
      <w:r>
        <w:rPr>
          <w:rFonts w:ascii="Arial" w:cs="Arial" w:eastAsia="Arial" w:hAnsi="Arial"/>
          <w:sz w:val="20"/>
          <w:szCs w:val="20"/>
        </w:rPr>
        <w:t xml:space="preserve">Block „verpackung“ · DE</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verpackung.art IN (transport, ecommerce, service, primaerproduktion) UND verpackung.form = formstabil UND verpackung.bezug = fertig_gekauft UND verpackung.lieferant_sitz = DE UND sitz = DE UND verpackung.marke != eigene</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entlastung: epr_beim_lieferanten (Erzeuger und Hersteller dieser Verpackung ist der Lieferant); Nutzer: vertreiber</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und Nr. 15 lit. a VO (EU) 2025/40; ZSVR: „Abgrenzung Erzeuger &amp; Hersteller“ (formstabile Transportverpackung ist mit der Herstellung fertig; Behördeninformation); Kommissions-FAQ 2. Ed. (03.08.2026) Kap. II FAQ 5 (unverbindliche Auslegung)</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Fertig bezogene formstabile Transport-, Service- oder Primärproduktionsverpackung (Karton, Umschlag, Tüte) eines deutschen Lieferanten: Der Lieferant hat sie in ihre endgültige Form gebracht (Erzeuger) und erstmals in Deutschland bereitgestellt (Hersteller, lit. a). Der Nutzer ist für diese Verpackung Vertreiber mit Prüfpflicht (Registrierung des Lieferanten, vgl. B14) und braucht weder Konformitätserklärung noch Systembeteiligung dafür. Gilt nur, solange die Verpackung unverändert verwendet wird (sonst D3) und keine eigene Marke trägt (sonst A2/A5).</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D2  </w:t>
      </w:r>
      <w:r>
        <w:rPr>
          <w:rFonts w:ascii="Arial" w:cs="Arial" w:eastAsia="Arial" w:hAnsi="Arial"/>
          <w:sz w:val="20"/>
          <w:szCs w:val="20"/>
        </w:rPr>
        <w:t xml:space="preserve">Block „verpackung“ · DE</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verpackung.art IN (transport, ecommerce) UND verpackung.form = flexibel UND verpackung.bezug IN (selbst_hergestellt, selbst_zusammengefuegt) UND sitz = DE</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erzeuger + hersteller (für diese Verpackung)</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und Nr. 15 lit. a VO (EU) 2025/40; ZSVR: „Abgrenzung Erzeuger &amp; Hersteller“ (flexible Verpackung wie Folie oder Umreifung entsteht erst bei der Anwendung; Behördeninformation); Kommissions-FAQ 2. Ed. Kap. II FAQ 5 (unbedruckte Stretchfolie: Folienhersteller ist Erzeuger – abweichende Lesart, (!) vgl. A23, A31)</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Flexible Verpackung, die der Nutzer selbst anwendet (Zeitschrift einschweißen, Palette wickeln, Bündel umreifen): Nach der ZSVR-Lesart entsteht die Verpackung erst bei der Anwendung, der Anwender ist Erzeuger und Hersteller. Folge: Konformitätserklärung für die Folienverpackung, Erzeugerkennzeichnung, LUCID-Meldung der Folienmengen. (!) Die Kommission sieht bei unbedruckter Folie den Folienhersteller als Erzeuger; Cattwyk-Einordnung, welche Lesart ausgespielt wird.</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D3  </w:t>
      </w:r>
      <w:r>
        <w:rPr>
          <w:rFonts w:ascii="Arial" w:cs="Arial" w:eastAsia="Arial" w:hAnsi="Arial"/>
          <w:sz w:val="20"/>
          <w:szCs w:val="20"/>
        </w:rPr>
        <w:t xml:space="preserve">Block „verpackung“ · DE</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verpackung.art IN (transport, ecommerce) UND verpackung.form = formstabil UND verpackung.bezug = selbst_zusammengefuegt UND sitz = DE</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erzeuger + hersteller (für diese Verpackung) – mit Vorbehalt</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VO (EU) 2025/40; Art. 21 VO (EU) 2025/40; ZSVR: „Versand- und Onlinehandel“, Fall B.2 (wer Materialien zur vollständigen Versandverpackung zusammenfügt, ist Erzeuger und Hersteller; Behördeninformation); Kommissions-FAQ 2. Ed. Kap. II FAQ 5 (Faltkarton ist mit Herstellung fertig – abweichend, vgl. A31)</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Aus Teilen zusammengefügte Versandverpackung (Faltkarton selbst aufgerichtet und verklebt, Zuschnitt, Füllmaterial): Die ZSVR ordnet den Zusammenfügenden als Erzeuger und Hersteller ein, die Kommission sieht den Kartonhersteller als Erzeuger. Bis zur Klärung wird die strengere ZSVR-Lesart mit Vorbehalt ausgespielt; der Nutzer sollte beide Wege dokumentieren (Lieferantenangaben nach Art. 16 einholen, eigene Konfektionierung festhalten).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D4  </w:t>
      </w:r>
      <w:r>
        <w:rPr>
          <w:rFonts w:ascii="Arial" w:cs="Arial" w:eastAsia="Arial" w:hAnsi="Arial"/>
          <w:sz w:val="20"/>
          <w:szCs w:val="20"/>
        </w:rPr>
        <w:t xml:space="preserve">Block „verpackung“ · DE</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verpackung.art IN (transport, ecommerce, service, primaerproduktion) UND verpackung.bezug = fertig_gekauft UND verpackung.lieferant_sitz IN (EU, drittland) UND sitz = DE</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hersteller (erste Bereitstellung in DE); bei drittland zusätzlich importeur</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15 lit. a und Nr. 17 VO (EU) 2025/40; §§ 6, 7 VerpackDG (BGBl. 2026 I Nr. 207); Leitfaden C(2026) 3702 Abschn. 3 und 4 (unverbindliche Auslegung); ZSVR: „Abgrenzung Erzeuger &amp; Hersteller“ (Inlandsvorrang)</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Wer leere Transportverpackung aus einem anderen Mitgliedstaat oder Drittland bezieht und erstmals in Deutschland bereitstellt, ist für diese Verpackung Hersteller (Registrierung, Systembeteiligung, Datenmeldung). Beim Bezug aus einem Drittland kommt die Importeursrolle hinzu (Prüfung, dass der Drittlandserzeuger Konformitätsbewertung und Erklärung vorgenommen hat, Art. 18). Der Erzeuger bleibt der ausländische Verpackungshersteller.</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D5  </w:t>
      </w:r>
      <w:r>
        <w:rPr>
          <w:rFonts w:ascii="Arial" w:cs="Arial" w:eastAsia="Arial" w:hAnsi="Arial"/>
          <w:sz w:val="20"/>
          <w:szCs w:val="20"/>
        </w:rPr>
        <w:t xml:space="preserve">Block „verpackung“ · EU/DE</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verpackung.bezug = lohnfertigung</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unklar (Rollen hängen vom Vertrag mit dem Dienstleister ab) – Verweis A01/A02</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lit. a und Nr. 15 lit. b VO (EU) 2025/40; Leitfaden C(2026) 3702 Abschn. 2 und 3 (unverbindliche Auslegung); Praxisfragen A01, A02 (Lohnabfüllung, Flag offen)</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Wird die Verpackung durch einen Dienstleister im Auftrag angebracht oder befüllt (Druckerei, Konfektionär, Lohnabfüller), entscheidet die Vertragsgestaltung über Erzeuger- und Herstellerrolle. Das System gibt keine Rolle vor, sondern zeigt die Fragen, die im Vertrag geklärt sein müssen, und verweist auf A01/A02. (!) Lohnfertigungs-Zuordnung ist Cattwyk-Pin (A02).</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C1  </w:t>
      </w:r>
      <w:r>
        <w:rPr>
          <w:rFonts w:ascii="Arial" w:cs="Arial" w:eastAsia="Arial" w:hAnsi="Arial"/>
          <w:sz w:val="20"/>
          <w:szCs w:val="20"/>
        </w:rPr>
        <w:t xml:space="preserve">Block „weitere“ · EU-weit</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taetigkeit ENTHÄLT importiert_drittland UND bringt_in_verkehr = ja UND eu_rechtspersoenlichkeit = ja</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importeur</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17; Art. 18 VO (EU) 2025/40; Leitfaden C(2026)3702, Abschn. 4 (Zweigniederlassung genügt nicht; harmonisierter Begriff)</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Importeur ist nur, wer mit eigener EU-Rechtspersönlichkeit Drittlandsverpackungen erstmals auf dem Unionsmarkt bereitstellt. Zweigniederlassung/USt-Registrierung reicht nicht: dann Tochtergesellschaft oder Bevollmächtigter erforderlich.</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Regel C4  </w:t>
      </w:r>
      <w:r>
        <w:rPr>
          <w:rFonts w:ascii="Arial" w:cs="Arial" w:eastAsia="Arial" w:hAnsi="Arial"/>
          <w:sz w:val="20"/>
          <w:szCs w:val="20"/>
        </w:rPr>
        <w:t xml:space="preserve">Block „weitere“ · EU-weit</w:t>
      </w:r>
    </w:p>
    <w:p>
      <w:pPr>
        <w:spacing w:after="40" w:before="40"/>
      </w:pPr>
      <w:r>
        <w:rPr>
          <w:rFonts w:ascii="Arial" w:cs="Arial" w:eastAsia="Arial" w:hAnsi="Arial"/>
          <w:b/>
          <w:bCs/>
          <w:sz w:val="19"/>
          <w:szCs w:val="19"/>
        </w:rPr>
        <w:t xml:space="preserve">Wenn: </w:t>
      </w:r>
      <w:r>
        <w:rPr>
          <w:rFonts w:ascii="Arial" w:cs="Arial" w:eastAsia="Arial" w:hAnsi="Arial"/>
          <w:sz w:val="19"/>
          <w:szCs w:val="19"/>
        </w:rPr>
        <w:t xml:space="preserve">taetigkeit ENTHÄLT lagert_und_versendet_fuer_dritte UND eigentum_an_ware = nein UND dienstleistungen &gt;= 2 aus (lagerhaltung, verpackung, adressierung, versand)</w:t>
      </w:r>
    </w:p>
    <w:p>
      <w:pPr>
        <w:spacing w:after="40" w:before="40"/>
      </w:pPr>
      <w:r>
        <w:rPr>
          <w:rFonts w:ascii="Arial" w:cs="Arial" w:eastAsia="Arial" w:hAnsi="Arial"/>
          <w:b/>
          <w:bCs/>
          <w:sz w:val="19"/>
          <w:szCs w:val="19"/>
        </w:rPr>
        <w:t xml:space="preserve">Dann: </w:t>
      </w:r>
      <w:r>
        <w:rPr>
          <w:rFonts w:ascii="Arial" w:cs="Arial" w:eastAsia="Arial" w:hAnsi="Arial"/>
          <w:sz w:val="19"/>
          <w:szCs w:val="19"/>
        </w:rPr>
        <w:t xml:space="preserve">fulfillment_dienstleister</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UAbs. 3 VO (EU) 2025/40 i. V. m. Art. 3 Nr. 11 VO (EU) 2019/1020; Art. 20 VO (EU) 2025/40; ErwG 133; Leitfaden C(2026)3702, Abschn. 3</w:t>
      </w:r>
    </w:p>
    <w:p>
      <w:pPr>
        <w:spacing w:after="40" w:before="40"/>
      </w:pPr>
      <w:r>
        <w:rPr>
          <w:rFonts w:ascii="Arial" w:cs="Arial" w:eastAsia="Arial" w:hAnsi="Arial"/>
          <w:b/>
          <w:bCs/>
          <w:sz w:val="19"/>
          <w:szCs w:val="19"/>
        </w:rPr>
        <w:t xml:space="preserve">Erläuterung: </w:t>
      </w:r>
      <w:r>
        <w:rPr>
          <w:rFonts w:ascii="Arial" w:cs="Arial" w:eastAsia="Arial" w:hAnsi="Arial"/>
          <w:sz w:val="19"/>
          <w:szCs w:val="19"/>
        </w:rPr>
        <w:t xml:space="preserve">Mindestens zwei der vier Dienstleistungen ohne Eigentum an der Ware; Post-/Paket-/Frachtdienste ausgenommen. Bei Umpacken von Drittlandsware zusätzlich Prüfung Regel B4.</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ist als unsicher markiert (!). Bitte Tatbestand, Rechtsfolge und Fundstellen bestätigen oder korrigieren.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Fulfillment-Dienstleister (fulfilment service provider)  </w:t>
      </w:r>
      <w:r>
        <w:rPr>
          <w:rFonts w:ascii="Arial" w:cs="Arial" w:eastAsia="Arial" w:hAnsi="Arial"/>
          <w:sz w:val="20"/>
          <w:szCs w:val="20"/>
        </w:rPr>
        <w:t xml:space="preserve">(fulfillment_dienstleister, kernrolle)</w:t>
      </w:r>
    </w:p>
    <w:p>
      <w:pPr>
        <w:spacing w:after="40" w:before="40"/>
      </w:pPr>
      <w:r>
        <w:rPr>
          <w:rFonts w:ascii="Arial" w:cs="Arial" w:eastAsia="Arial" w:hAnsi="Arial"/>
          <w:b/>
          <w:bCs/>
          <w:sz w:val="19"/>
          <w:szCs w:val="19"/>
        </w:rPr>
        <w:t xml:space="preserve">Definition: </w:t>
      </w:r>
      <w:r>
        <w:rPr>
          <w:rFonts w:ascii="Arial" w:cs="Arial" w:eastAsia="Arial" w:hAnsi="Arial"/>
          <w:sz w:val="19"/>
          <w:szCs w:val="19"/>
        </w:rPr>
        <w:t xml:space="preserve">Per Verweis definiert: natürliche oder juristische Person, die im Rahmen einer Geschäftstätigkeit mindestens zwei der folgenden Dienstleistungen anbietet: Lagerhaltung, Verpackung, Adressierung und Versand von Produkten, an denen sie kein Eigentumsrecht hat – ausgenommen Postdienste, Paketzustelldienste und sonstige Post-/Frachtdienste (Wortlaut gegen VO (EU) 2019/1020 pinnen).</w:t>
      </w:r>
    </w:p>
    <w:p>
      <w:pPr>
        <w:spacing w:after="40" w:before="40"/>
      </w:pPr>
      <w:r>
        <w:rPr>
          <w:rFonts w:ascii="Arial" w:cs="Arial" w:eastAsia="Arial" w:hAnsi="Arial"/>
          <w:b/>
          <w:bCs/>
          <w:sz w:val="19"/>
          <w:szCs w:val="19"/>
        </w:rPr>
        <w:t xml:space="preserve">Abgrenzung: </w:t>
      </w:r>
      <w:r>
        <w:rPr>
          <w:rFonts w:ascii="Arial" w:cs="Arial" w:eastAsia="Arial" w:hAnsi="Arial"/>
          <w:sz w:val="19"/>
          <w:szCs w:val="19"/>
        </w:rPr>
        <w:t xml:space="preserve">Kein Eigentum an der Ware; reine Transport-/Postdienstleister sind ausgenommen. Abgrenzung zum Vertreiber: der Fulfillment-Dienstleister stellt nicht selbst auf dem Markt bereit.</w:t>
      </w:r>
    </w:p>
    <w:p>
      <w:pPr>
        <w:spacing w:after="40" w:before="40"/>
      </w:pPr>
      <w:r>
        <w:rPr>
          <w:rFonts w:ascii="Arial" w:cs="Arial" w:eastAsia="Arial" w:hAnsi="Arial"/>
          <w:b/>
          <w:bCs/>
          <w:sz w:val="19"/>
          <w:szCs w:val="19"/>
        </w:rPr>
        <w:t xml:space="preserve">Fundstelle: </w:t>
      </w:r>
      <w:r>
        <w:rPr>
          <w:rFonts w:ascii="Arial" w:cs="Arial" w:eastAsia="Arial" w:hAnsi="Arial"/>
          <w:sz w:val="19"/>
          <w:szCs w:val="19"/>
        </w:rPr>
        <w:t xml:space="preserve">Art. 3 Abs. 1 UAbs. 3 VO (EU) 2025/40 i. V. m. Art. 3 Nr. 11 VO (EU) 2019/1020</w:t>
      </w:r>
    </w:p>
    <w:p>
      <w:pPr>
        <w:spacing w:after="40" w:before="40"/>
      </w:pPr>
      <w:r>
        <w:rPr>
          <w:rFonts w:ascii="Arial" w:cs="Arial" w:eastAsia="Arial" w:hAnsi="Arial"/>
          <w:b/>
          <w:bCs/>
          <w:sz w:val="19"/>
          <w:szCs w:val="19"/>
        </w:rPr>
        <w:t xml:space="preserve">VerpackDG-Bezug: </w:t>
      </w:r>
      <w:r>
        <w:rPr>
          <w:rFonts w:ascii="Arial" w:cs="Arial" w:eastAsia="Arial" w:hAnsi="Arial"/>
          <w:sz w:val="19"/>
          <w:szCs w:val="19"/>
        </w:rPr>
        <w:t xml:space="preserve">§ 13 Abs. 4 VerpackDG: Tätigkeitsverbot bei nicht registrierten Herstellern; verweist auf Art. 3 Nr. 11 VO (EU) 2019/1020 „in der Fassung vom 12. August 2026"; automatisierter Registerdatenabgleich der ZSVR. Bußgeldbewehrte Mitwirkungspflichten (§ 66 VerpackDG i. V. m. Art. 20).</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Definition ist als unsicher markiert (!). Bitte Wortlautnähe und Abgrenzung bestätigen.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Endabnehmer (end user)  </w:t>
      </w:r>
      <w:r>
        <w:rPr>
          <w:rFonts w:ascii="Arial" w:cs="Arial" w:eastAsia="Arial" w:hAnsi="Arial"/>
          <w:sz w:val="20"/>
          <w:szCs w:val="20"/>
        </w:rPr>
        <w:t xml:space="preserve">(hb_endabnehmer, hilfsbegriff)</w:t>
      </w:r>
    </w:p>
    <w:p>
      <w:pPr>
        <w:spacing w:after="40" w:before="40"/>
      </w:pPr>
      <w:r>
        <w:rPr>
          <w:rFonts w:ascii="Arial" w:cs="Arial" w:eastAsia="Arial" w:hAnsi="Arial"/>
          <w:b/>
          <w:bCs/>
          <w:sz w:val="19"/>
          <w:szCs w:val="19"/>
        </w:rPr>
        <w:t xml:space="preserve">Definition: </w:t>
      </w:r>
      <w:r>
        <w:rPr>
          <w:rFonts w:ascii="Arial" w:cs="Arial" w:eastAsia="Arial" w:hAnsi="Arial"/>
          <w:sz w:val="19"/>
          <w:szCs w:val="19"/>
        </w:rPr>
        <w:t xml:space="preserve">Natürliche oder juristische Person mit Wohnsitz/Niederlassung in der Union, der ein Produkt als Verbraucher oder beruflicher Endabnehmer bereitgestellt wird und die es in der gelieferten Form nicht erneut auf dem Markt bereitstellt.</w:t>
      </w:r>
    </w:p>
    <w:p>
      <w:pPr>
        <w:spacing w:after="40" w:before="40"/>
      </w:pPr>
      <w:r>
        <w:rPr>
          <w:rFonts w:ascii="Arial" w:cs="Arial" w:eastAsia="Arial" w:hAnsi="Arial"/>
          <w:b/>
          <w:bCs/>
          <w:sz w:val="19"/>
          <w:szCs w:val="19"/>
        </w:rPr>
        <w:t xml:space="preserve">Abgrenzung: </w:t>
      </w:r>
      <w:r>
        <w:rPr>
          <w:rFonts w:ascii="Arial" w:cs="Arial" w:eastAsia="Arial" w:hAnsi="Arial"/>
          <w:sz w:val="19"/>
          <w:szCs w:val="19"/>
        </w:rPr>
        <w:t xml:space="preserve">Beruflicher Endabnehmer: verwendet das Produkt selbst (z. B. Abfüller ist Endabnehmer der zugekauften LEEREN Folien/Paletten aus anderem Mitgliedstaat? NEIN – EUNR: der Befüller ist für Verpackungsmaterial gerade KEIN Endabnehmer; Klärung mit Cattwyk).</w:t>
      </w:r>
    </w:p>
    <w:p>
      <w:pPr>
        <w:spacing w:after="40" w:before="40"/>
      </w:pPr>
      <w:r>
        <w:rPr>
          <w:rFonts w:ascii="Arial" w:cs="Arial" w:eastAsia="Arial" w:hAnsi="Arial"/>
          <w:b/>
          <w:bCs/>
          <w:sz w:val="19"/>
          <w:szCs w:val="19"/>
        </w:rPr>
        <w:t xml:space="preserve">Fundstelle: </w:t>
      </w:r>
      <w:r>
        <w:rPr>
          <w:rFonts w:ascii="Arial" w:cs="Arial" w:eastAsia="Arial" w:hAnsi="Arial"/>
          <w:sz w:val="19"/>
          <w:szCs w:val="19"/>
        </w:rPr>
        <w:t xml:space="preserve">Art. 3 Abs. 1 Nr. 23 VO (EU) 2025/40</w:t>
      </w:r>
    </w:p>
    <w:p>
      <w:pPr>
        <w:spacing w:after="40" w:before="40"/>
      </w:pPr>
      <w:r>
        <w:rPr>
          <w:rFonts w:ascii="Arial" w:cs="Arial" w:eastAsia="Arial" w:hAnsi="Arial"/>
          <w:b/>
          <w:bCs/>
          <w:sz w:val="19"/>
          <w:szCs w:val="19"/>
        </w:rPr>
        <w:t xml:space="preserve">VerpackDG-Bezug: </w:t>
      </w:r>
      <w:r>
        <w:rPr>
          <w:rFonts w:ascii="Arial" w:cs="Arial" w:eastAsia="Arial" w:hAnsi="Arial"/>
          <w:sz w:val="19"/>
          <w:szCs w:val="19"/>
        </w:rPr>
        <w:t xml:space="preserve">—</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Definition ist als unsicher markiert (!). Bitte Wortlautnähe und Abgrenzung bestätigen.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pStyle w:val="Heading2"/>
        <w:keepNext/>
        <w:spacing w:after="120" w:before="280"/>
      </w:pPr>
      <w:r>
        <w:rPr>
          <w:rFonts w:ascii="Arial" w:cs="Arial" w:eastAsia="Arial" w:hAnsi="Arial"/>
          <w:b/>
          <w:bCs/>
          <w:color w:val="111111"/>
          <w:sz w:val="26"/>
          <w:szCs w:val="26"/>
        </w:rPr>
        <w:t xml:space="preserve">B.3 Vereinfachungs-Hinweise der Verpackungs-Ebene (8)</w:t>
      </w:r>
    </w:p>
    <w:p>
      <w:pPr>
        <w:spacing w:after="120" w:before="60"/>
      </w:pPr>
      <w:r>
        <w:rPr>
          <w:rFonts w:ascii="Arial" w:cs="Arial" w:eastAsia="Arial" w:hAnsi="Arial"/>
          <w:sz w:val="19"/>
          <w:szCs w:val="19"/>
        </w:rPr>
        <w:t xml:space="preserve">Neu seit 17.10.2026: Das System bestimmt Rollen und Pflichten je Verpackung (Regeln D1–D5 in B.2) und zeigt dem Nutzer dazu Hinweise, wie er Pflichten durch Beschaffung oder Verpackungswahl vereinfachen kann, etwa Umschlag statt selbst angewendeter Folie oder Bezug beim deutschen Lieferanten. Jeder Hinweis trägt den festen Satz, dass es sich um einen Hinweis zur Vereinfachung und nicht um eine Empfehlung im Einzelfall handelt. Bitte prüfen: Ist die Aussage so tragfähig, und ist die Abgrenzung zur Rechtsberatung gewahrt?</w:t>
      </w:r>
    </w:p>
    <w:p>
      <w:pPr>
        <w:keepNext/>
        <w:pBdr>
          <w:top w:val="single" w:color="24A27F" w:sz="6" w:space="4"/>
        </w:pBdr>
        <w:spacing w:after="40" w:before="240"/>
      </w:pPr>
      <w:r>
        <w:rPr>
          <w:rFonts w:ascii="Arial" w:cs="Arial" w:eastAsia="Arial" w:hAnsi="Arial"/>
          <w:b/>
          <w:bCs/>
          <w:color w:val="004494"/>
          <w:sz w:val="22"/>
          <w:szCs w:val="22"/>
        </w:rPr>
        <w:t xml:space="preserve">H01  </w:t>
      </w:r>
      <w:r>
        <w:rPr>
          <w:rFonts w:ascii="Arial" w:cs="Arial" w:eastAsia="Arial" w:hAnsi="Arial"/>
          <w:b/>
          <w:bCs/>
          <w:sz w:val="22"/>
          <w:szCs w:val="22"/>
        </w:rPr>
        <w:t xml:space="preserve">Umschlag oder Karton statt Folie prüfen</w:t>
      </w:r>
    </w:p>
    <w:p>
      <w:pPr>
        <w:spacing w:after="60" w:before="60"/>
      </w:pPr>
      <w:r>
        <w:rPr>
          <w:rFonts w:ascii="Arial" w:cs="Arial" w:eastAsia="Arial" w:hAnsi="Arial"/>
          <w:color w:val="6B7280"/>
          <w:sz w:val="17"/>
          <w:szCs w:val="17"/>
        </w:rPr>
        <w:t xml:space="preserve">Vereinfachungs-Hinweis · wird dem Nutzer angezeigt, wenn Bedingung „folie_selbst_angewendet“ greift · Verweise: A31, A23</w:t>
      </w:r>
    </w:p>
    <w:p>
      <w:pPr>
        <w:spacing w:after="40" w:before="40"/>
      </w:pPr>
      <w:r>
        <w:rPr>
          <w:rFonts w:ascii="Arial" w:cs="Arial" w:eastAsia="Arial" w:hAnsi="Arial"/>
          <w:b/>
          <w:bCs/>
          <w:sz w:val="19"/>
          <w:szCs w:val="19"/>
        </w:rPr>
        <w:t xml:space="preserve">Text (Entwurf): </w:t>
      </w:r>
      <w:r>
        <w:rPr>
          <w:rFonts w:ascii="Arial" w:cs="Arial" w:eastAsia="Arial" w:hAnsi="Arial"/>
          <w:sz w:val="19"/>
          <w:szCs w:val="19"/>
        </w:rPr>
        <w:t xml:space="preserve">Für Folie, die Sie selbst anwenden, tragen Sie nach der Lesart der ZSVR Erzeuger- und Herstellerpflichten: Konformitätserklärung, Erzeugerkennzeichnung, LUCID-Meldung. Bei einem fertig gekauften Umschlag oder Karton eines deutschen Lieferanten liegen beide Rollen beim Lieferanten; Sie prüfen nur dessen Registrierung. Ob ein Umschlag die Folie ersetzen kann, ist eine Frage von Produktschutz, Porto und Kosten. Das ist ein Hinweis zur Vereinfachung, keine Empfehlung für Ihren Einzelfall.</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und Nr. 15 lit. a PPWR (VO (EU) 2025/40); ZSVR: „Abgrenzung Erzeuger &amp; Hersteller“ (Behördeninformation, keine Rechtsnorm)</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Beruht auf der ZSVR-Lesart zu flexibler Verpackung (Regel D2); Kommissions-FAQ sieht den Folienhersteller als Erzeuger. Freigabe zusammen mit D2.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H02  </w:t>
      </w:r>
      <w:r>
        <w:rPr>
          <w:rFonts w:ascii="Arial" w:cs="Arial" w:eastAsia="Arial" w:hAnsi="Arial"/>
          <w:b/>
          <w:bCs/>
          <w:sz w:val="22"/>
          <w:szCs w:val="22"/>
        </w:rPr>
        <w:t xml:space="preserve">Bezug aus Deutschland verlagert die Herstellerpflichten</w:t>
      </w:r>
    </w:p>
    <w:p>
      <w:pPr>
        <w:spacing w:after="60" w:before="60"/>
      </w:pPr>
      <w:r>
        <w:rPr>
          <w:rFonts w:ascii="Arial" w:cs="Arial" w:eastAsia="Arial" w:hAnsi="Arial"/>
          <w:color w:val="6B7280"/>
          <w:sz w:val="17"/>
          <w:szCs w:val="17"/>
        </w:rPr>
        <w:t xml:space="preserve">Vereinfachungs-Hinweis · wird dem Nutzer angezeigt, wenn Bedingung „lieferant_ausland_formstabil“ greift · Verweise: A19, B14</w:t>
      </w:r>
    </w:p>
    <w:p>
      <w:pPr>
        <w:spacing w:after="40" w:before="40"/>
      </w:pPr>
      <w:r>
        <w:rPr>
          <w:rFonts w:ascii="Arial" w:cs="Arial" w:eastAsia="Arial" w:hAnsi="Arial"/>
          <w:b/>
          <w:bCs/>
          <w:sz w:val="19"/>
          <w:szCs w:val="19"/>
        </w:rPr>
        <w:t xml:space="preserve">Text (Entwurf): </w:t>
      </w:r>
      <w:r>
        <w:rPr>
          <w:rFonts w:ascii="Arial" w:cs="Arial" w:eastAsia="Arial" w:hAnsi="Arial"/>
          <w:sz w:val="19"/>
          <w:szCs w:val="19"/>
        </w:rPr>
        <w:t xml:space="preserve">Kaufen Sie leere Transportverpackung im EU-Ausland oder in einem Drittland, sind Sie der erste Bereitsteller in Deutschland und damit Hersteller: Registrierung, Systembeteiligung, Datenmeldung für diese Verpackung. Beziehen Sie dieselbe Verpackung von einem in Deutschland ansässigen Lieferanten, übernimmt dieser die Herstellerrolle, und Sie prüfen nur seine Registrierung. Beim Drittlandbezug kommt die Importeurspflicht hinzu. Ob der Wechsel wirtschaftlich sinnvoll ist, entscheiden Sie.</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15 lit. a und Nr. 17 PPWR (VO (EU) 2025/40); Art. 18 PPWR; §§ 6, 7 VerpackDG (BGBl. 2026 I Nr. 207)</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D4; Fundstellen am Volltext pinnen (lit. a vs. lit. b bei verpackter 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H03  </w:t>
      </w:r>
      <w:r>
        <w:rPr>
          <w:rFonts w:ascii="Arial" w:cs="Arial" w:eastAsia="Arial" w:hAnsi="Arial"/>
          <w:b/>
          <w:bCs/>
          <w:sz w:val="22"/>
          <w:szCs w:val="22"/>
        </w:rPr>
        <w:t xml:space="preserve">Fertig konfektionierte Verpackung kaufen</w:t>
      </w:r>
    </w:p>
    <w:p>
      <w:pPr>
        <w:spacing w:after="60" w:before="60"/>
      </w:pPr>
      <w:r>
        <w:rPr>
          <w:rFonts w:ascii="Arial" w:cs="Arial" w:eastAsia="Arial" w:hAnsi="Arial"/>
          <w:color w:val="6B7280"/>
          <w:sz w:val="17"/>
          <w:szCs w:val="17"/>
        </w:rPr>
        <w:t xml:space="preserve">Vereinfachungs-Hinweis · wird dem Nutzer angezeigt, wenn Bedingung „selbst_zusammengefuegt“ greift · Verweise: A31, A30</w:t>
      </w:r>
    </w:p>
    <w:p>
      <w:pPr>
        <w:spacing w:after="40" w:before="40"/>
      </w:pPr>
      <w:r>
        <w:rPr>
          <w:rFonts w:ascii="Arial" w:cs="Arial" w:eastAsia="Arial" w:hAnsi="Arial"/>
          <w:b/>
          <w:bCs/>
          <w:sz w:val="19"/>
          <w:szCs w:val="19"/>
        </w:rPr>
        <w:t xml:space="preserve">Text (Entwurf): </w:t>
      </w:r>
      <w:r>
        <w:rPr>
          <w:rFonts w:ascii="Arial" w:cs="Arial" w:eastAsia="Arial" w:hAnsi="Arial"/>
          <w:sz w:val="19"/>
          <w:szCs w:val="19"/>
        </w:rPr>
        <w:t xml:space="preserve">Wer Kartons selbst aufrichtet und verklebt oder Zuschnitte selbst konfektioniert, wird nach der Lesart der ZSVR Erzeuger und Hersteller der Versandverpackung. Bei fertig bezogener, unverändert verwendeter Verpackung eines deutschen Lieferanten liegen diese Rollen beim Lieferanten. Die Kommission sieht das weniger streng, die Frage ist offen. Wer die Unsicherheit vermeiden will, kauft fertig konfektioniert und lässt sich die Angaben nach Art. 16 PPWR vom Lieferanten geben.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PPWR (VO (EU) 2025/40); Art. 16 Abs. 1 PPWR; ZSVR: „Versand- und Onlinehandel“, Fall B.2 (Behördeninformation); Kommissions-FAQ 2. Ed. Kap. II FAQ 5 (unverbindliche Auslegung)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D3; Divergenz Kommission/ZSVR offen.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H04  </w:t>
      </w:r>
      <w:r>
        <w:rPr>
          <w:rFonts w:ascii="Arial" w:cs="Arial" w:eastAsia="Arial" w:hAnsi="Arial"/>
          <w:b/>
          <w:bCs/>
          <w:sz w:val="22"/>
          <w:szCs w:val="22"/>
        </w:rPr>
        <w:t xml:space="preserve">Als Kleinstunternehmen: Lieferant im selben Mitgliedstaat</w:t>
      </w:r>
    </w:p>
    <w:p>
      <w:pPr>
        <w:spacing w:after="60" w:before="60"/>
      </w:pPr>
      <w:r>
        <w:rPr>
          <w:rFonts w:ascii="Arial" w:cs="Arial" w:eastAsia="Arial" w:hAnsi="Arial"/>
          <w:color w:val="6B7280"/>
          <w:sz w:val="17"/>
          <w:szCs w:val="17"/>
        </w:rPr>
        <w:t xml:space="preserve">Vereinfachungs-Hinweis · wird dem Nutzer angezeigt, wenn Bedingung „kleinst_lieferant_eu“ greift · Verweise: A04, A05, A06</w:t>
      </w:r>
    </w:p>
    <w:p>
      <w:pPr>
        <w:spacing w:after="40" w:before="40"/>
      </w:pPr>
      <w:r>
        <w:rPr>
          <w:rFonts w:ascii="Arial" w:cs="Arial" w:eastAsia="Arial" w:hAnsi="Arial"/>
          <w:b/>
          <w:bCs/>
          <w:sz w:val="19"/>
          <w:szCs w:val="19"/>
        </w:rPr>
        <w:t xml:space="preserve">Text (Entwurf): </w:t>
      </w:r>
      <w:r>
        <w:rPr>
          <w:rFonts w:ascii="Arial" w:cs="Arial" w:eastAsia="Arial" w:hAnsi="Arial"/>
          <w:sz w:val="19"/>
          <w:szCs w:val="19"/>
        </w:rPr>
        <w:t xml:space="preserve">Lassen Sie als Kleinstunternehmen Verpackung unter eigener Marke herstellen, geht die Erzeugerrolle auf den Lieferanten über, wenn dieser im selben Mitgliedstaat sitzt (Art. 3 Abs. 1 Nr. 13 lit. b PPWR). Sitzt Ihr Lieferant im Ausland, bleiben Sie Erzeuger mit Konformitätsbewertung, Dokumentation und Erklärung. Ein Lieferant in Deutschland entlastet Sie von diesen Pflichten; die Kleinstunternehmens-Schwelle (unter 10 Beschäftigte, Umsatz oder Bilanzsumme bis 2 Mio. Euro) müssen Sie dafür einhalten.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lit. b PPWR (VO (EU) 2025/40); Empfehlung 2003/361/EG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Regel A3 (Flag offen: Verbund-/Franchise-Berechnung U8).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H05  </w:t>
      </w:r>
      <w:r>
        <w:rPr>
          <w:rFonts w:ascii="Arial" w:cs="Arial" w:eastAsia="Arial" w:hAnsi="Arial"/>
          <w:b/>
          <w:bCs/>
          <w:sz w:val="22"/>
          <w:szCs w:val="22"/>
        </w:rPr>
        <w:t xml:space="preserve">Kartongrößen jetzt schon auf die Leerraumquote ausrichten</w:t>
      </w:r>
    </w:p>
    <w:p>
      <w:pPr>
        <w:spacing w:after="60" w:before="60"/>
      </w:pPr>
      <w:r>
        <w:rPr>
          <w:rFonts w:ascii="Arial" w:cs="Arial" w:eastAsia="Arial" w:hAnsi="Arial"/>
          <w:color w:val="6B7280"/>
          <w:sz w:val="17"/>
          <w:szCs w:val="17"/>
        </w:rPr>
        <w:t xml:space="preserve">Vereinfachungs-Hinweis · wird dem Nutzer angezeigt, wenn Bedingung „transport_leerraum“ greift</w:t>
      </w:r>
    </w:p>
    <w:p>
      <w:pPr>
        <w:spacing w:after="40" w:before="40"/>
      </w:pPr>
      <w:r>
        <w:rPr>
          <w:rFonts w:ascii="Arial" w:cs="Arial" w:eastAsia="Arial" w:hAnsi="Arial"/>
          <w:b/>
          <w:bCs/>
          <w:sz w:val="19"/>
          <w:szCs w:val="19"/>
        </w:rPr>
        <w:t xml:space="preserve">Text (Entwurf): </w:t>
      </w:r>
      <w:r>
        <w:rPr>
          <w:rFonts w:ascii="Arial" w:cs="Arial" w:eastAsia="Arial" w:hAnsi="Arial"/>
          <w:sz w:val="19"/>
          <w:szCs w:val="19"/>
        </w:rPr>
        <w:t xml:space="preserve">Ab dem 01.01.2030 darf der Leerraum in Um-, Transport- und E-Commerce-Verpackungen 50 Prozent nicht überschreiten. Wer Verpackungsgrößen oder Füllmaterial jetzt neu festlegt, spart sich eine zweite Umstellung. Für Versandkartons heißt das: wenige passende Größen statt eines Universalkartons.</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24 Abs. 1 PPWR (VO (EU) 2025/40)</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Rechtsakt zur Berechnungsmethode steht aus (Anforderung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H06  </w:t>
      </w:r>
      <w:r>
        <w:rPr>
          <w:rFonts w:ascii="Arial" w:cs="Arial" w:eastAsia="Arial" w:hAnsi="Arial"/>
          <w:b/>
          <w:bCs/>
          <w:sz w:val="22"/>
          <w:szCs w:val="22"/>
        </w:rPr>
        <w:t xml:space="preserve">Registrierungsnummer des Lieferanten einholen</w:t>
      </w:r>
    </w:p>
    <w:p>
      <w:pPr>
        <w:spacing w:after="60" w:before="60"/>
      </w:pPr>
      <w:r>
        <w:rPr>
          <w:rFonts w:ascii="Arial" w:cs="Arial" w:eastAsia="Arial" w:hAnsi="Arial"/>
          <w:color w:val="6B7280"/>
          <w:sz w:val="17"/>
          <w:szCs w:val="17"/>
        </w:rPr>
        <w:t xml:space="preserve">Vereinfachungs-Hinweis · wird dem Nutzer angezeigt, wenn Bedingung „vertreiber_lieferant_pruefen“ greift · Verweise: B14</w:t>
      </w:r>
    </w:p>
    <w:p>
      <w:pPr>
        <w:spacing w:after="40" w:before="40"/>
      </w:pPr>
      <w:r>
        <w:rPr>
          <w:rFonts w:ascii="Arial" w:cs="Arial" w:eastAsia="Arial" w:hAnsi="Arial"/>
          <w:b/>
          <w:bCs/>
          <w:sz w:val="19"/>
          <w:szCs w:val="19"/>
        </w:rPr>
        <w:t xml:space="preserve">Text (Entwurf): </w:t>
      </w:r>
      <w:r>
        <w:rPr>
          <w:rFonts w:ascii="Arial" w:cs="Arial" w:eastAsia="Arial" w:hAnsi="Arial"/>
          <w:sz w:val="19"/>
          <w:szCs w:val="19"/>
        </w:rPr>
        <w:t xml:space="preserve">Für Verpackung, bei der Ihr Lieferant Hersteller ist, müssen Sie als Vertreiber prüfen, dass er im Verpackungsregister LUCID registriert ist, bevor Sie die Verpackung weitergeben. Lassen Sie sich die LUCID-Registrierungsnummer schriftlich bestätigen und legen Sie sie zur Verpackung ab. Das ersetzt für diese Verpackung Ihre eigene Lizenzierung nicht automatisch, belegt aber, dass die Pflicht beim Lieferanten liegt.</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19 PPWR (VO (EU) 2025/40); Art. 44 PPWR; § 13 Abs. 3 VerpackDG (BGBl. 2026 I Nr. 207); § 6 Abs. 4 VerpackDG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Fundstellen aus B14 übernommen, am Volltext pinnen.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H07  </w:t>
      </w:r>
      <w:r>
        <w:rPr>
          <w:rFonts w:ascii="Arial" w:cs="Arial" w:eastAsia="Arial" w:hAnsi="Arial"/>
          <w:b/>
          <w:bCs/>
          <w:sz w:val="22"/>
          <w:szCs w:val="22"/>
        </w:rPr>
        <w:t xml:space="preserve">Eine Konformitätserklärung je Verpackungseinheit</w:t>
      </w:r>
    </w:p>
    <w:p>
      <w:pPr>
        <w:spacing w:after="60" w:before="60"/>
      </w:pPr>
      <w:r>
        <w:rPr>
          <w:rFonts w:ascii="Arial" w:cs="Arial" w:eastAsia="Arial" w:hAnsi="Arial"/>
          <w:color w:val="6B7280"/>
          <w:sz w:val="17"/>
          <w:szCs w:val="17"/>
        </w:rPr>
        <w:t xml:space="preserve">Vereinfachungs-Hinweis · wird dem Nutzer angezeigt, wenn Bedingung „erzeuger_mehrere_bestandteile“ greift · Verweise: C16, C03</w:t>
      </w:r>
    </w:p>
    <w:p>
      <w:pPr>
        <w:spacing w:after="40" w:before="40"/>
      </w:pPr>
      <w:r>
        <w:rPr>
          <w:rFonts w:ascii="Arial" w:cs="Arial" w:eastAsia="Arial" w:hAnsi="Arial"/>
          <w:b/>
          <w:bCs/>
          <w:sz w:val="19"/>
          <w:szCs w:val="19"/>
        </w:rPr>
        <w:t xml:space="preserve">Text (Entwurf): </w:t>
      </w:r>
      <w:r>
        <w:rPr>
          <w:rFonts w:ascii="Arial" w:cs="Arial" w:eastAsia="Arial" w:hAnsi="Arial"/>
          <w:sz w:val="19"/>
          <w:szCs w:val="19"/>
        </w:rPr>
        <w:t xml:space="preserve">Besteht Ihre Verpackung aus mehreren Bestandteilen (Karton, Einlage, Folie), die zusammen in Verkehr gebracht werden, kann eine Konformitätsbewertung und eine Erklärung die gesamte Einheit abdecken. Sie brauchen also nicht je Bestandteil ein Dokument, wohl aber je Bestandteil die Nachweise des Lieferanten. Legen Sie Verpackungen, die immer zusammen versendet werden, als eine Einheit an.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38 und 39 PPWR (VO (EU) 2025/40); Kommissions-FAQ 2. Ed. Kap. XV FAQ 5 (unverbindliche Auslegung)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Begriff „Verpackungseinheit“ nicht normiert; vgl. C16.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H08  </w:t>
      </w:r>
      <w:r>
        <w:rPr>
          <w:rFonts w:ascii="Arial" w:cs="Arial" w:eastAsia="Arial" w:hAnsi="Arial"/>
          <w:b/>
          <w:bCs/>
          <w:sz w:val="22"/>
          <w:szCs w:val="22"/>
        </w:rPr>
        <w:t xml:space="preserve">Lagerbestände nicht umetikettieren</w:t>
      </w:r>
    </w:p>
    <w:p>
      <w:pPr>
        <w:spacing w:after="60" w:before="60"/>
      </w:pPr>
      <w:r>
        <w:rPr>
          <w:rFonts w:ascii="Arial" w:cs="Arial" w:eastAsia="Arial" w:hAnsi="Arial"/>
          <w:color w:val="6B7280"/>
          <w:sz w:val="17"/>
          <w:szCs w:val="17"/>
        </w:rPr>
        <w:t xml:space="preserve">Vereinfachungs-Hinweis · wird dem Nutzer angezeigt, wenn Bedingung „erzeuger_lagerware“ greift · Verweise: C15, C01</w:t>
      </w:r>
    </w:p>
    <w:p>
      <w:pPr>
        <w:spacing w:after="40" w:before="40"/>
      </w:pPr>
      <w:r>
        <w:rPr>
          <w:rFonts w:ascii="Arial" w:cs="Arial" w:eastAsia="Arial" w:hAnsi="Arial"/>
          <w:b/>
          <w:bCs/>
          <w:sz w:val="19"/>
          <w:szCs w:val="19"/>
        </w:rPr>
        <w:t xml:space="preserve">Text (Entwurf): </w:t>
      </w:r>
      <w:r>
        <w:rPr>
          <w:rFonts w:ascii="Arial" w:cs="Arial" w:eastAsia="Arial" w:hAnsi="Arial"/>
          <w:sz w:val="19"/>
          <w:szCs w:val="19"/>
        </w:rPr>
        <w:t xml:space="preserve">Für Verpackung, die vor dem 12.08.2026 produziert, aber noch nicht in Verkehr gebracht wurde, erwartet die Kommission keine Umetikettierung: Die Erzeugerangaben nach Art. 15 Abs. 5 und 6 dürfen über Begleitdokumente mitgegeben werden, eine Chargennummer genügt. Dokumentieren Sie je Charge Name, Marke, Anschrift und Kontaktweg in den Lieferpapieren, statt Bestände neu zu bedrucken.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15 Abs. 5 und 6 PPWR (VO (EU) 2025/40); Kommissions-FAQ 2. Ed. Kap. X FAQ 5 (unverbindliche Auslegung)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Spannung zu #10/C01 (kein Abverkaufsprivileg für stoffliche Anforderungen); vgl. C15.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pStyle w:val="Heading2"/>
        <w:keepNext/>
        <w:spacing w:after="120" w:before="280"/>
      </w:pPr>
      <w:r>
        <w:rPr>
          <w:rFonts w:ascii="Arial" w:cs="Arial" w:eastAsia="Arial" w:hAnsi="Arial"/>
          <w:b/>
          <w:bCs/>
          <w:color w:val="111111"/>
          <w:sz w:val="26"/>
          <w:szCs w:val="26"/>
        </w:rPr>
        <w:t xml:space="preserve">B.4 Praxisfragen mit offenem Punkt aus früheren Paketen (21)</w:t>
      </w:r>
    </w:p>
    <w:p>
      <w:pPr>
        <w:keepNext/>
        <w:pBdr>
          <w:top w:val="single" w:color="24A27F" w:sz="6" w:space="4"/>
        </w:pBdr>
        <w:spacing w:after="40" w:before="240"/>
      </w:pPr>
      <w:r>
        <w:rPr>
          <w:rFonts w:ascii="Arial" w:cs="Arial" w:eastAsia="Arial" w:hAnsi="Arial"/>
          <w:b/>
          <w:bCs/>
          <w:color w:val="004494"/>
          <w:sz w:val="22"/>
          <w:szCs w:val="22"/>
        </w:rPr>
        <w:t xml:space="preserve">A02  </w:t>
      </w:r>
      <w:r>
        <w:rPr>
          <w:rFonts w:ascii="Arial" w:cs="Arial" w:eastAsia="Arial" w:hAnsi="Arial"/>
          <w:b/>
          <w:bCs/>
          <w:sz w:val="22"/>
          <w:szCs w:val="22"/>
        </w:rPr>
        <w:t xml:space="preserve">Lohnabfüllung: Wer registriert und lizenziert?</w:t>
      </w:r>
    </w:p>
    <w:p>
      <w:pPr>
        <w:spacing w:after="60" w:before="60"/>
      </w:pPr>
      <w:r>
        <w:rPr>
          <w:rFonts w:ascii="Arial" w:cs="Arial" w:eastAsia="Arial" w:hAnsi="Arial"/>
          <w:color w:val="6B7280"/>
          <w:sz w:val="17"/>
          <w:szCs w:val="17"/>
        </w:rPr>
        <w:t xml:space="preserve">Block A – Rollen-Grenzfälle · Rollen / EPR · unverbindliche Auslegung · Bezug: #08, #31, #32</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Und wer von uns beiden muss dann bei LUCID registriert sein und lizenzieren – wir als Markeninhaber oder unser Lohnabfüller?</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EPR-Rolle „Hersteller“ trägt, wer das verpackte Produkt erstmals im Bundesgebiet bereitstellt (Art. 3 Abs. 1 Nr. 15 lit. b PPWR). „Bereitstellung“ ist jede entgeltliche oder unentgeltliche Abgabe zum Vertrieb, Verbrauch oder zur Verwendung (Nr. 11). Bei klassischer Lohnfertigung bleibt die Ware im Eigentum des Auftraggebers; die erste Abgabe in die Lieferkette erfolgt dann durch den Auftraggeber – nach dieser Lesart sind SIE der Hersteller und müssen registrieren (§ 6 VerpackDG) und sich an einem System beteiligen (§ 7). Verkauft der Abfüller die befüllte Ware dagegen an Sie, stellt ER erstmals bereit (vgl. A03). Folge: Vertragskonstellation prüfen (Eigentumsübergang, wer gibt an wen ab); Rollen-Check je Produktlinie. Quellen: Art. 3 Abs. 1 Nr. 11 u. 15 lit. b PPWR; §§ 6, 7 VerpackDG; Leitfaden Abschn. 3 (unverbindlich: „Hersteller ist regelmäßig der Abfüller, der erstmals bereitstellt“). Grenze: Die Zuordnung bei Lohnfertigung ohne Eigentumsübergang ist im Leitfaden nicht ausdrücklich behandelt – Auslegung, in der Cattwyk-Session zu bestätigen (!).</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11 PPWR; Art. 3 Abs. 1 Nr. 15 lit. b PPWR; §§ 6, 7 VerpackDG; Leitfaden C(2026) 3702 Abschn. 3</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Lohnfertigungs-Zuordnung in Session bestätigen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A05  </w:t>
      </w:r>
      <w:r>
        <w:rPr>
          <w:rFonts w:ascii="Arial" w:cs="Arial" w:eastAsia="Arial" w:hAnsi="Arial"/>
          <w:b/>
          <w:bCs/>
          <w:sz w:val="22"/>
          <w:szCs w:val="22"/>
        </w:rPr>
        <w:t xml:space="preserve">Franchise: Zählen wir als Kleinstunternehmen?</w:t>
      </w:r>
    </w:p>
    <w:p>
      <w:pPr>
        <w:spacing w:after="60" w:before="60"/>
      </w:pPr>
      <w:r>
        <w:rPr>
          <w:rFonts w:ascii="Arial" w:cs="Arial" w:eastAsia="Arial" w:hAnsi="Arial"/>
          <w:color w:val="6B7280"/>
          <w:sz w:val="17"/>
          <w:szCs w:val="17"/>
        </w:rPr>
        <w:t xml:space="preserve">Block A – Rollen-Grenzfälle · Rollen / EPR · unverbindliche Auslegung · Bezug: #08</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sind ein Franchise-Betrieb mit 4 Mitarbeitern – zählen wir als Kleinstunternehmen, oder zählt da der ganze Franchise-Verbund?</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Für die Kleinstunternehmen-Prüfung (Art. 3 Abs. 1 Nr. 13 lit. b, Art. 21 UAbs. 2 PPWR) sind verbundene und Partnerunternehmen nach Art. 3 des Anhangs der Empfehlung 2003/361/EG einzubeziehen. Der Leitfaden konkretisiert für Franchise: Ein Franchisenehmer kann Kleinstunternehmen sein, wenn der Franchisegeber nicht direkt oder indirekt 25 % oder mehr des Kapitals oder der Stimmrechte hält und keine Kontrolle oder keinen beherrschenden Einfluss ausübt; andernfalls sind die Daten des Franchisegebers hinzuzurechnen. Folge: Prüfen Sie den Franchisevertrag auf Beteiligungs- und Kontrollrechte; erst danach steht fest, ob die Erzeuger-Entlastung greift. Quellen: Art. 3 Abs. 1 Nr. 13 lit. b PPWR; Empfehlung 2003/361/EG, Anhang Art. 3; Leitfaden C(2026) 3702 Abschn. 2 (unverbindliche Auslegung der EU-Kommission). Grenze: Die Franchise-Aussage stammt allein aus dem Leitfaden und ist rechtlich nicht bindend; bei Kontroll-Zweifelsfällen Einzelfallberatung (Eskalation, vgl. U8 Rollen-Engine).</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lit. b PPWR; Empfehlung 2003/361/EG Anhang Art. 3; Leitfaden C(2026) 3702 Abschn. 2</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U8: Verbund-/Franchise-Eskalationsschwelle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A09  </w:t>
      </w:r>
      <w:r>
        <w:rPr>
          <w:rFonts w:ascii="Arial" w:cs="Arial" w:eastAsia="Arial" w:hAnsi="Arial"/>
          <w:b/>
          <w:bCs/>
          <w:sz w:val="22"/>
          <w:szCs w:val="22"/>
        </w:rPr>
        <w:t xml:space="preserve">Fulfillment für Drittland-Kunden: Unsere Rolle?</w:t>
      </w:r>
    </w:p>
    <w:p>
      <w:pPr>
        <w:spacing w:after="60" w:before="60"/>
      </w:pPr>
      <w:r>
        <w:rPr>
          <w:rFonts w:ascii="Arial" w:cs="Arial" w:eastAsia="Arial" w:hAnsi="Arial"/>
          <w:color w:val="6B7280"/>
          <w:sz w:val="17"/>
          <w:szCs w:val="17"/>
        </w:rPr>
        <w:t xml:space="preserve">Block A – Rollen-Grenzfälle · Rollen / EPR · unverbindliche Auslegung · Bezug: #39, #08, #31</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sind Fulfillment-Dienstleister und packen für einen US-Kunden Container-Ware in kleinere Sendungen um. Die Ware gehört uns nie – kann uns das Verpackungsrecht trotzdem treffen?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Ja, doppelt. Erstens gelten für Sie als Fulfilment-Dienstleister (Definition über Art. 3 Abs. 1 UAbs. 3 PPWR i. V. m. Art. 3 Nr. 11 VO (EU) 2019/1020: mindestens zwei Leistungen aus Lagerhaltung, Verpackung, Adressierung, Versand ohne Eigentum) die Pflichten des Art. 20 PPWR sowie § 13 Abs. 4 VerpackDG: Sie dürfen für nicht ordnungsgemäß registrierte Hersteller nicht tätig werden; die ZSVR stellt dafür einen automatisierten Datenabgleich bereit. Zweitens werden Sie beim Umpacken importierter Drittlandsware nach der Kommissions-Auslegung selbst Hersteller der Transportverpackung nach Art. 3 Abs. 1 Nr. 15 lit. e – ausdrücklich AUCH ohne Eigentum an der Ware; Logistiker, die importierte Ware auspacken oder umpacken, sind keine Endabnehmer (Leitfaden Abschn. 3, letzter Absatz). Folge: eigene Registrierung vor dem Auspacken (§ 6 Abs. 1), Systembeteiligung soweit systembeteiligungspflichtig, plus Kunden-Screening gegen LUCID. Quellen: Art. 3 Abs. 1 UAbs. 3, Art. 3 Abs. 1 Nr. 15 lit. e, Art. 20, Art. 45 Abs. 7 PPWR; § 13 Abs. 4, § 6 Abs. 1 VerpackDG; Leitfaden Abschn.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15 lit. e PPWR; Art. 20 PPWR; § 13 Abs. 4 VerpackDG; Leitfaden C(2026) 3702 Abschn. 3</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U5: Wortlaut VO 2019/1020 pinnen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A15  </w:t>
      </w:r>
      <w:r>
        <w:rPr>
          <w:rFonts w:ascii="Arial" w:cs="Arial" w:eastAsia="Arial" w:hAnsi="Arial"/>
          <w:b/>
          <w:bCs/>
          <w:sz w:val="22"/>
          <w:szCs w:val="22"/>
        </w:rPr>
        <w:t xml:space="preserve">Bedruckte Serviceverpackungen: Wessen Pflicht?</w:t>
      </w:r>
    </w:p>
    <w:p>
      <w:pPr>
        <w:spacing w:after="60" w:before="60"/>
      </w:pPr>
      <w:r>
        <w:rPr>
          <w:rFonts w:ascii="Arial" w:cs="Arial" w:eastAsia="Arial" w:hAnsi="Arial"/>
          <w:color w:val="6B7280"/>
          <w:sz w:val="17"/>
          <w:szCs w:val="17"/>
        </w:rPr>
        <w:t xml:space="preserve">Block A – Rollen-Grenzfälle · Rollen / EPR · unverbindliche Auslegung · Bezug: #32, #08</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Unsere Imbisskette lässt Serviceverpackungen mit eigenem Logo bedrucken. Ein Kollege sagt, es gebe im neuen Gesetz noch eine Übertragungsmöglichkeit auf den Lieferanten – stimmt das?</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Ja, aber eng zugeschnitten. § 7 Abs. 2 VerpackDG erlaubt die Übertragung der Systembeteiligungspflicht auf die Vorvertreiber der unbefüllten Serviceverpackungen – allerdings nur für den Hersteller, „der nach Artikel 21 der Verordnung (EU) 2025/40 als Erzeuger gilt“. Art. 21 erfasst Importeure/Vertreiber, die Verpackungen unter EIGENER Marke in Verkehr bringen oder konformitätsrelevant verändern. Mit Ihrem Logo-Druck können Sie in diese Konstellation fallen. Folge: Sie können vom Vorvertreiber verlangen, dass er sich hinsichtlich der gelieferten unbefüllten Serviceverpackungen am System beteiligt und Ihnen dies bestätigt; mit der Übertragung gehen die Pflichten aus §§ 6, 9, 10 insoweit über – Ihre EIGENE Registrierungspflicht bleibt aber bestehen, und bei vollständiger Übertragung geben Sie die Erklärung nach § 6 Abs. 2 Satz 3 ab („ausschließlich bereits systembeteiligte Serviceverpackungen“). Quellen: § 7 Abs. 2, § 6 Abs. 2 Satz 3 VerpackDG; Art. 21 PPWR. Grenze: Welcher Anwendungsbereich für die Übertragung im Vergleich zu § 7 Abs. 2 VerpackG a. F.</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7 Abs. 2 VerpackDG; § 6 Abs. 2 Satz 3 VerpackDG; Art. 21 PPWR</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U2: Anwendungsbereich § 7 Abs. 2 in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A17  </w:t>
      </w:r>
      <w:r>
        <w:rPr>
          <w:rFonts w:ascii="Arial" w:cs="Arial" w:eastAsia="Arial" w:hAnsi="Arial"/>
          <w:b/>
          <w:bCs/>
          <w:sz w:val="22"/>
          <w:szCs w:val="22"/>
        </w:rPr>
        <w:t xml:space="preserve">Nachträglicher Weiterexport: Lizenz zurückholen?</w:t>
      </w:r>
    </w:p>
    <w:p>
      <w:pPr>
        <w:spacing w:after="60" w:before="60"/>
      </w:pPr>
      <w:r>
        <w:rPr>
          <w:rFonts w:ascii="Arial" w:cs="Arial" w:eastAsia="Arial" w:hAnsi="Arial"/>
          <w:color w:val="6B7280"/>
          <w:sz w:val="17"/>
          <w:szCs w:val="17"/>
        </w:rPr>
        <w:t xml:space="preserve">Block A – Rollen-Grenzfälle · Rollen / EPR · unverbindliche Auslegung · Bezug: #32, #08</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haben Ware in Deutschland lizenziert, unser Kunde hat sie dann doch komplett nach Österreich weiterverkauft. Bekommen wir die Beteiligungsentgelte zurück?</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PPWR-Systematik sieht das vor: Wird nach Gebührenzahlung in einem Mitgliedstaat die Verpackung durch einen Vertreiber erstmals im Hoheitsgebiet eines ANDEREN Mitgliedstaats bereitgestellt, sind die Entgelte zu erstatten („the fees must be reimbursed“, Leitfaden Abschn. 3 zu Art. 45 Abs. 1). Das VerpackDG regelt einen ausdrücklichen Erstattungsanspruch bislang nur für den Fall beschädigter/unverkäuflicher, nicht an Endabnehmer abgegebener Ware (§ 7 Abs. 3). Folge: Praktisch führt der Weg über das jeweilige System (vertragliche Export-Mengenkorrektur/Gutschrift) und über saubere Export-Nachweise; künftig vermeiden Sie die Doppelbelastung ex ante über § 11 Nr. 4 VerpackDG (nachweislich nicht im Bundesgebiet an Endabnehmer). Quellen: Art. 45 Abs. 1 PPWR; Leitfaden C(2026) 3702 Abschn. 3 (unverbindliche Auslegung der EU-Kommission); § 7 Abs. 3, § 11 Nr. 4 VerpackDG. Grenze: Anspruchsgrundlage, Verfahren und Nachweisanforderungen der Erstattung im deutschen Recht sind nicht ausdrücklich geregelt – konkrete Durchsetzung ist Einzelfall (Eskalation E02).</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45 Abs. 1 PPWR; Leitfaden C(2026) 3702 Abschn. 3; § 7 Abs. 3 VerpackDG; § 11 Nr. 4 VerpackDG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Erstattungsverfahren ungeregelt → Eskalation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A23  </w:t>
      </w:r>
      <w:r>
        <w:rPr>
          <w:rFonts w:ascii="Arial" w:cs="Arial" w:eastAsia="Arial" w:hAnsi="Arial"/>
          <w:b/>
          <w:bCs/>
          <w:sz w:val="22"/>
          <w:szCs w:val="22"/>
        </w:rPr>
        <w:t xml:space="preserve">Stretchfolie &amp; Paletten aus NL: Unsere Pflichten?</w:t>
      </w:r>
    </w:p>
    <w:p>
      <w:pPr>
        <w:spacing w:after="60" w:before="60"/>
      </w:pPr>
      <w:r>
        <w:rPr>
          <w:rFonts w:ascii="Arial" w:cs="Arial" w:eastAsia="Arial" w:hAnsi="Arial"/>
          <w:color w:val="6B7280"/>
          <w:sz w:val="17"/>
          <w:szCs w:val="17"/>
        </w:rPr>
        <w:t xml:space="preserve">Block A – Rollen-Grenzfälle · Rollen / EPR · unverbindliche Auslegung · Bezug: #08, #27</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kaufen Stretchfolie und Paletten bei einem Händler in den Niederlanden und wickeln damit unsere Ware. Ist der Niederländer dann bei uns der „Hersteller“, weil er direkt an uns als Endkunden liefert?</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Nach der Verbandsauslegung nein. Der Fernabsatz-Tatbestand des Art. 3 Abs. 1 Nr. 15 lit. c PPWR setzt eine Lieferung „direkt an Endabnehmer“ voraus. Endabnehmer ist, wem ein Produkt bereitgestellt wird und wer es nicht in der gelieferten Form weiter bereitstellt (Nr. 23). Das EUNR-Papier stellt für lit. c auf den Endabnehmer des PRODUKTS ab: Ein Befüller, der Paletten oder Stretchfolie aus dem EU-Ausland bezieht, um seine Ware zu verpacken, ist für dieses Verpackungsmaterial KEIN Endabnehmer – die Verpackung geht mit der Ware weiter. Folge (nach dieser Lesart): Der niederländische Händler wird nicht über lit. c deutscher Hersteller; als erstes Glied der deutschen Lieferkette rückt vielmehr der inländische Verwender in die Herstellerrolle für diese Transportverpackung. Quellen: Art. 3 Abs. 1 Nr. 15 lit. c u. Nr. 23 PPWR; EUNR-Papier „Producer Definition“ (Juni 2026) – ausdrücklich Sekundärquelle/Verbandsauslegung; Leitfaden Abschn. 3 stützt die Produkt-Endabnehmer-Lesart nur implizit.</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15 lit. c PPWR; Art. 3 Abs. 1 Nr. 23 PPWR; EUNR-Papier Producer Definition (Sekundärquelle); Leitfaden C(2026) 3702 Abschn. 3</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U4: Session-Pflicht, bis dahin nicht_ausspielen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A26  </w:t>
      </w:r>
      <w:r>
        <w:rPr>
          <w:rFonts w:ascii="Arial" w:cs="Arial" w:eastAsia="Arial" w:hAnsi="Arial"/>
          <w:b/>
          <w:bCs/>
          <w:sz w:val="22"/>
          <w:szCs w:val="22"/>
        </w:rPr>
        <w:t xml:space="preserve">Auslands-Direktvertrieb: Bevollmächtigter ab 12.08.2026 Pflicht?</w:t>
      </w:r>
    </w:p>
    <w:p>
      <w:pPr>
        <w:spacing w:after="60" w:before="60"/>
      </w:pPr>
      <w:r>
        <w:rPr>
          <w:rFonts w:ascii="Arial" w:cs="Arial" w:eastAsia="Arial" w:hAnsi="Arial"/>
          <w:color w:val="6B7280"/>
          <w:sz w:val="17"/>
          <w:szCs w:val="17"/>
        </w:rPr>
        <w:t xml:space="preserve">Block A – Rollen-Grenzfälle · Rollen / EPR · rechtsverbindlich · Bezug: #09, #31, #08</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Wir sitzen in Österreich und verkaufen online direkt an Endkunden in Deutschland. Stimmt es, dass wir ab August zwingend einen Bevollmächtigten brauchen?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Ja. Wer ohne Niederlassung in Deutschland leere Verpackungen oder verpackte Produkte direkt an Endabnehmer im Bundesgebiet vertreibt, ist Hersteller nach Art. 3 Abs. 1 Nr. 15 lit. c bzw. d PPWR und muss einen Bevollmächtigten für die erweiterte Herstellerverantwortung benennen: für EU-ansässige Hersteller folgt das aus Art. 45 Abs. 3 Satz 1 PPWR, für Drittstaaten-Hersteller hat Deutschland die Option des Art. 45 Abs. 3 Satz 2 PPWR in § 5 Abs. 2 Satz 2 VerpackDG verbindlich ausgeübt. Konkrete Folge: Die Beauftragung muss vor dem erstmaligen Bereitstellen im Bundesgebiet erfolgen (§ 5 Abs. 2 VerpackDG); die bislang freiwillige Bevollmächtigung wird damit zum 12.08.2026 zur Pflicht. Eine Befreiung ist nicht vorgesehen. Grenze: Die Registrierung im Verpackungsregister LUCID bleibt ausgenommen – sie ist höchstpersönliche Pflicht des Herstellers (§ 5 Abs. 2 i. V. m. § 6 VerpackDG).</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15 lit. c und d PPWR (VO (EU) 2025/40); Art. 45 Abs. 3 PPWR; § 5 Abs. 2 VerpackDG (BGBl. 2026 I Nr. 207); § 6 VerpackDG; ZSVR: „PPWR und VerpackDG – was sich für Sie ändert" und „Bevollmächtigung" (verpackungsregister.org,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Freigabe der Aussage und der Fundstellen.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A27  </w:t>
      </w:r>
      <w:r>
        <w:rPr>
          <w:rFonts w:ascii="Arial" w:cs="Arial" w:eastAsia="Arial" w:hAnsi="Arial"/>
          <w:b/>
          <w:bCs/>
          <w:sz w:val="22"/>
          <w:szCs w:val="22"/>
        </w:rPr>
        <w:t xml:space="preserve">Bevollmächtigter: Was übernimmt er, was bleibt beim Hersteller?</w:t>
      </w:r>
    </w:p>
    <w:p>
      <w:pPr>
        <w:spacing w:after="60" w:before="60"/>
      </w:pPr>
      <w:r>
        <w:rPr>
          <w:rFonts w:ascii="Arial" w:cs="Arial" w:eastAsia="Arial" w:hAnsi="Arial"/>
          <w:color w:val="6B7280"/>
          <w:sz w:val="17"/>
          <w:szCs w:val="17"/>
        </w:rPr>
        <w:t xml:space="preserve">Block A – Rollen-Grenzfälle · Rollen / EPR · rechtsverbindlich · Bezug: #09, #31, #32, #34</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Welche Pflichten übernimmt der Bevollmächtigte konkret für uns – und was müssen wir trotzdem selbst erledigen?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Der Bevollmächtigte für die erweiterte Herstellerverantwortung tritt in die EPR-Pflichten nach Kapitel VIII PPWR und nach dem VerpackDG ein; er gilt insoweit als Hersteller und handelt im eigenen Namen (§ 5 Abs. 2 und 3 VerpackDG). Konkrete Folge: Er übernimmt nach der Behördeninformation der ZSVR insbesondere den Abschluss des Systembeteiligungsvertrags, die Datenmeldungen zu Verpackungsmengen in LUCID, die Abgabe von Vollständigkeitserklärungen, die Erfüllung der Rücknahmepflichten nach § 39 VerpackDG sowie die Beteiligung an einem bundesweiten Pfandsystem für pfandpflichtige Einweggetränkeverpackungen. Beim Hersteller selbst verbleibt allein die Registrierung in LUCID einschließlich der Pflege der Registrierungsdaten – sie ist von der Bevollmächtigung ausgenommen (§ 5 Abs. 2 VerpackDG). Grenze: Davon zu unterscheiden ist die einfache Beauftragung Dritter nach § 5 Abs. 1 VerpackDG – dort sind sowohl die Registrierung nach § 6 als auch die Datenmeldungen nach § 9 ausdrücklich ausgeschlossen (§ 5 Abs. 1 Satz 2 VerpackDG).</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5 Abs. 1 bis 3 VerpackDG (BGBl. 2026 I Nr. 207); § 39 VerpackDG; Kapitel VIII PPWR (VO (EU) 2025/40), insb. Art. 44, 45; ZSVR: „Bevollmächtigung" (verpackungsregister.org,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Freigabe der Aussage und der Fundstellen.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A28  </w:t>
      </w:r>
      <w:r>
        <w:rPr>
          <w:rFonts w:ascii="Arial" w:cs="Arial" w:eastAsia="Arial" w:hAnsi="Arial"/>
          <w:b/>
          <w:bCs/>
          <w:sz w:val="22"/>
          <w:szCs w:val="22"/>
        </w:rPr>
        <w:t xml:space="preserve">Bevollmächtigter: Anforderungen an Person und Benennung?</w:t>
      </w:r>
    </w:p>
    <w:p>
      <w:pPr>
        <w:spacing w:after="60" w:before="60"/>
      </w:pPr>
      <w:r>
        <w:rPr>
          <w:rFonts w:ascii="Arial" w:cs="Arial" w:eastAsia="Arial" w:hAnsi="Arial"/>
          <w:color w:val="6B7280"/>
          <w:sz w:val="17"/>
          <w:szCs w:val="17"/>
        </w:rPr>
        <w:t xml:space="preserve">Block A – Rollen-Grenzfälle · Rollen / EPR · rechtsverbindlich · Bezug: #09, #31</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Wer darf überhaupt unser Bevollmächtigter sein, und wie läuft die Benennung praktisch ab?</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Der Bevollmächtigte für die erweiterte Herstellerverantwortung muss in dem Mitgliedstaat niedergelassen sein, in dem der Hersteller die Verpackungen erstmals bereitstellt – für Deutschland also mit Sitz oder Niederlassung im Bundesgebiet (Art. 3 Abs. 1 Nr. 20 PPWR). Konkrete Folge: Jeder Hersteller darf nur einen Bevollmächtigten beauftragen; die Beauftragung erfolgt durch schriftliche Vollmacht in deutscher Sprache (§ 5 Abs. 4 VerpackDG). Der Bevollmächtigte ist der ZSVR unverzüglich nach der Beauftragung zu benennen; die Benennung erfolgt im Rahmen der LUCID-Registrierung und bedarf der Bestätigung durch die ZSVR (§ 5 Abs. 5 VerpackDG). Nach der Behördeninformation der ZSVR (keine Rechtsnorm) setzt die Benennung voraus, dass der Bevollmächtigte über einen eigenen Bevollmächtigten-Login in LUCID verfügt; die ZSVR veröffentlicht keine Liste registrierter Bevollmächtigter, die Auswahl eines Anbieters obliegt dem Hersteller. Die ZSVR gibt zudem an, dass nur eine unternehmensexterne Person Bevollmächtigter sein kann;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20 PPWR (VO (EU) 2025/40); § 5 Abs. 4 bis 6 VerpackDG (BGBl. 2026 I Nr. 207); ZSVR: „Bevollmächtigung" (verpackungsregister.org,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Aussage „nur unternehmensexterne Person" nur als ZSVR-Information belegt, keine ausdrückliche Norm-Fundstelle identifiziert – Cattwyk-Einordnung erbeten | (!) Ergänzung 10/2026 aus ZSVR-Themenseite, Normzitat für Wirksamkeit mit LUCID-Bestätigung (§ 5 Abs. 4–6 VerpackDG?) pinnen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A29  </w:t>
      </w:r>
      <w:r>
        <w:rPr>
          <w:rFonts w:ascii="Arial" w:cs="Arial" w:eastAsia="Arial" w:hAnsi="Arial"/>
          <w:b/>
          <w:bCs/>
          <w:sz w:val="22"/>
          <w:szCs w:val="22"/>
        </w:rPr>
        <w:t xml:space="preserve">Erzeuger &amp; Hersteller: Prüfschema der ZSVR?</w:t>
      </w:r>
    </w:p>
    <w:p>
      <w:pPr>
        <w:spacing w:after="60" w:before="60"/>
      </w:pPr>
      <w:r>
        <w:rPr>
          <w:rFonts w:ascii="Arial" w:cs="Arial" w:eastAsia="Arial" w:hAnsi="Arial"/>
          <w:color w:val="6B7280"/>
          <w:sz w:val="17"/>
          <w:szCs w:val="17"/>
        </w:rPr>
        <w:t xml:space="preserve">Block A – Rollen-Grenzfälle · Rollen / EPR · unverbindliche Auslegung · Bezug: #08</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Nach welchem Schema prüft die ZSVR künftig, wer Erzeuger und wer Hersteller einer Verpackung ist?</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ZSVR beschreibt in ihrer Behördeninformation ein zweistufiges Prüfschema, das die Definitionen der PPWR (Art. 3 Abs. 1 Nr. 13 „Erzeuger"/manufacturer für die Konformität, Nr. 15 „Hersteller"/producer für die EPR) praktisch handhabbar macht. Vorrangig gilt danach das Markenprinzip: Lässt ein Unternehmen Verpackungen oder verpackte Produkte unter eigenem Namen oder eigener Marke entwickeln oder herstellen, ist es selbst Erzeuger und zugleich Hersteller. Trägt die Verpackung nicht die Marke des Auftraggebers, werden beide Rollen getrennt bestimmt: Für die Erzeugereigenschaft kommt es auf die Verpackungsart und den Zeitpunkt der Vollständigkeit an – bei Transport-, Service- und Primärproduktionsverpackungen können die Pflichten schon für die leere Verpackung entstehen, bei Verkaufs- und Umverpackungen in der Regel erst mit Befüllung; EU-weit gibt es nach ZSVR-Lesart je Verpackung genau einen Erzeuger. Für die Herstellereigenschaft gilt der Inlandsvorrang: Maßgeblich ist das erste Unternehmen der Lieferkette in dem Mitgliedstaat, in dem die Verpackung zu Abfall wird;</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 Abs. 1 Nr. 13 und 15 PPWR (VO (EU) 2025/40); Art. 21 PPWR; ZSVR: „PPWR und VerpackDG – was sich für Sie ändert" und „Abgrenzung Erzeuger &amp; Hersteller" (verpackungsregister.org, Behördeninformation/Auslegung der ZSVR); EUNR-Papier „Producer Definition" (gekennzeichnete Sekundärquelle)</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ZSVR-Grundsätze (Markenvorrang, „EU-weit genau ein Erzeuger") ohne exakte Norm-Zitate auf der ZSVR-Seite – Abgleich mit EUNR-Lesart (vgl. A23) durch Cattwyk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B05  </w:t>
      </w:r>
      <w:r>
        <w:rPr>
          <w:rFonts w:ascii="Arial" w:cs="Arial" w:eastAsia="Arial" w:hAnsi="Arial"/>
          <w:b/>
          <w:bCs/>
          <w:sz w:val="22"/>
          <w:szCs w:val="22"/>
        </w:rPr>
        <w:t xml:space="preserve">Vollständigkeitserklärung 2026: altes oder neues Recht?</w:t>
      </w:r>
    </w:p>
    <w:p>
      <w:pPr>
        <w:spacing w:after="60" w:before="60"/>
      </w:pPr>
      <w:r>
        <w:rPr>
          <w:rFonts w:ascii="Arial" w:cs="Arial" w:eastAsia="Arial" w:hAnsi="Arial"/>
          <w:color w:val="6B7280"/>
          <w:sz w:val="17"/>
          <w:szCs w:val="17"/>
        </w:rPr>
        <w:t xml:space="preserve">Block B – PPWR × VerpackDG · Rollen / EPR · rechtsverbindlich · Bezug: #33</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Wie läuft das mit der Vollständigkeitserklärung für 2026 – nach altem oder neuem Recht?</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Nach neuem Recht, ohne Doppelabgabe. Für Verpackungen, die im Kalenderjahr 2026 im Bundesgebiet bereitgestellt wurden, gilt ausschließlich § 10 VerpackDG; eine zusätzliche Vollständigkeitserklärung nach § 11 VerpackG a. F. ist für 2026 nicht zu hinterlegen (§ 68 Abs. 5 Satz 3 u. 4). Für die Aufschlüsselung der 2026er-Angaben gelten übergangsweise die alten Einordnungsmaßstäbe fort (§ 68 Abs. 5 Satz 5). Alt-Hersteller nach VerpackG-Logik, die nach neuem Recht keine Hersteller mehr sind, bleiben für ihre 2026er-Alt-Mengen entsprechend melde- und VE-pflichtig (§ 68 Abs. 5 Satz 1). Folge: VE für das Berichtsjahr 2026 bis zum 15. Mai 2027 über die ZSVR-Plattform, geprüft durch registrierten Sachverständigen bzw. Prüfer (§ 10 Abs. 1); Prüfer-Slot früh sichern. Quellen: § 68 Abs. 5, § 10 Abs. 1 u. 3, § 56 VerpackDG. Grenze: (!) § 66 Abs. 1 Nr. 6/7 verweisen für die Bußgeldbewehrung auf „§ 68 Absatz 3 Satz 1“, während die VE-Übergangsregel in Abs. 5 steht – dieses Zitat ist in der Session zu klären (mögliches Redaktionsversehen; Eskalation E06).</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68 Abs. 5 VerpackDG; § 10 Abs. 1 u. 3 VerpackDG; § 66 Abs. 1 Nr. 6 u. 7 VerpackDG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E06: Verweis § 66 Abs. 1 Nr. 6/7 auf § 68 Abs. 3 prüfen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B15  </w:t>
      </w:r>
      <w:r>
        <w:rPr>
          <w:rFonts w:ascii="Arial" w:cs="Arial" w:eastAsia="Arial" w:hAnsi="Arial"/>
          <w:b/>
          <w:bCs/>
          <w:sz w:val="22"/>
          <w:szCs w:val="22"/>
        </w:rPr>
        <w:t xml:space="preserve">Ökomodulation: Neue Zuschläge rechtens?</w:t>
      </w:r>
    </w:p>
    <w:p>
      <w:pPr>
        <w:spacing w:after="60" w:before="60"/>
      </w:pPr>
      <w:r>
        <w:rPr>
          <w:rFonts w:ascii="Arial" w:cs="Arial" w:eastAsia="Arial" w:hAnsi="Arial"/>
          <w:color w:val="6B7280"/>
          <w:sz w:val="17"/>
          <w:szCs w:val="17"/>
        </w:rPr>
        <w:t xml:space="preserve">Block B – PPWR × VerpackDG · Rollen / EPR · rechtsverbindlich · Bezug: #35</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Ökomodulation: Unser dualer System-Anbieter kündigt neue Zuschläge für schlecht recycelbare Verpackungen an. Dürfen die das einfach?</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Sie müssen es sogar. Systeme sind verpflichtet, die Beteiligungsentgelte ökologisch zu gestalten – insbesondere nach Recyclingfähigkeit und Rezyklateinsatz (§ 26 VerpackDG); die Detailvorgaben kommen per Rechtsverordnung nach § 26a, bis dahin bleibt der ZSVR-Mindeststandard Recyclingfähigkeit Bemessungsmaßstab (§ 26a Abs. 2 Nr. 1 lit. a). Der EU-Rahmen dafür ist Art. 45 PPWR i. V. m. den EPR-Grundsätzen der Abfallrahmenrichtlinie. Folge: Die Entgeltdifferenzierung ist kein Kulanzthema, sondern Regulierungsfolge – für Sie wird die Recyclingfähigkeit je SKU zum direkten Kostenhebel. Konkrete Handlung: Portfolio gegen den aktuellen Mindeststandard raten lassen, Redesign-Kandidaten priorisieren, RVO-Erlass beobachten (Radar R12). Quellen: §§ 26, 26a VerpackDG; Art. 45 PPWR. Grenze: Ob eine konkrete Zuschlagshöhe zulässig kalkuliert ist, ist Vertrags-/Kartellrechtsfrage des Einzelfalls; die Fundstelle des AbfRRL-Bezugs (Art. 8/8a) ist als V16 noch zu pinnen.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26 VerpackDG; § 26a VerpackDG; Art. 45 PPWR</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V16: AbfRRL-Zitat pinnen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B16  </w:t>
      </w:r>
      <w:r>
        <w:rPr>
          <w:rFonts w:ascii="Arial" w:cs="Arial" w:eastAsia="Arial" w:hAnsi="Arial"/>
          <w:b/>
          <w:bCs/>
          <w:sz w:val="22"/>
          <w:szCs w:val="22"/>
        </w:rPr>
        <w:t xml:space="preserve">Nicht-systembeteiligungspflichtig: Zulassung bei der ZSVR nötig?</w:t>
      </w:r>
    </w:p>
    <w:p>
      <w:pPr>
        <w:spacing w:after="60" w:before="60"/>
      </w:pPr>
      <w:r>
        <w:rPr>
          <w:rFonts w:ascii="Arial" w:cs="Arial" w:eastAsia="Arial" w:hAnsi="Arial"/>
          <w:color w:val="6B7280"/>
          <w:sz w:val="17"/>
          <w:szCs w:val="17"/>
        </w:rPr>
        <w:t xml:space="preserve">Block B – PPWR × VerpackDG · Rollen / EPR · rechtsverbindlich · Bezug: #34, #31</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Unsere Verpackungen sind nicht systembeteiligungspflichtig. Jetzt lese ich, dass wir künftig eine Zulassung brauchen – was kommt da auf uns zu?</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bestehenden EPR-Pflichten für Verpackungen ohne Systembeteiligungspflicht – insbesondere Rücknahme und Zuführung zur Wiederverwendung oder Verwertung nach § 39 VerpackDG – bleiben bestehen. Neu ist die Zulassungspflicht: Art. 47 PPWR verlangt für die individuelle oder kollektive Erfüllung der EPR eine behördliche Zulassung; national setzt § 19 VerpackDG das um. Hersteller von nicht systembeteiligungspflichtigen Verpackungen und von Verpackungen nach § 39 Abs. 1 Satz 1 Nr. 4 müssen sich vor dem erstmaligen Bereitstellen (bzw. dem Auspacken) durch die ZSVR zulassen lassen (§ 19 Abs. 1 VerpackDG); die Pflicht entfällt, wenn die EPR-Erfüllung vollständig auf eine oder mehrere zugelassene sonstige Organisationen für Herstellerverantwortung übertragen und dies der ZSVR elektronisch benannt wurde (§ 19 Abs. 1 Satz 3). Konkrete Folge: Übergangsweise dürfen diese Hersteller ohne Zulassung längstens bis zum 31.12.2027 Verpackungen im Bundesgebiet bereitstellen (§ 68 Abs. 9 VerpackDG); ab dem 01.01.2028 ist die Zulassung erforderlich.</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47 PPWR (VO (EU) 2025/40); § 19 VerpackDG (BGBl. 2026 I Nr. 207); § 39 VerpackDG; § 51 Abs. 1 Satz 2 VerpackDG; § 68 Abs. 9 VerpackDG; ZSVR: „Zulassungsverfahren" (verpackungsregister.org,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Freigabe der Aussage und der Fundstellen.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B17  </w:t>
      </w:r>
      <w:r>
        <w:rPr>
          <w:rFonts w:ascii="Arial" w:cs="Arial" w:eastAsia="Arial" w:hAnsi="Arial"/>
          <w:b/>
          <w:bCs/>
          <w:sz w:val="22"/>
          <w:szCs w:val="22"/>
        </w:rPr>
        <w:t xml:space="preserve">sOfH: EPR-Pflichten auf eine Organisation übertragen?</w:t>
      </w:r>
    </w:p>
    <w:p>
      <w:pPr>
        <w:spacing w:after="60" w:before="60"/>
      </w:pPr>
      <w:r>
        <w:rPr>
          <w:rFonts w:ascii="Arial" w:cs="Arial" w:eastAsia="Arial" w:hAnsi="Arial"/>
          <w:color w:val="6B7280"/>
          <w:sz w:val="17"/>
          <w:szCs w:val="17"/>
        </w:rPr>
        <w:t xml:space="preserve">Block B – PPWR × VerpackDG · Rollen / EPR · rechtsverbindlich · Bezug: #34, #31</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Können wir die Rücknahme- und Verwertungspflichten für unsere B2B-Verpackungen komplett an einen Dienstleister abgeben?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Ja, dafür sieht das VerpackDG die „sonstige Organisation für Herstellerverantwortung" (sOfH) vor. Hersteller nicht systembeteiligungspflichtiger Verpackungen können ihre EPR-Pflichten selbst erfüllen oder ganz oder teilweise auf eine oder mehrere sOfH übertragen; die Pflichten der sOfH regelt § 41 VerpackDG. Konkrete Folge: Auch dieser Weg ist zulassungsgebunden – die sOfH benötigt eine Zulassung der ZSVR nach § 22 VerpackDG (u. a. mit insolvenzfester Sicherheit, § 22 Abs. 3). Überträgt der Hersteller die Erfüllung für die Gesamtheit seiner Verpackungen auf zugelassene sOfH und benennt diese der ZSVR elektronisch, entfällt seine eigene Zulassungspflicht nach § 19 (§ 19 Abs. 1 Satz 3 VerpackDG); bei nur teilweiser Übertragung bleibt sie für den verbleibenden Teil bestehen. Übergangsweise dürfen privatrechtlich organisierte Organisationen sOfH-Aufgaben ohne Zulassung längstens bis zum 31.10.2027 wahrnehmen (§ 68 Abs. 12 VerpackDG); ab dem 01.11.2027 ist die Zulassung erforderlich.</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19 Abs. 1 Satz 3 VerpackDG (BGBl. 2026 I Nr. 207); § 22 VerpackDG; § 41 VerpackDG; § 68 Abs. 12 VerpackDG; Art. 47 PPWR (VO (EU) 2025/40); ZSVR: „Zulassungsverfahren" (verpackungsregister.org, Behördeninformation)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Freigabe der Aussage und der Fundstellen.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C03  </w:t>
      </w:r>
      <w:r>
        <w:rPr>
          <w:rFonts w:ascii="Arial" w:cs="Arial" w:eastAsia="Arial" w:hAnsi="Arial"/>
          <w:b/>
          <w:bCs/>
          <w:sz w:val="22"/>
          <w:szCs w:val="22"/>
        </w:rPr>
        <w:t xml:space="preserve">Eine Konformitätserklärung fürs Sortiment? Sprache?</w:t>
      </w:r>
    </w:p>
    <w:p>
      <w:pPr>
        <w:spacing w:after="60" w:before="60"/>
      </w:pPr>
      <w:r>
        <w:rPr>
          <w:rFonts w:ascii="Arial" w:cs="Arial" w:eastAsia="Arial" w:hAnsi="Arial"/>
          <w:color w:val="6B7280"/>
          <w:sz w:val="17"/>
          <w:szCs w:val="17"/>
        </w:rPr>
        <w:t xml:space="preserve">Block C – Konformität, Stoffe, Mehrweg · Konformität · rechtsverbindlich · Bezug: #04, #05, #06</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Reicht EINE Konformitätserklärung für unser gesamtes Sortiment, und dürfen wir die auf Englisch schreiben?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Eine Sammel-Erklärung „für alle Verpackungen“ genügt nicht: Die EU-Konformitätserklärung ist je Verpackungstyp nach dem Muster des Anhangs VIII auszustellen, aktuell zu halten und mit der technischen Dokumentation zu verknüpfen; mit der Ausstellung übernimmt der Erzeuger die Verantwortung für die Konformität (Art. 39 PPWR). Vorgelagert ist je Typ das Konformitätsbewertungsverfahren nach Art. 38 i. V. m. Anhang VII (Modul A, interne Fertigungskontrolle). Sprache: In Deutschland muss eine unterzeichnete Version nach Wahl des Herstellers in deutscher ODER englischer Sprache vorgehalten werden; eine deutsche Übersetzung ist nur auf Behördenverlangen beizubringen (§ 62 VerpackDG). Folge: Verpackungstypen inventarisieren (Compliance-Profil), je Typ Bewertung dokumentieren, Erklärung aus dem Generator vorbefüllen, unterzeichnen, versioniert ablegen. Quellen: Art. 38, Art. 39, Anhang VII u. VIII PPWR; § 62 VerpackDG. Grenze: Die Absatz-Fundstellen zu Aufbewahrungsfristen und behördlicher Vorlagefrist (Art.</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38 PPWR; Art. 39 i. V. m. Anhang VIII PPWR; § 62 VerpackDG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V1: Absatz-Pins Art. 15 offen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C05  </w:t>
      </w:r>
      <w:r>
        <w:rPr>
          <w:rFonts w:ascii="Arial" w:cs="Arial" w:eastAsia="Arial" w:hAnsi="Arial"/>
          <w:b/>
          <w:bCs/>
          <w:sz w:val="22"/>
          <w:szCs w:val="22"/>
        </w:rPr>
        <w:t xml:space="preserve">Rezyklat vs. Schwermetall-Grenzwert bei Mehrweg</w:t>
      </w:r>
    </w:p>
    <w:p>
      <w:pPr>
        <w:spacing w:after="60" w:before="60"/>
      </w:pPr>
      <w:r>
        <w:rPr>
          <w:rFonts w:ascii="Arial" w:cs="Arial" w:eastAsia="Arial" w:hAnsi="Arial"/>
          <w:color w:val="6B7280"/>
          <w:sz w:val="17"/>
          <w:szCs w:val="17"/>
        </w:rPr>
        <w:t xml:space="preserve">Block C – Konformität, Stoffe, Mehrweg · Stoffrecht · rechtsverbindlich · Bezug: #01</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Unsere Mehrweg-Kunststoffkästen reißen wegen des Rezyklateinsatzes den Schwermetall-Grenzwert. Ist das jetzt ein Vertriebsverbot?</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Der Summengrenzwert für Blei, Cadmium, Quecksilber und Chrom VI von 100 mg/kg gilt seit 12.08.2026 als PPWR-Pflicht fort (Art. 5 Abs. 4). Deutschland hat aber von einer nationalen Ausnahme Gebrauch gemacht: Für Kunststoffkästen und -paletten gilt die Bereitstellungsbeschränkung im Bundesgebiet NICHT, wenn die Überschreitung allein auf Sekundärrohstoff-Einsatz beruht, die Kästen/Paletten in geschlossenen und kontrollierten Produktkreisläufen zirkulieren, ein Bestandserfassungs- und Kontrollsystem nach § 15 eingerichtet ist und die Herstellung im kontrollierten Verwertungsverfahren erfolgt (§ 14 VerpackDG; für Glas: §§ 17/18 mit 250 mg/kg-Deckel). Dazu gehören Konformitätserklärung und Jahresbericht nach § 16. Folge: Prüfen, ob Ihr Kreislauf die § 14-Kriterien dokumentiert erfüllt – dann kein Vertriebsverbot in Deutschland; für andere EU-Märkte gilt die Ausnahme NICHT. Quellen: Art. 5 Abs. 4 PPWR; §§ 14–16 VerpackDG. Grenze: (!) Die Fortgeltungs-Mechanik (Streichung der §§ 14–18 bei Erlass der delegierten Rechtsakte, Mantelgesetz Art.</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5 Abs. 4 PPWR; §§ 14–16 VerpackDG; §§ 17–18 VerpackDG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V2: Fortgeltungs-Mechanik bestätigen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C07  </w:t>
      </w:r>
      <w:r>
        <w:rPr>
          <w:rFonts w:ascii="Arial" w:cs="Arial" w:eastAsia="Arial" w:hAnsi="Arial"/>
          <w:b/>
          <w:bCs/>
          <w:sz w:val="22"/>
          <w:szCs w:val="22"/>
        </w:rPr>
        <w:t xml:space="preserve">Mehrweg-Paletten: Systembeitritt nötig?</w:t>
      </w:r>
    </w:p>
    <w:p>
      <w:pPr>
        <w:spacing w:after="60" w:before="60"/>
      </w:pPr>
      <w:r>
        <w:rPr>
          <w:rFonts w:ascii="Arial" w:cs="Arial" w:eastAsia="Arial" w:hAnsi="Arial"/>
          <w:color w:val="6B7280"/>
          <w:sz w:val="17"/>
          <w:szCs w:val="17"/>
        </w:rPr>
        <w:t xml:space="preserve">Block C – Konformität, Stoffe, Mehrweg · Mehrweg · unverbindliche Auslegung · Bezug: #30, #03, #27</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Müssen wir als Nutzer von Mehrweg-Paletten irgendeinem „System“ beitreten, oder reicht der Poolvertrag mit unserem Dienstleister?</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PPWR verlangt, dass Wirtschaftsakteure, die wiederverwendbare Verpackungen verwenden, einem Wiederverwendungssystem angehören, das die Anforderungen des Anhangs VI erfüllt (Art. 27 PPWR); Anhang VI unterscheidet offene und geschlossene Kreislaufsysteme mit Anforderungen an Governance, Rücknahme und Rekonditionierung. Ein professioneller Poolvertrag (z. B. Paletten-Pooling) IST typischerweise die Teilnahme an einem solchen System – entscheidend ist, dass der Systembetreiber die Anhang-VI-Anforderungen abdeckt und Sie das belegen können. Folge: Systemzugehörigkeit je Mehrweg-SKU dokumentieren (Vertrag + Systembeschreibung des Betreibers); das zahlt zugleich auf die Mehrweg-Einstufung (C06) und die deutsche § 11-Nr. 1-Ausnahme ein. Quellen: Art. 27 i. V. m. Anhang VI PPWR; § 11 Nr. 1 VerpackDG. Grenze: (!) Die genauen Absatz-Pins zu Art. 27/28 sind offen (V14 Anforderungspaket); die Subsumtion „Poolvertrag = Systemteilnahme“ ist Auslegung und in der Session zu bestätigen.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27 i. V. m. Anhang VI PPWR; § 11 Nr. 1 VerpackDG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V14: Absatz-Pins Art. 27/28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C09  </w:t>
      </w:r>
      <w:r>
        <w:rPr>
          <w:rFonts w:ascii="Arial" w:cs="Arial" w:eastAsia="Arial" w:hAnsi="Arial"/>
          <w:b/>
          <w:bCs/>
          <w:sz w:val="22"/>
          <w:szCs w:val="22"/>
        </w:rPr>
        <w:t xml:space="preserve">Adresspflicht auf der Verpackung? QR-Label?</w:t>
      </w:r>
    </w:p>
    <w:p>
      <w:pPr>
        <w:spacing w:after="60" w:before="60"/>
      </w:pPr>
      <w:r>
        <w:rPr>
          <w:rFonts w:ascii="Arial" w:cs="Arial" w:eastAsia="Arial" w:hAnsi="Arial"/>
          <w:color w:val="6B7280"/>
          <w:sz w:val="17"/>
          <w:szCs w:val="17"/>
        </w:rPr>
        <w:t xml:space="preserve">Block C – Konformität, Stoffe, Mehrweg · Konformität · rechtsverbindlich · Bezug: #07, #19</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Muss auf jeder Verpackung jetzt unsere Adresse stehen? Und ist das dasselbe wie dieses neue EU-Sortierlabel?</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Zwei verschiedene Regime. JETZT gilt die Identifikations- und Kontaktkennzeichnung: Auf ab dem 12.08.2026 in Verkehr gebrachten Verpackungen muss (a) eine Typen-, Chargen- oder Seriennummer oder ein anderes Identifikationselement und (b) Name oder eingetragene Marke, Postanschrift und eine digitale Kontaktmöglichkeit des Erzeugers angegeben sein – auf der Verpackung oder über einen Datenträger (z. B. QR-Code) abrufbar (Art. 15 Abs. 5 u. 6 PPWR); Importeure ergänzen ihre eigenen Angaben (Art. 18 Abs. 3). NOCH NICHT gilt das harmonisierte EU-Sortierlabel (Art. 12): Es kommt erst ab 12.08.2028 bzw. 24 Monate nach dem Durchführungsrechtsakt; bis dahin bleibt die deutsche Materialkennzeichnung nach § 4 VerpackDG freiwillig, aber exklusiv (nur die Nummern/Abkürzungen der Anlage 2). Folge: Druckdaten aller SKUs auf die Art.-15-Angaben prüfen; keine Investitionen in nationale Sortierhinweise mehr. Quellen: Art. 15 Abs. 5 u. 6, Art. 18 Abs. 3, Art. 12 PPWR; § 4 VerpackDG. Grenze: Detail-Pins zu Art. 15 (Mehrfachverpackungen, Verdeckungsverbot) sind V1-Positionen der Session.</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15 Abs. 5 u. 6 PPWR; Art. 18 Abs. 3 PPWR; Art. 12 PPWR; § 4 VerpackDG</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V1: Detail-Pins Art.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C10  </w:t>
      </w:r>
      <w:r>
        <w:rPr>
          <w:rFonts w:ascii="Arial" w:cs="Arial" w:eastAsia="Arial" w:hAnsi="Arial"/>
          <w:b/>
          <w:bCs/>
          <w:sz w:val="22"/>
          <w:szCs w:val="22"/>
        </w:rPr>
        <w:t xml:space="preserve">PET-Rezyklatquote: deutsch oder europäisch?</w:t>
      </w:r>
    </w:p>
    <w:p>
      <w:pPr>
        <w:spacing w:after="60" w:before="60"/>
      </w:pPr>
      <w:r>
        <w:rPr>
          <w:rFonts w:ascii="Arial" w:cs="Arial" w:eastAsia="Arial" w:hAnsi="Arial"/>
          <w:color w:val="6B7280"/>
          <w:sz w:val="17"/>
          <w:szCs w:val="17"/>
        </w:rPr>
        <w:t xml:space="preserve">Block C – Konformität, Stoffe, Mehrweg · Stoffrecht · rechtsverbindlich · Bezug: #15, #14</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Für unsere PET-Einwegflaschen: Welche Rezyklatquote gilt denn nun – die deutsche oder die aus der EU-Verordnung?</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Aktuell allein die deutsche. § 45 VerpackDG führt die nationale Quote fort: Einweggetränkeflaschen, die hauptsächlich aus PET bestehen, dürfen nur bereitgestellt werden, wenn sie zu mindestens 25 Masseprozent aus Kunststoffrezyklaten bestehen – wahlweise je Flasche oder im Jahresmittel des Herstellers mit nachprüfbarer Dokumentation gegenüber der Landesbehörde (§ 45 Abs. 1 u. 3). Ab dem 01.01.2030 gilt national 30 % für ALLE Einweggetränkeflaschen aus Kunststoff (§ 45 Abs. 2). Die EU-Rezyklatquoten des Art. 7 PPWR (je Kategorie, inkl. kontaktempfindlicher Verpackungen) greifen ebenfalls erst ab 2030 – dann laufen beide Regime parallel. Folge: Rezyklatanteil je Flaschen-SKU erfassen; bei Jahresmittel-Option den Dokumentationsprozess jetzt aufsetzen; Beschaffungsstrategie Richtung 2030 planen (Radar R4: Methodik-Rechtsakt). Quellen: § 45 Abs. 1–3 VerpackDG; Art. 7 PPWR. Grenze: (!) Das Konkurrenzverhältnis § 45 ↔ Art. 7 ab 2030 (strengster Wert? Anrechnung?) ist offene Session-Frage (V5);</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 45 Abs. 1–3 VerpackDG; Art. 7 PPWR</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V4/V5: EU-Werte pinnen; Konkurrenz 2030 klären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C11  </w:t>
      </w:r>
      <w:r>
        <w:rPr>
          <w:rFonts w:ascii="Arial" w:cs="Arial" w:eastAsia="Arial" w:hAnsi="Arial"/>
          <w:b/>
          <w:bCs/>
          <w:sz w:val="22"/>
          <w:szCs w:val="22"/>
        </w:rPr>
        <w:t xml:space="preserve">Palettenfolie &amp; Umreifungsbänder: Von der 100 %-Mehrwegpflicht befreit?</w:t>
      </w:r>
    </w:p>
    <w:p>
      <w:pPr>
        <w:spacing w:after="60" w:before="60"/>
      </w:pPr>
      <w:r>
        <w:rPr>
          <w:rFonts w:ascii="Arial" w:cs="Arial" w:eastAsia="Arial" w:hAnsi="Arial"/>
          <w:color w:val="6B7280"/>
          <w:sz w:val="17"/>
          <w:szCs w:val="17"/>
        </w:rPr>
        <w:t xml:space="preserve">Block C – Konformität, Stoffe, Mehrweg · Mehrweg · rechtsverbindlich · Bezug: #27, #03</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Müssen wir ab 2030 wirklich auf wiederverwendbare Stretchfolie und Mehrweg-Umreifungsbänder umstellen, wenn wir Paletten für den Versand sichern?</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Für die 100 %-Pflichten gibt es eine Ausnahme. Art. 29 Abs. 2 und 3 PPWR verlangen ab dem 01.01.2030, dass die dort erfassten Transport- und Versand-Verkaufsverpackungen bei Transporten zwischen eigenen Standorten bzw. zu verbundenen oder Partnerunternehmen sowie bei Lieferungen an andere Wirtschaftsakteure im selben Mitgliedstaat stets wiederverwendbar innerhalb eines Wiederverwendungssystems sind – Palettenumhüllungen und Umreifungsbänder sind in der Formatliste des Art. 29 Abs. 1 ausdrücklich genannt. Mit dem Delegierten Beschluss C(2026) 511 final vom 25.02.2026 (gestützt auf Art. 29 Abs. 18 lit. a PPWR) nimmt die Kommission Wirtschaftsakteure, die Palettenumhüllungen oder Umreifungsbänder zur Stabilisierung und zum Schutz von auf Paletten transportierten Produkten verwenden, von den 100 %-Wiederverwendungspflichten des Art. 29 Abs. 2 und 3 aus (Art. 1 des Beschlusses). Konkrete Folge: Für diese beiden Formate entfällt in den genannten Konstellationen die Pflicht zur ausschließlichen Mehrwegnutzung ab 2030.</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Art. 29 Abs. 1, 2, 3 und 18 lit. a PPWR (VO (EU) 2025/40); Delegierter Beschluss der Kommission C(2026) 511 final vom 25.02.2026, Art. 1 und 2 sowie ErwGr. 1–5 (rechtsverbindlicher EU-Rechtsakt nach Inkrafttreten)</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1. Reichweite ggü. Art. 29 Abs. 1: Art. 1 des Beschlusses nimmt nur von Abs. 2 und 3 aus, ErwGr. 2 erstreckt die Wirkung auf die Quoten des Abs. 1 – Cattwyk-Klärung; 2. ABl.-Veröffentlichung/Inkrafttreten noch nicht verifiziert (nur C-final-Fassung ausgewertet)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keepNext/>
        <w:pBdr>
          <w:top w:val="single" w:color="24A27F" w:sz="6" w:space="4"/>
        </w:pBdr>
        <w:spacing w:after="40" w:before="240"/>
      </w:pPr>
      <w:r>
        <w:rPr>
          <w:rFonts w:ascii="Arial" w:cs="Arial" w:eastAsia="Arial" w:hAnsi="Arial"/>
          <w:b/>
          <w:bCs/>
          <w:color w:val="004494"/>
          <w:sz w:val="22"/>
          <w:szCs w:val="22"/>
        </w:rPr>
        <w:t xml:space="preserve">C12  </w:t>
      </w:r>
      <w:r>
        <w:rPr>
          <w:rFonts w:ascii="Arial" w:cs="Arial" w:eastAsia="Arial" w:hAnsi="Arial"/>
          <w:b/>
          <w:bCs/>
          <w:sz w:val="22"/>
          <w:szCs w:val="22"/>
        </w:rPr>
        <w:t xml:space="preserve">PET-Flaschen: Neue EU-Regeln zur Rezyklat-Berechnung?</w:t>
      </w:r>
    </w:p>
    <w:p>
      <w:pPr>
        <w:spacing w:after="60" w:before="60"/>
      </w:pPr>
      <w:r>
        <w:rPr>
          <w:rFonts w:ascii="Arial" w:cs="Arial" w:eastAsia="Arial" w:hAnsi="Arial"/>
          <w:color w:val="6B7280"/>
          <w:sz w:val="17"/>
          <w:szCs w:val="17"/>
        </w:rPr>
        <w:t xml:space="preserve">Block C – Konformität, Stoffe, Mehrweg · Stoffrecht · rechtsverbindlich · Bezug: #15, #14</w:t>
      </w:r>
    </w:p>
    <w:p>
      <w:pPr>
        <w:spacing w:after="40" w:before="40"/>
      </w:pPr>
      <w:r>
        <w:rPr>
          <w:rFonts w:ascii="Arial" w:cs="Arial" w:eastAsia="Arial" w:hAnsi="Arial"/>
          <w:b/>
          <w:bCs/>
          <w:sz w:val="19"/>
          <w:szCs w:val="19"/>
        </w:rPr>
        <w:t xml:space="preserve">Frage aus der Praxis: </w:t>
      </w:r>
      <w:r>
        <w:rPr>
          <w:rFonts w:ascii="Arial" w:cs="Arial" w:eastAsia="Arial" w:hAnsi="Arial"/>
          <w:sz w:val="19"/>
          <w:szCs w:val="19"/>
        </w:rPr>
        <w:t xml:space="preserve">Wie wird der Rezyklatanteil unserer PET-Einwegflaschen künftig berechnet und nachgewiesen – zählt jetzt auch chemisch recycelter Kunststoff?</w:t>
      </w:r>
    </w:p>
    <w:p>
      <w:pPr>
        <w:spacing w:after="40" w:before="40"/>
      </w:pPr>
      <w:r>
        <w:rPr>
          <w:rFonts w:ascii="Arial" w:cs="Arial" w:eastAsia="Arial" w:hAnsi="Arial"/>
          <w:b/>
          <w:bCs/>
          <w:sz w:val="19"/>
          <w:szCs w:val="19"/>
        </w:rPr>
        <w:t xml:space="preserve">Unsere Antwort (Entwurf): </w:t>
      </w:r>
      <w:r>
        <w:rPr>
          <w:rFonts w:ascii="Arial" w:cs="Arial" w:eastAsia="Arial" w:hAnsi="Arial"/>
          <w:sz w:val="19"/>
          <w:szCs w:val="19"/>
        </w:rPr>
        <w:t xml:space="preserve">Einordnung: Die EU-Kommission hat mit dem Durchführungsbeschluss (EU) 2026/1425 vom 30.06.2026 (ABl. L, 2026/1425, 03.07.2026) neue Vorschriften für die Berechnung, die Überprüfung und die Übermittlung von Daten über den Gehalt an recyceltem Kunststoff in Einweggetränkeflaschen aus Kunststoff erlassen; der bisherige Durchführungsbeschluss (EU) 2023/2683 wird aufgehoben. Rechtsgrundlage ist die Einwegkunststoff-Richtlinie (EU) 2019/904 (SUPD), nicht die PPWR. Der Beschluss ist am 23.07.2026 in Kraft getreten. Nach der Pressemitteilung der Kommission (IP/26/1467) wird damit erstmals eine Methodik festgelegt, mit der auch chemisch recycelter Anteil berechnet, überprüft und gemeldet werden kann; die Regeln sollen technologieoffen für mechanisches wie chemisches Recycling gelten (!). Konkrete Folge: Für den Nachweis der Rezyklatanteile von PET-Einwegflaschen sind künftig die Berechnungs-, Prüf- und Meldevorgaben dieses Beschlusses maßgeblich – das betrifft die Dokumentation gegenüber Behörden und in der Lieferkette.</w:t>
      </w:r>
    </w:p>
    <w:p>
      <w:pPr>
        <w:spacing w:after="40" w:before="40"/>
      </w:pPr>
      <w:r>
        <w:rPr>
          <w:rFonts w:ascii="Arial" w:cs="Arial" w:eastAsia="Arial" w:hAnsi="Arial"/>
          <w:b/>
          <w:bCs/>
          <w:sz w:val="19"/>
          <w:szCs w:val="19"/>
        </w:rPr>
        <w:t xml:space="preserve">Fundstellen: </w:t>
      </w:r>
      <w:r>
        <w:rPr>
          <w:rFonts w:ascii="Arial" w:cs="Arial" w:eastAsia="Arial" w:hAnsi="Arial"/>
          <w:sz w:val="19"/>
          <w:szCs w:val="19"/>
        </w:rPr>
        <w:t xml:space="preserve">Durchführungsbeschluss (EU) 2026/1425 der Kommission vom 30.06.2026 (ABl. L, 2026/1425, 03.07.2026; ELI: data.europa.eu/eli/dec_impl/2026/1425/oj), in Kraft seit 23.07.2026; Richtlinie (EU) 2019/904 (SUPD); § 45 VerpackDG (BGBl. 2026 I Nr. 207); Art. 7 PPWR (VO (EU) 2025/40); Pressemitteilung der EU-Kommission IP/26/1467 vom 30.06.2026 (Sekundärdarstellung des Beschlussinhalts)</w:t>
      </w:r>
    </w:p>
    <w:p>
      <w:pPr>
        <w:shd w:fill="FFF7E0" w:color="auto" w:val="clear"/>
        <w:spacing w:after="60" w:before="60"/>
      </w:pPr>
      <w:r>
        <w:rPr>
          <w:rFonts w:ascii="Arial" w:cs="Arial" w:eastAsia="Arial" w:hAnsi="Arial"/>
          <w:b/>
          <w:bCs/>
          <w:sz w:val="19"/>
          <w:szCs w:val="19"/>
        </w:rPr>
        <w:t xml:space="preserve">Offener Punkt für die Kanzlei: </w:t>
      </w:r>
      <w:r>
        <w:rPr>
          <w:rFonts w:ascii="Arial" w:cs="Arial" w:eastAsia="Arial" w:hAnsi="Arial"/>
          <w:sz w:val="19"/>
          <w:szCs w:val="19"/>
        </w:rPr>
        <w:t xml:space="preserve">(!) Detailaussagen zur Methodik (Einbeziehung chemisches Recycling, Drittstaaten-Anrechnung) beruhen auf Kommissions-PM und Sekundärberichten – ABl.-Volltext des DB (EU) 2026/1425 vor Freigabe im Wortlaut prüfen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3"/>
        <w:gridCol w:w="3213"/>
      </w:tblGrid>
      <w:tr>
        <w:trPr>
          <w:cantSplit/>
          <w:tblHeader w:val="false"/>
        </w:trPr>
        <w:tc>
          <w:tcPr>
            <w:tcW w:type="dxa" w:w="3212"/>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Freigeben wie vorgelegt</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Ändern (Hinweis unten)</w:t>
            </w:r>
          </w:p>
        </w:tc>
        <w:tc>
          <w:tcPr>
            <w:tcW w:type="dxa" w:w="3213"/>
            <w:shd w:fill="F3F4F6" w:color="auto" w:val="clear"/>
            <w:tcMar>
              <w:top w:type="dxa" w:w="60"/>
              <w:left w:type="dxa" w:w="90"/>
              <w:bottom w:type="dxa" w:w="60"/>
              <w:right w:type="dxa" w:w="90"/>
            </w:tcMar>
            <w:vAlign w:val="top"/>
          </w:tcPr>
          <w:p>
            <w:pPr>
              <w:spacing w:after="20" w:before="0"/>
            </w:pPr>
            <w:r>
              <w:rPr>
                <w:rFonts w:ascii="Arial" w:cs="Arial" w:eastAsia="Arial" w:hAnsi="Arial"/>
                <w:sz w:val="18"/>
                <w:szCs w:val="18"/>
              </w:rPr>
              <w:t xml:space="preserve">☐ Streichen / nicht ausspielen</w:t>
            </w:r>
          </w:p>
        </w:tc>
      </w:tr>
    </w:tbl>
    <w:p>
      <w:pPr>
        <w:spacing w:after="20" w:before="80"/>
      </w:pPr>
      <w:r>
        <w:rPr>
          <w:rFonts w:ascii="Arial" w:cs="Arial" w:eastAsia="Arial" w:hAnsi="Arial"/>
          <w:b/>
          <w:bCs/>
          <w:sz w:val="18"/>
          <w:szCs w:val="18"/>
        </w:rPr>
        <w:t xml:space="preserve">Anmerkung der Kanzlei:</w:t>
      </w:r>
    </w:p>
    <w:p>
      <w:pPr>
        <w:spacing w:after="0" w:before="60"/>
      </w:pPr>
      <w:r>
        <w:rPr>
          <w:rFonts w:ascii="Arial" w:cs="Arial" w:eastAsia="Arial" w:hAnsi="Arial"/>
          <w:sz w:val="20"/>
          <w:szCs w:val="20"/>
        </w:rPr>
        <w:t xml:space="preserve"/>
      </w:r>
    </w:p>
    <w:p>
      <w:pPr>
        <w:spacing w:after="160" w:before="0"/>
      </w:pPr>
      <w:r>
        <w:rPr>
          <w:rFonts w:ascii="Arial" w:cs="Arial" w:eastAsia="Arial" w:hAnsi="Arial"/>
          <w:color w:val="6B7280"/>
          <w:sz w:val="18"/>
          <w:szCs w:val="18"/>
        </w:rPr>
        <w:t xml:space="preserve">______________________________________________________________________________________</w:t>
      </w:r>
    </w:p>
    <w:p>
      <w:pPr>
        <w:pStyle w:val="Heading1"/>
        <w:pageBreakBefore/>
        <w:spacing w:after="160" w:before="0"/>
      </w:pPr>
      <w:r>
        <w:rPr>
          <w:rFonts w:ascii="Arial" w:cs="Arial" w:eastAsia="Arial" w:hAnsi="Arial"/>
          <w:b/>
          <w:bCs/>
          <w:color w:val="004494"/>
          <w:sz w:val="32"/>
          <w:szCs w:val="32"/>
        </w:rPr>
        <w:t xml:space="preserve">Teil C – Fundstellen-Bestätigungen</w:t>
      </w:r>
    </w:p>
    <w:p>
      <w:pPr>
        <w:spacing w:after="160" w:before="60"/>
      </w:pPr>
      <w:r>
        <w:rPr>
          <w:rFonts w:ascii="Arial" w:cs="Arial" w:eastAsia="Arial" w:hAnsi="Arial"/>
          <w:sz w:val="20"/>
          <w:szCs w:val="20"/>
        </w:rPr>
        <w:t xml:space="preserve">68 Stellen, an denen wir eine Fundstelle oder einen Absatz als unsicher (!) markiert haben. Es geht nur um die Markierung, nicht um den gesamten Datensatz. Bestätigen Sie, oder tragen Sie die richtige Fundstelle ein.</w:t>
      </w:r>
    </w:p>
    <w:p>
      <w:pPr>
        <w:pStyle w:val="Heading2"/>
        <w:keepNext/>
        <w:spacing w:after="120" w:before="280"/>
      </w:pPr>
      <w:r>
        <w:rPr>
          <w:rFonts w:ascii="Arial" w:cs="Arial" w:eastAsia="Arial" w:hAnsi="Arial"/>
          <w:b/>
          <w:bCs/>
          <w:color w:val="111111"/>
          <w:sz w:val="26"/>
          <w:szCs w:val="26"/>
        </w:rPr>
        <w:t xml:space="preserve">C.1 Anforderungen (24 Datensätze)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5338"/>
        <w:gridCol w:w="2600"/>
      </w:tblGrid>
      <w:tr>
        <w:trPr>
          <w:cantSplit/>
          <w:tblHeader/>
        </w:trPr>
        <w:tc>
          <w:tcPr>
            <w:tcW w:type="dxa" w:w="17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Datensatz</w:t>
            </w:r>
          </w:p>
        </w:tc>
        <w:tc>
          <w:tcPr>
            <w:tcW w:type="dxa" w:w="5338"/>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Offener Punkt (unsere Lesart, Markierung (!))</w:t>
            </w:r>
          </w:p>
        </w:tc>
        <w:tc>
          <w:tcPr>
            <w:tcW w:type="dxa" w:w="26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Entscheidung</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#01</w:t>
            </w:r>
          </w:p>
          <w:p>
            <w:pPr>
              <w:spacing w:after="0" w:before="0"/>
            </w:pPr>
            <w:r>
              <w:rPr>
                <w:rFonts w:ascii="Arial" w:cs="Arial" w:eastAsia="Arial" w:hAnsi="Arial"/>
                <w:color w:val="6B7280"/>
                <w:sz w:val="16"/>
                <w:szCs w:val="16"/>
              </w:rPr>
              <w:t xml:space="preserve">Summengrenzwert Schwermetalle (100 mg/kg)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V2: Die Fortgeltungs-Mechanik der §§ 14–18 (vorprogrammierte Streichung bei Erlass der Design-for-Recycling-Rechtsakte, Mantelgesetz Art. 4) ist anwaltlich noch zu bestätigen.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#01</w:t>
            </w:r>
          </w:p>
          <w:p>
            <w:pPr>
              <w:spacing w:after="0" w:before="0"/>
            </w:pPr>
            <w:r>
              <w:rPr>
                <w:rFonts w:ascii="Arial" w:cs="Arial" w:eastAsia="Arial" w:hAnsi="Arial"/>
                <w:color w:val="6B7280"/>
                <w:sz w:val="16"/>
                <w:szCs w:val="16"/>
              </w:rPr>
              <w:t xml:space="preserve">Summengrenzwert Schwermetalle (100 mg/kg)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V2: Fortgeltungs-Mechanik (Streichung der §§ 14–18 bei Erlass delegierter Rechtsakte</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#04</w:t>
            </w:r>
          </w:p>
          <w:p>
            <w:pPr>
              <w:spacing w:after="0" w:before="0"/>
            </w:pPr>
            <w:r>
              <w:rPr>
                <w:rFonts w:ascii="Arial" w:cs="Arial" w:eastAsia="Arial" w:hAnsi="Arial"/>
                <w:color w:val="6B7280"/>
                <w:sz w:val="16"/>
                <w:szCs w:val="16"/>
              </w:rPr>
              <w:t xml:space="preserve">Konformitätsbewertung (Pflichtverfahren je Verpackungstyp)</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Der Importeur darf Verpackungen nur in Verkehr bringen, wenn das Verfahren durchgeführt wurde (Art. 18 Abs. 1 und 2 PPWR, (!) V1: Absatz-Fundstellen final zu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#04</w:t>
            </w:r>
          </w:p>
          <w:p>
            <w:pPr>
              <w:spacing w:after="0" w:before="0"/>
            </w:pPr>
            <w:r>
              <w:rPr>
                <w:rFonts w:ascii="Arial" w:cs="Arial" w:eastAsia="Arial" w:hAnsi="Arial"/>
                <w:color w:val="6B7280"/>
                <w:sz w:val="16"/>
                <w:szCs w:val="16"/>
              </w:rPr>
              <w:t xml:space="preserve">Konformitätsbewertung (Pflichtverfahren je Verpackungstyp)</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erzeuger: Durchführung (Delegation an Labor/Dienstleister zulässig, Verantwortung bleibt – Art. 15 Abs. 2; Leitfaden Abschn. 2) · importeur: darf nur in Verkehr bringen, wenn Verfahren durchgeführt wurde (Art. 18 Abs. 1/2 (!) V1)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#05</w:t>
            </w:r>
          </w:p>
          <w:p>
            <w:pPr>
              <w:spacing w:after="0" w:before="0"/>
            </w:pPr>
            <w:r>
              <w:rPr>
                <w:rFonts w:ascii="Arial" w:cs="Arial" w:eastAsia="Arial" w:hAnsi="Arial"/>
                <w:color w:val="6B7280"/>
                <w:sz w:val="16"/>
                <w:szCs w:val="16"/>
              </w:rPr>
              <w:t xml:space="preserve">Technische Dokumentation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 Die exakten Absatz-Fundstellen in Art. 15 PPWR für Aufbewahrungsfristen, Importeurs-Bereithaltung und die Vorlagepflicht binnen zehn Tagen (Art. 15 Abs. 10) sind noch final zu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#05</w:t>
            </w:r>
          </w:p>
          <w:p>
            <w:pPr>
              <w:spacing w:after="0" w:before="0"/>
            </w:pPr>
            <w:r>
              <w:rPr>
                <w:rFonts w:ascii="Arial" w:cs="Arial" w:eastAsia="Arial" w:hAnsi="Arial"/>
                <w:color w:val="6B7280"/>
                <w:sz w:val="16"/>
                <w:szCs w:val="16"/>
              </w:rPr>
              <w:t xml:space="preserve">Technische Dokumentation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erzeuger: Erstellung + Aufbewahrung 5 Jahre (Einweg) / 10 Jahre (Mehrweg) ab Inverkehrbringen (!) V1 Absatz-Fundstelle Art. 15 · importeur: Bereithaltung/Kopie (!) V1 · lieferant: Informations-/Unterlagenpflicht an den Erzeuger (Art. 16 Abs. 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#06</w:t>
            </w:r>
          </w:p>
          <w:p>
            <w:pPr>
              <w:spacing w:after="0" w:before="0"/>
            </w:pPr>
            <w:r>
              <w:rPr>
                <w:rFonts w:ascii="Arial" w:cs="Arial" w:eastAsia="Arial" w:hAnsi="Arial"/>
                <w:color w:val="6B7280"/>
                <w:sz w:val="16"/>
                <w:szCs w:val="16"/>
              </w:rPr>
              <w:t xml:space="preserve">EU-Konformitätserklärung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Behörden kontrollieren risikobasiert (Art. 39 Abs. 5 PPWR, (!) V1: Absatz-Pin offen).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#07</w:t>
            </w:r>
          </w:p>
          <w:p>
            <w:pPr>
              <w:spacing w:after="0" w:before="0"/>
            </w:pPr>
            <w:r>
              <w:rPr>
                <w:rFonts w:ascii="Arial" w:cs="Arial" w:eastAsia="Arial" w:hAnsi="Arial"/>
                <w:color w:val="6B7280"/>
                <w:sz w:val="16"/>
                <w:szCs w:val="16"/>
              </w:rPr>
              <w:t xml:space="preserve">Identifikations- und Kontaktkennzeichnung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Abgrenzung: Das harmonisierte Sortierlabel ist ein anderes Regime (Art. 12 PPWR, gilt erst später, siehe Anforderung 19), ebenso die freiwillige Materialkennzeichnung nach § 4 VerpackDG. Der Verstoß ist formal und leicht feststellbar, es drohen Korrektur- und Rückrufpflichten (Art. 15 Abs. 8 PPWR, (!) V1: Pin offen).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#07</w:t>
            </w:r>
          </w:p>
          <w:p>
            <w:pPr>
              <w:spacing w:after="0" w:before="0"/>
            </w:pPr>
            <w:r>
              <w:rPr>
                <w:rFonts w:ascii="Arial" w:cs="Arial" w:eastAsia="Arial" w:hAnsi="Arial"/>
                <w:color w:val="6B7280"/>
                <w:sz w:val="16"/>
                <w:szCs w:val="16"/>
              </w:rPr>
              <w:t xml:space="preserve">Identifikations- und Kontaktkennzeichnung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erzeuger: Anbringung (einmal je Verpackungseinheit ausreichend, Art. 3 Abs. 1 Nr. 45 (!) V1-leicht) · importeur: eigene Angaben zusätzlich (Art. 18 Abs. 3), ohne Erzeugerangaben zu verdecken (!) V1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#11</w:t>
            </w:r>
          </w:p>
          <w:p>
            <w:pPr>
              <w:spacing w:after="0" w:before="0"/>
            </w:pPr>
            <w:r>
              <w:rPr>
                <w:rFonts w:ascii="Arial" w:cs="Arial" w:eastAsia="Arial" w:hAnsi="Arial"/>
                <w:color w:val="6B7280"/>
                <w:sz w:val="16"/>
                <w:szCs w:val="16"/>
              </w:rPr>
              <w:t xml:space="preserve">Recyclingfähigkeit: Grundpflicht Art. 6 Abs. 1 (Übergangsverständnis)</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V3: Die vollständige Ausnahmenliste ist noch gegen den Volltext zu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#11</w:t>
            </w:r>
          </w:p>
          <w:p>
            <w:pPr>
              <w:spacing w:after="0" w:before="0"/>
            </w:pPr>
            <w:r>
              <w:rPr>
                <w:rFonts w:ascii="Arial" w:cs="Arial" w:eastAsia="Arial" w:hAnsi="Arial"/>
                <w:color w:val="6B7280"/>
                <w:sz w:val="16"/>
                <w:szCs w:val="16"/>
              </w:rPr>
              <w:t xml:space="preserve">Recyclingfähigkeit: Grundpflicht Art. 6 Abs. 1 (Übergangsverständnis)</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Liste (!) V3 gegen Volltext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#14</w:t>
            </w:r>
          </w:p>
          <w:p>
            <w:pPr>
              <w:spacing w:after="0" w:before="0"/>
            </w:pPr>
            <w:r>
              <w:rPr>
                <w:rFonts w:ascii="Arial" w:cs="Arial" w:eastAsia="Arial" w:hAnsi="Arial"/>
                <w:color w:val="6B7280"/>
                <w:sz w:val="16"/>
                <w:szCs w:val="16"/>
              </w:rPr>
              <w:t xml:space="preserve">Mindestrezyklatanteile Kunststoff (EU)</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Wichtig für Deutschland: Für PET-Einwegflaschen gilt schon heute eine eigene nationale Quote</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#14</w:t>
            </w:r>
          </w:p>
          <w:p>
            <w:pPr>
              <w:spacing w:after="0" w:before="0"/>
            </w:pPr>
            <w:r>
              <w:rPr>
                <w:rFonts w:ascii="Arial" w:cs="Arial" w:eastAsia="Arial" w:hAnsi="Arial"/>
                <w:color w:val="6B7280"/>
                <w:sz w:val="16"/>
                <w:szCs w:val="16"/>
              </w:rPr>
              <w:t xml:space="preserve">Mindestrezyklatanteile Kunststoff (EU)</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r Recyclingtechnologie je Polymer, Leitfaden Abschn. 7 – unverbindliche Auslegung der EU-Kommission), Kunststoffteile unter 5 % des Gesamtgewichts (Abs. 5 lit. b) sowie die Ausnahmenliste des Abs. 4 ((!) V4: Pin offen).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#14</w:t>
            </w:r>
          </w:p>
          <w:p>
            <w:pPr>
              <w:spacing w:after="0" w:before="0"/>
            </w:pPr>
            <w:r>
              <w:rPr>
                <w:rFonts w:ascii="Arial" w:cs="Arial" w:eastAsia="Arial" w:hAnsi="Arial"/>
                <w:color w:val="6B7280"/>
                <w:sz w:val="16"/>
                <w:szCs w:val="16"/>
              </w:rPr>
              <w:t xml:space="preserve">Mindestrezyklatanteile Kunststoff (EU)</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Ausnahmenliste Abs. 4 (!) V4.</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#14</w:t>
            </w:r>
          </w:p>
          <w:p>
            <w:pPr>
              <w:spacing w:after="0" w:before="0"/>
            </w:pPr>
            <w:r>
              <w:rPr>
                <w:rFonts w:ascii="Arial" w:cs="Arial" w:eastAsia="Arial" w:hAnsi="Arial"/>
                <w:color w:val="6B7280"/>
                <w:sz w:val="16"/>
                <w:szCs w:val="16"/>
              </w:rPr>
              <w:t xml:space="preserve">Mindestrezyklatanteile Kunststoff (EU)</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je Einheit Kunststoffverpackung Mindest-Rezyklatanteile (kontaktempfindlich PET / kontaktempfindlich sonstige / Einweg-Getränkeflaschen / übrige – Prozentwerte 2030/2040 je lit. a–d, Zahlen (!) V4 gegen Volltext pinnen, nicht aus Sekundärquellen übernehmen).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#15</w:t>
            </w:r>
          </w:p>
          <w:p>
            <w:pPr>
              <w:spacing w:after="0" w:before="0"/>
            </w:pPr>
            <w:r>
              <w:rPr>
                <w:rFonts w:ascii="Arial" w:cs="Arial" w:eastAsia="Arial" w:hAnsi="Arial"/>
                <w:color w:val="6B7280"/>
                <w:sz w:val="16"/>
                <w:szCs w:val="16"/>
              </w:rPr>
              <w:t xml:space="preserve">Rezyklatanteil Einweggetränkeflaschen (DE)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F., (!) V5: Kontinuität final zu bestätigen) verlangt: (a) Einweggetränkeflaschen überwiegend aus PET müssen mindestens 25 Masse-Prozent Rezyklat enthalten – je Flasche oder im Jahresmittel des Herstellers mit prüffähiger Dokumentation gegenüber der Landesbehörde (Abs. 3)</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#15</w:t>
            </w:r>
          </w:p>
          <w:p>
            <w:pPr>
              <w:spacing w:after="0" w:before="0"/>
            </w:pPr>
            <w:r>
              <w:rPr>
                <w:rFonts w:ascii="Arial" w:cs="Arial" w:eastAsia="Arial" w:hAnsi="Arial"/>
                <w:color w:val="6B7280"/>
                <w:sz w:val="16"/>
                <w:szCs w:val="16"/>
              </w:rPr>
              <w:t xml:space="preserve">Rezyklatanteil Einweggetränkeflaschen (DE)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nationale SUPD-Umsetzung; läuft PARALLEL zu Art. 7 PPWR (#14) – 2030 gelten beide Regime nebeneinander, jeweils strengster Wert maßgeblich (!) V5 (Konkurrenzverhältnis in Session bestätigen).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#16</w:t>
            </w:r>
          </w:p>
          <w:p>
            <w:pPr>
              <w:spacing w:after="0" w:before="0"/>
            </w:pPr>
            <w:r>
              <w:rPr>
                <w:rFonts w:ascii="Arial" w:cs="Arial" w:eastAsia="Arial" w:hAnsi="Arial"/>
                <w:color w:val="6B7280"/>
                <w:sz w:val="16"/>
                <w:szCs w:val="16"/>
              </w:rPr>
              <w:t xml:space="preserve">Kompostierbare Verpackungen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(Art. 9 Abs. 1 PPWR)</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#16</w:t>
            </w:r>
          </w:p>
          <w:p>
            <w:pPr>
              <w:spacing w:after="0" w:before="0"/>
            </w:pPr>
            <w:r>
              <w:rPr>
                <w:rFonts w:ascii="Arial" w:cs="Arial" w:eastAsia="Arial" w:hAnsi="Arial"/>
                <w:color w:val="6B7280"/>
                <w:sz w:val="16"/>
                <w:szCs w:val="16"/>
              </w:rPr>
              <w:t xml:space="preserve">Kompostierbare Verpackungen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V6: Ob Sticky Labels auf Obst und Gemüse erfasst sind, ist gegen den Volltext zu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#16</w:t>
            </w:r>
          </w:p>
          <w:p>
            <w:pPr>
              <w:spacing w:after="0" w:before="0"/>
            </w:pPr>
            <w:r>
              <w:rPr>
                <w:rFonts w:ascii="Arial" w:cs="Arial" w:eastAsia="Arial" w:hAnsi="Arial"/>
                <w:color w:val="6B7280"/>
                <w:sz w:val="16"/>
                <w:szCs w:val="16"/>
              </w:rPr>
              <w:t xml:space="preserve">Kompostierbare Verpackungen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DE hat von Art. 9 Abs. 2 (zusätzliche Kompostierbarkeits-Gebote) keinen Gebrauch gemacht – im VerpackDG keine entsprechende Anordnung gefunden; als Negativbefund in Session bestätigen (!) V6.</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#16</w:t>
            </w:r>
          </w:p>
          <w:p>
            <w:pPr>
              <w:spacing w:after="0" w:before="0"/>
            </w:pPr>
            <w:r>
              <w:rPr>
                <w:rFonts w:ascii="Arial" w:cs="Arial" w:eastAsia="Arial" w:hAnsi="Arial"/>
                <w:color w:val="6B7280"/>
                <w:sz w:val="16"/>
                <w:szCs w:val="16"/>
              </w:rPr>
              <w:t xml:space="preserve">Kompostierbare Verpackungen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Sticky Labels auf Obst/Gemüse (!) V6 gegen Volltext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#17</w:t>
            </w:r>
          </w:p>
          <w:p>
            <w:pPr>
              <w:spacing w:after="0" w:before="0"/>
            </w:pPr>
            <w:r>
              <w:rPr>
                <w:rFonts w:ascii="Arial" w:cs="Arial" w:eastAsia="Arial" w:hAnsi="Arial"/>
                <w:color w:val="6B7280"/>
                <w:sz w:val="16"/>
                <w:szCs w:val="16"/>
              </w:rPr>
              <w:t xml:space="preserve">Verpackungsminimierung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V7: Die Kommunikationslinie zu dieser Divergenz wird noch abgestimmt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#17</w:t>
            </w:r>
          </w:p>
          <w:p>
            <w:pPr>
              <w:spacing w:after="0" w:before="0"/>
            </w:pPr>
            <w:r>
              <w:rPr>
                <w:rFonts w:ascii="Arial" w:cs="Arial" w:eastAsia="Arial" w:hAnsi="Arial"/>
                <w:color w:val="6B7280"/>
                <w:sz w:val="16"/>
                <w:szCs w:val="16"/>
              </w:rPr>
              <w:t xml:space="preserve">Verpackungsminimierung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Verbraucherakzeptanz als Kriterium – Divergenz zur PPWR ab 2030, (!) V7 Kommunikationslinie abstimmen).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#18</w:t>
            </w:r>
          </w:p>
          <w:p>
            <w:pPr>
              <w:spacing w:after="0" w:before="0"/>
            </w:pPr>
            <w:r>
              <w:rPr>
                <w:rFonts w:ascii="Arial" w:cs="Arial" w:eastAsia="Arial" w:hAnsi="Arial"/>
                <w:color w:val="6B7280"/>
                <w:sz w:val="16"/>
                <w:szCs w:val="16"/>
              </w:rPr>
              <w:t xml:space="preserve">Leerraumquote 50 %</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Polstermaterial zählt als Leerraum – (!) V8: diese Aussage beruht bislang nur auf Leitfaden- und Normbezug und ist gegen den Durchführungsrechtsakt zu prüfen, sobald er erlassen ist.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#18</w:t>
            </w:r>
          </w:p>
          <w:p>
            <w:pPr>
              <w:spacing w:after="0" w:before="0"/>
            </w:pPr>
            <w:r>
              <w:rPr>
                <w:rFonts w:ascii="Arial" w:cs="Arial" w:eastAsia="Arial" w:hAnsi="Arial"/>
                <w:color w:val="6B7280"/>
                <w:sz w:val="16"/>
                <w:szCs w:val="16"/>
              </w:rPr>
              <w:t xml:space="preserve">Leerraumquote 50 %</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Polster zählen als Leerraum (!) V8 gegen Rechtsakt prüfen, sobald erlassen.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#22</w:t>
            </w:r>
          </w:p>
          <w:p>
            <w:pPr>
              <w:spacing w:after="0" w:before="0"/>
            </w:pPr>
            <w:r>
              <w:rPr>
                <w:rFonts w:ascii="Arial" w:cs="Arial" w:eastAsia="Arial" w:hAnsi="Arial"/>
                <w:color w:val="6B7280"/>
                <w:sz w:val="16"/>
                <w:szCs w:val="16"/>
              </w:rPr>
              <w:t xml:space="preserve">EPR-Kennzeichnung nur digital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Ab wann genau das gilt und wie bestehende freiwillige Logos zu behandeln sind, ist noch ungeklärt und wird derzeit anwaltlich geprüft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#22</w:t>
            </w:r>
          </w:p>
          <w:p>
            <w:pPr>
              <w:spacing w:after="0" w:before="0"/>
            </w:pPr>
            <w:r>
              <w:rPr>
                <w:rFonts w:ascii="Arial" w:cs="Arial" w:eastAsia="Arial" w:hAnsi="Arial"/>
                <w:color w:val="6B7280"/>
                <w:sz w:val="16"/>
                <w:szCs w:val="16"/>
              </w:rPr>
              <w:t xml:space="preserve">EPR-Kennzeichnung nur digital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V9: Der Geltungszeitpunkt (sofort ab 12.08.2026 oder erst mit der Fristenkette des Art. 12) und das Verhältnis zu bestehenden freiwilligen Logos (etwa „Grüner Punkt“ als Marke gegenüber der EPR-Aussage) sind ungeklärt und werden in der Verifikationssession geprüft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#22</w:t>
            </w:r>
          </w:p>
          <w:p>
            <w:pPr>
              <w:spacing w:after="0" w:before="0"/>
            </w:pPr>
            <w:r>
              <w:rPr>
                <w:rFonts w:ascii="Arial" w:cs="Arial" w:eastAsia="Arial" w:hAnsi="Arial"/>
                <w:color w:val="6B7280"/>
                <w:sz w:val="16"/>
                <w:szCs w:val="16"/>
              </w:rPr>
              <w:t xml:space="preserve">EPR-Kennzeichnung nur digital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V9: Geltungszeitpunkt (sofort vs</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#23</w:t>
            </w:r>
          </w:p>
          <w:p>
            <w:pPr>
              <w:spacing w:after="0" w:before="0"/>
            </w:pPr>
            <w:r>
              <w:rPr>
                <w:rFonts w:ascii="Arial" w:cs="Arial" w:eastAsia="Arial" w:hAnsi="Arial"/>
                <w:color w:val="6B7280"/>
                <w:sz w:val="16"/>
                <w:szCs w:val="16"/>
              </w:rPr>
              <w:t xml:space="preserve">Umweltaussagen auf Verpackungen (Green Claims)</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Die exakten Fundstellen werden derzeit final geprüft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#23</w:t>
            </w:r>
          </w:p>
          <w:p>
            <w:pPr>
              <w:spacing w:after="0" w:before="0"/>
            </w:pPr>
            <w:r>
              <w:rPr>
                <w:rFonts w:ascii="Arial" w:cs="Arial" w:eastAsia="Arial" w:hAnsi="Arial"/>
                <w:color w:val="6B7280"/>
                <w:sz w:val="16"/>
                <w:szCs w:val="16"/>
              </w:rPr>
              <w:t xml:space="preserve">Umweltaussagen auf Verpackungen (Green Claims)</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V10: Die Artikel- und Absatz-Pins sind noch vollständig gegen den Volltext zu setzen – bis dahin bleibt es im Produkt bei diesem generischen Hinweis.</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#23</w:t>
            </w:r>
          </w:p>
          <w:p>
            <w:pPr>
              <w:spacing w:after="0" w:before="0"/>
            </w:pPr>
            <w:r>
              <w:rPr>
                <w:rFonts w:ascii="Arial" w:cs="Arial" w:eastAsia="Arial" w:hAnsi="Arial"/>
                <w:color w:val="6B7280"/>
                <w:sz w:val="16"/>
                <w:szCs w:val="16"/>
              </w:rPr>
              <w:t xml:space="preserve">Umweltaussagen auf Verpackungen (Green Claims)</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V10: Artikel-/Absatz-Pins vollständig gegen Volltext setzen; bis dahin nur generischer Hinweis im Produkt.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#24</w:t>
            </w:r>
          </w:p>
          <w:p>
            <w:pPr>
              <w:spacing w:after="0" w:before="0"/>
            </w:pPr>
            <w:r>
              <w:rPr>
                <w:rFonts w:ascii="Arial" w:cs="Arial" w:eastAsia="Arial" w:hAnsi="Arial"/>
                <w:color w:val="6B7280"/>
                <w:sz w:val="16"/>
                <w:szCs w:val="16"/>
              </w:rPr>
              <w:t xml:space="preserve">Verpackungsverbote ab 2030 (Anhang V)</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V11: Die vollständige Verbotsliste wird noch 1:1 aus dem Volltext übernommen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#25</w:t>
            </w:r>
          </w:p>
          <w:p>
            <w:pPr>
              <w:spacing w:after="0" w:before="0"/>
            </w:pPr>
            <w:r>
              <w:rPr>
                <w:rFonts w:ascii="Arial" w:cs="Arial" w:eastAsia="Arial" w:hAnsi="Arial"/>
                <w:color w:val="6B7280"/>
                <w:sz w:val="16"/>
                <w:szCs w:val="16"/>
              </w:rPr>
              <w:t xml:space="preserve">Leichte Kunststofftragetaschen (DE-Verbot)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V12: Die Wandstärken-Definition in § 3 VerpackDG und die zugehörige Bußgeld-Nummer in § 66 sind noch zu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#25</w:t>
            </w:r>
          </w:p>
          <w:p>
            <w:pPr>
              <w:spacing w:after="0" w:before="0"/>
            </w:pPr>
            <w:r>
              <w:rPr>
                <w:rFonts w:ascii="Arial" w:cs="Arial" w:eastAsia="Arial" w:hAnsi="Arial"/>
                <w:color w:val="6B7280"/>
                <w:sz w:val="16"/>
                <w:szCs w:val="16"/>
              </w:rPr>
              <w:t xml:space="preserve">Leichte Kunststofftragetaschen (DE-Verbot)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Ausblick: Ab 2030 gilt EU-weit das Anhang-V-Verbot (Anforderung 24) – dann sind auch sehr leichte Tragetaschen betroffen ((!) V11: Listen-Pin offen)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#25</w:t>
            </w:r>
          </w:p>
          <w:p>
            <w:pPr>
              <w:spacing w:after="0" w:before="0"/>
            </w:pPr>
            <w:r>
              <w:rPr>
                <w:rFonts w:ascii="Arial" w:cs="Arial" w:eastAsia="Arial" w:hAnsi="Arial"/>
                <w:color w:val="6B7280"/>
                <w:sz w:val="16"/>
                <w:szCs w:val="16"/>
              </w:rPr>
              <w:t xml:space="preserve">Leichte Kunststofftragetaschen (DE-Verbot)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ab 2030 EU-weit über Anhang V (#24; dann auch sehr leichte Taschen betroffen (!) V11); vorprogrammierte §-Neufassung als Radar-Datensatz R10.</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#27</w:t>
            </w:r>
          </w:p>
          <w:p>
            <w:pPr>
              <w:spacing w:after="0" w:before="0"/>
            </w:pPr>
            <w:r>
              <w:rPr>
                <w:rFonts w:ascii="Arial" w:cs="Arial" w:eastAsia="Arial" w:hAnsi="Arial"/>
                <w:color w:val="6B7280"/>
                <w:sz w:val="16"/>
                <w:szCs w:val="16"/>
              </w:rPr>
              <w:t xml:space="preserve">Mehrwegquoten Transportverpackung 2030</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Ausnahmen: Gefahrgut (RL 2008/68/EG), maßgefertigte Verpackungen für Großmaschinen (mit Dokumentationspflicht, Leitfaden Abschn. 21) und – ausdrücklich – Kartons ((!) V13: Absatz-Fundstelle wird noch gepinnt, Leitfaden Abschn. 27 lit. c bestätigt die Ausnahme)</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#27</w:t>
            </w:r>
          </w:p>
          <w:p>
            <w:pPr>
              <w:spacing w:after="0" w:before="0"/>
            </w:pPr>
            <w:r>
              <w:rPr>
                <w:rFonts w:ascii="Arial" w:cs="Arial" w:eastAsia="Arial" w:hAnsi="Arial"/>
                <w:color w:val="6B7280"/>
                <w:sz w:val="16"/>
                <w:szCs w:val="16"/>
              </w:rPr>
              <w:t xml:space="preserve">Mehrwegquoten Transportverpackung 2030</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Gefahrgut (RL 2008/68/EG), maßgefertigte Verpackung für Großmaschinen (Doku-Pflicht!, Leitfaden Abschn. 21); Kartons ausdrücklich ausgenommen (Fundstelle Absatz (!) V13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#27</w:t>
            </w:r>
          </w:p>
          <w:p>
            <w:pPr>
              <w:spacing w:after="0" w:before="0"/>
            </w:pPr>
            <w:r>
              <w:rPr>
                <w:rFonts w:ascii="Arial" w:cs="Arial" w:eastAsia="Arial" w:hAnsi="Arial"/>
                <w:color w:val="6B7280"/>
                <w:sz w:val="16"/>
                <w:szCs w:val="16"/>
              </w:rPr>
              <w:t xml:space="preserve">Mehrwegquoten Transportverpackung 2030</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Radar-Beobachtung: R11 (Berechnungs-Durchführungsrechtsakt Art. 30 (!)).</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#29</w:t>
            </w:r>
          </w:p>
          <w:p>
            <w:pPr>
              <w:spacing w:after="0" w:before="0"/>
            </w:pPr>
            <w:r>
              <w:rPr>
                <w:rFonts w:ascii="Arial" w:cs="Arial" w:eastAsia="Arial" w:hAnsi="Arial"/>
                <w:color w:val="6B7280"/>
                <w:sz w:val="16"/>
                <w:szCs w:val="16"/>
              </w:rPr>
              <w:t xml:space="preserve">Take-away: Mehrwegangebotspflicht (DE) &amp; EU-Ziel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V12: Die zugehörige Bußgeld-Nummer in § 66 wird noch gepinnt – der kommunale Vollzug ist etabliert, dazu kommt das Abmahnrisiko.</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#29</w:t>
            </w:r>
          </w:p>
          <w:p>
            <w:pPr>
              <w:spacing w:after="0" w:before="0"/>
            </w:pPr>
            <w:r>
              <w:rPr>
                <w:rFonts w:ascii="Arial" w:cs="Arial" w:eastAsia="Arial" w:hAnsi="Arial"/>
                <w:color w:val="6B7280"/>
                <w:sz w:val="16"/>
                <w:szCs w:val="16"/>
              </w:rPr>
              <w:t xml:space="preserve">Take-away: Mehrwegangebotspflicht (DE) &amp; EU-Ziel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V14: Der genaue Zuschnitt der Art. 32/33 wird noch gepinnt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#30</w:t>
            </w:r>
          </w:p>
          <w:p>
            <w:pPr>
              <w:spacing w:after="0" w:before="0"/>
            </w:pPr>
            <w:r>
              <w:rPr>
                <w:rFonts w:ascii="Arial" w:cs="Arial" w:eastAsia="Arial" w:hAnsi="Arial"/>
                <w:color w:val="6B7280"/>
                <w:sz w:val="16"/>
                <w:szCs w:val="16"/>
              </w:rPr>
              <w:t xml:space="preserve">Wiederverwendungssysteme &amp; Wiederbefüllungs-Info</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Anhang VI PPWR ((!) V14: Absatz-Pins offen) müssen Wirtschaftsakteure, die Mehrwegverpackungen verwenden, einem konformen Wiederverwendungssystem nach Anhang VI angehören oder ein solches betreiben (Systemkriterien: Anhang VI Teil A/B)</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#33</w:t>
            </w:r>
          </w:p>
          <w:p>
            <w:pPr>
              <w:spacing w:after="0" w:before="0"/>
            </w:pPr>
            <w:r>
              <w:rPr>
                <w:rFonts w:ascii="Arial" w:cs="Arial" w:eastAsia="Arial" w:hAnsi="Arial"/>
                <w:color w:val="6B7280"/>
                <w:sz w:val="16"/>
                <w:szCs w:val="16"/>
              </w:rPr>
              <w:t xml:space="preserve">Datenmeldungen &amp; Vollständigkeitserklärung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Die genauen Schwellenwerte werden derzeit final geprüft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#33</w:t>
            </w:r>
          </w:p>
          <w:p>
            <w:pPr>
              <w:spacing w:after="0" w:before="0"/>
            </w:pPr>
            <w:r>
              <w:rPr>
                <w:rFonts w:ascii="Arial" w:cs="Arial" w:eastAsia="Arial" w:hAnsi="Arial"/>
                <w:color w:val="6B7280"/>
                <w:sz w:val="16"/>
                <w:szCs w:val="16"/>
              </w:rPr>
              <w:t xml:space="preserve">Datenmeldungen &amp; Vollständigkeitserklärung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V15: Die Schwellenwerte und der Inhalt der Übergangsregel für das Altjahr (§ 68 Abs. 3 VerpackDG) werden noch gepinnt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#33</w:t>
            </w:r>
          </w:p>
          <w:p>
            <w:pPr>
              <w:spacing w:after="0" w:before="0"/>
            </w:pPr>
            <w:r>
              <w:rPr>
                <w:rFonts w:ascii="Arial" w:cs="Arial" w:eastAsia="Arial" w:hAnsi="Arial"/>
                <w:color w:val="6B7280"/>
                <w:sz w:val="16"/>
                <w:szCs w:val="16"/>
              </w:rPr>
              <w:t xml:space="preserve">Datenmeldungen &amp; Vollständigkeitserklärung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Vollständigkeitserklärung bei Überschreiten der Schwellen (§ 10, Schwellenwerte (!) V15 pinnen) bis 15</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#34</w:t>
            </w:r>
          </w:p>
          <w:p>
            <w:pPr>
              <w:spacing w:after="0" w:before="0"/>
            </w:pPr>
            <w:r>
              <w:rPr>
                <w:rFonts w:ascii="Arial" w:cs="Arial" w:eastAsia="Arial" w:hAnsi="Arial"/>
                <w:color w:val="6B7280"/>
                <w:sz w:val="16"/>
                <w:szCs w:val="16"/>
              </w:rPr>
              <w:t xml:space="preserve">Rücknahme &amp; Verwertung nicht systembeteiligungspflichtiger Verpackungen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V15: Die zugehörige Bußgeld-Nummer in § 66 Abs. 1 wird noch gepinnt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#35</w:t>
            </w:r>
          </w:p>
          <w:p>
            <w:pPr>
              <w:spacing w:after="0" w:before="0"/>
            </w:pPr>
            <w:r>
              <w:rPr>
                <w:rFonts w:ascii="Arial" w:cs="Arial" w:eastAsia="Arial" w:hAnsi="Arial"/>
                <w:color w:val="6B7280"/>
                <w:sz w:val="16"/>
                <w:szCs w:val="16"/>
              </w:rPr>
              <w:t xml:space="preserve">Ökomodulation der Beteiligungsentgelte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Art. 8/8a der Abfallrahmenrichtlinie ((!) V16: Zitierweise wird noch sauber gepinnt)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#36</w:t>
            </w:r>
          </w:p>
          <w:p>
            <w:pPr>
              <w:spacing w:after="0" w:before="0"/>
            </w:pPr>
            <w:r>
              <w:rPr>
                <w:rFonts w:ascii="Arial" w:cs="Arial" w:eastAsia="Arial" w:hAnsi="Arial"/>
                <w:color w:val="6B7280"/>
                <w:sz w:val="16"/>
                <w:szCs w:val="16"/>
              </w:rPr>
              <w:t xml:space="preserve">Pfandpflicht Einweggetränke &amp; EINWEG/MEHRWEG-Hinweise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 46, 47 VerpackDG)</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#36</w:t>
            </w:r>
          </w:p>
          <w:p>
            <w:pPr>
              <w:spacing w:after="0" w:before="0"/>
            </w:pPr>
            <w:r>
              <w:rPr>
                <w:rFonts w:ascii="Arial" w:cs="Arial" w:eastAsia="Arial" w:hAnsi="Arial"/>
                <w:color w:val="6B7280"/>
                <w:sz w:val="16"/>
                <w:szCs w:val="16"/>
              </w:rPr>
              <w:t xml:space="preserve">Pfandpflicht Einweggetränke &amp; EINWEG/MEHRWEG-Hinweise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V17: Der Ausnahmenkatalog des § 46 Abs. 4 (unter anderem Milch-Sonderfall, diätetische Getränke) wird noch vollständig übernommen. § 47 VerpackDG verlangt POS-Hinweise EINWEG/MEHRWEG in der Größe der Preisauszeichnung – auch im Fernabsatz, dem häufigsten Abmahnfall.</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#37</w:t>
            </w:r>
          </w:p>
          <w:p>
            <w:pPr>
              <w:spacing w:after="0" w:before="0"/>
            </w:pPr>
            <w:r>
              <w:rPr>
                <w:rFonts w:ascii="Arial" w:cs="Arial" w:eastAsia="Arial" w:hAnsi="Arial"/>
                <w:color w:val="6B7280"/>
                <w:sz w:val="16"/>
                <w:szCs w:val="16"/>
              </w:rPr>
              <w:t xml:space="preserve">Importeurspflichten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Art. 18 PPWR bündelt die Importeurspflichten: Prüfung, dass der Erzeuger Konformitätsbewertung, technische Dokumentation und Kennzeichnung nach Art. 15 Abs. 5/6 erledigt hat, Anbringung der eigenen Kontaktangaben (Abs. 3), Melde- und Korrekturpflichten bei Nichtkonformität sowie die Vorgabe, dass Lager- und Transportbedingungen die Konformität nicht gefährden dürfen ((!) V1: Absatz-Pins offen)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#37</w:t>
            </w:r>
          </w:p>
          <w:p>
            <w:pPr>
              <w:spacing w:after="0" w:before="0"/>
            </w:pPr>
            <w:r>
              <w:rPr>
                <w:rFonts w:ascii="Arial" w:cs="Arial" w:eastAsia="Arial" w:hAnsi="Arial"/>
                <w:color w:val="6B7280"/>
                <w:sz w:val="16"/>
                <w:szCs w:val="16"/>
              </w:rPr>
              <w:t xml:space="preserve">Importeurspflichten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Lager-/Transportbedingungen dürfen Konformität nicht gefährden (Absatz-Pins (!) V1).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#39</w:t>
            </w:r>
          </w:p>
          <w:p>
            <w:pPr>
              <w:spacing w:after="0" w:before="0"/>
            </w:pPr>
            <w:r>
              <w:rPr>
                <w:rFonts w:ascii="Arial" w:cs="Arial" w:eastAsia="Arial" w:hAnsi="Arial"/>
                <w:color w:val="6B7280"/>
                <w:sz w:val="16"/>
                <w:szCs w:val="16"/>
              </w:rPr>
              <w:t xml:space="preserve">Fulfillment-Dienstleister</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Art. 3 UAbs. 3 PPWR (Definition über Art. 3 Nr. 11 der Verordnung (EU) 2019/1020 – (!) U5: der Wortlaut-Pin ist im Rollen-Engine-Paket noch offen) erlaubt Fulfillment-Dienstleistern die Tätigkeit nur für ordnungsgemäß registrierte Hersteller. § 13 Abs. 4 VerpackDG flankiert mit Tätigkeitsverboten für nicht registrierte Hersteller-Kunden und dem ZSVR-Datenabgleich.</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bl>
    <w:p>
      <w:pPr>
        <w:pStyle w:val="Heading2"/>
        <w:keepNext/>
        <w:spacing w:after="120" w:before="280"/>
      </w:pPr>
      <w:r>
        <w:rPr>
          <w:rFonts w:ascii="Arial" w:cs="Arial" w:eastAsia="Arial" w:hAnsi="Arial"/>
          <w:b/>
          <w:bCs/>
          <w:color w:val="111111"/>
          <w:sz w:val="26"/>
          <w:szCs w:val="26"/>
        </w:rPr>
        <w:t xml:space="preserve">C.2 Dokumentvorlagen des Generators (4)</w:t>
      </w:r>
    </w:p>
    <w:p>
      <w:pPr>
        <w:spacing w:after="60" w:before="60"/>
      </w:pPr>
      <w:r>
        <w:rPr>
          <w:rFonts w:ascii="Arial" w:cs="Arial" w:eastAsia="Arial" w:hAnsi="Arial"/>
          <w:sz w:val="19"/>
          <w:szCs w:val="19"/>
        </w:rPr>
        <w:t xml:space="preserve">Die vier Vorlagen folgen wörtlich Anhang VII und VIII PPWR bzw. den freigegebenen Anforderungen. Markiert sind nur die Stellen, an denen Formulierung oder Fundstelle zu bestätigen sind.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5338"/>
        <w:gridCol w:w="2600"/>
      </w:tblGrid>
      <w:tr>
        <w:trPr>
          <w:cantSplit/>
          <w:tblHeader/>
        </w:trPr>
        <w:tc>
          <w:tcPr>
            <w:tcW w:type="dxa" w:w="17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Datensatz</w:t>
            </w:r>
          </w:p>
        </w:tc>
        <w:tc>
          <w:tcPr>
            <w:tcW w:type="dxa" w:w="5338"/>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Offener Punkt (unsere Lesart, Markierung (!))</w:t>
            </w:r>
          </w:p>
        </w:tc>
        <w:tc>
          <w:tcPr>
            <w:tcW w:type="dxa" w:w="26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Entscheidung</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1</w:t>
            </w:r>
          </w:p>
          <w:p>
            <w:pPr>
              <w:spacing w:after="0" w:before="0"/>
            </w:pPr>
            <w:r>
              <w:rPr>
                <w:rFonts w:ascii="Arial" w:cs="Arial" w:eastAsia="Arial" w:hAnsi="Arial"/>
                <w:color w:val="6B7280"/>
                <w:sz w:val="16"/>
                <w:szCs w:val="16"/>
              </w:rPr>
              <w:t xml:space="preserve">EU-Konformitätserklärung (Anhang VIII)</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Adressat: Die Erklärung wird für die Behörden bereitgehalten (Aufbewahrung mit der technischen Dokumentation, Vorlage auf Verlangen – Anhang VII Nr. 4; Art. 15 Abs. 10 PPWR: Vorlage binnen 10 Tagen nach behördlicher Anforderung (!) V1)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1</w:t>
            </w:r>
          </w:p>
          <w:p>
            <w:pPr>
              <w:spacing w:after="0" w:before="0"/>
            </w:pPr>
            <w:r>
              <w:rPr>
                <w:rFonts w:ascii="Arial" w:cs="Arial" w:eastAsia="Arial" w:hAnsi="Arial"/>
                <w:color w:val="6B7280"/>
                <w:sz w:val="16"/>
                <w:szCs w:val="16"/>
              </w:rPr>
              <w:t xml:space="preserve">EU-Konformitätserklärung (Anhang VIII)</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T2: § 62 spricht vom „Hersteller" – gemeint ist nach Systematik der aussteller-verantwortliche Erzeuger i</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1</w:t>
            </w:r>
          </w:p>
          <w:p>
            <w:pPr>
              <w:spacing w:after="0" w:before="0"/>
            </w:pPr>
            <w:r>
              <w:rPr>
                <w:rFonts w:ascii="Arial" w:cs="Arial" w:eastAsia="Arial" w:hAnsi="Arial"/>
                <w:color w:val="6B7280"/>
                <w:sz w:val="16"/>
                <w:szCs w:val="16"/>
              </w:rPr>
              <w:t xml:space="preserve">EU-Konformitätserklärung (Anhang VIII)</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T4: Standard-Formulierung für diesen Fall in Session freigeben.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1</w:t>
            </w:r>
          </w:p>
          <w:p>
            <w:pPr>
              <w:spacing w:after="0" w:before="0"/>
            </w:pPr>
            <w:r>
              <w:rPr>
                <w:rFonts w:ascii="Arial" w:cs="Arial" w:eastAsia="Arial" w:hAnsi="Arial"/>
                <w:color w:val="6B7280"/>
                <w:sz w:val="16"/>
                <w:szCs w:val="16"/>
              </w:rPr>
              <w:t xml:space="preserve">EU-Konformitätserklärung (Anhang VIII)</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ert; eine Konformitätsbewertungspflicht für die Recyclingfähigkeit besteht bis dahin nicht *(Auslegung der EU-Kommission, rechtlich nicht bindend – Leitfaden C(2026) 3702, Abschn. 6; Datensatz #11)*. (!) T3: Ob Art. 6 Abs. 1 in der Erklärung bereits gelistet wird oder bis zu den DfR-Rechtsakten entfällt, in Session entscheiden.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1</w:t>
            </w:r>
          </w:p>
          <w:p>
            <w:pPr>
              <w:spacing w:after="0" w:before="0"/>
            </w:pPr>
            <w:r>
              <w:rPr>
                <w:rFonts w:ascii="Arial" w:cs="Arial" w:eastAsia="Arial" w:hAnsi="Arial"/>
                <w:color w:val="6B7280"/>
                <w:sz w:val="16"/>
                <w:szCs w:val="16"/>
              </w:rPr>
              <w:t xml:space="preserve">EU-Konformitätserklärung (Anhang VIII)</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T1: Anhang VIII enthält im ABl. die Ziffern 1–8 (Signaturblock innerhalb Nr. 8)</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4</w:t>
            </w:r>
          </w:p>
          <w:p>
            <w:pPr>
              <w:spacing w:after="0" w:before="0"/>
            </w:pPr>
            <w:r>
              <w:rPr>
                <w:rFonts w:ascii="Arial" w:cs="Arial" w:eastAsia="Arial" w:hAnsi="Arial"/>
                <w:color w:val="6B7280"/>
                <w:sz w:val="16"/>
                <w:szCs w:val="16"/>
              </w:rPr>
              <w:t xml:space="preserve">Lieferantenanfragen (Art. 16)</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Art. 16 Abs. 1 PPWR. Marker: [VORBEFÜLLT] / [NUTZER-PFLICHT] / [SYSTEM] / (!) wie in Template 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4</w:t>
            </w:r>
          </w:p>
          <w:p>
            <w:pPr>
              <w:spacing w:after="0" w:before="0"/>
            </w:pPr>
            <w:r>
              <w:rPr>
                <w:rFonts w:ascii="Arial" w:cs="Arial" w:eastAsia="Arial" w:hAnsi="Arial"/>
                <w:color w:val="6B7280"/>
                <w:sz w:val="16"/>
                <w:szCs w:val="16"/>
              </w:rPr>
              <w:t xml:space="preserve">Lieferantenanfragen (Art. 16)</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Kleinstunternehmen-Konstellation (Rollen-Engine A3 (!)): Sind SIE Kleinstunternehmen (Stand 11.02.2025) und ist Ihr</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3</w:t>
            </w:r>
          </w:p>
          <w:p>
            <w:pPr>
              <w:spacing w:after="0" w:before="0"/>
            </w:pPr>
            <w:r>
              <w:rPr>
                <w:rFonts w:ascii="Arial" w:cs="Arial" w:eastAsia="Arial" w:hAnsi="Arial"/>
                <w:color w:val="6B7280"/>
                <w:sz w:val="16"/>
                <w:szCs w:val="16"/>
              </w:rPr>
              <w:t xml:space="preserve">Pflichtenübersicht je Produktlinie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Marker: [VORBEFÜLLT] / [NUTZER-PFLICHT] / [SYSTEM] / (!) wie in Template 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3</w:t>
            </w:r>
          </w:p>
          <w:p>
            <w:pPr>
              <w:spacing w:after="0" w:before="0"/>
            </w:pPr>
            <w:r>
              <w:rPr>
                <w:rFonts w:ascii="Arial" w:cs="Arial" w:eastAsia="Arial" w:hAnsi="Arial"/>
                <w:color w:val="6B7280"/>
                <w:sz w:val="16"/>
                <w:szCs w:val="16"/>
              </w:rPr>
              <w:t xml:space="preserve">Pflichtenübersicht je Produktlinie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Offene Rollen-Pins (A3, B1, B3–B6, C1, C4) tragen ihr (!) aus dem Rollen-Paket; bei Eskalation („unklar" in F09)</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3</w:t>
            </w:r>
          </w:p>
          <w:p>
            <w:pPr>
              <w:spacing w:after="0" w:before="0"/>
            </w:pPr>
            <w:r>
              <w:rPr>
                <w:rFonts w:ascii="Arial" w:cs="Arial" w:eastAsia="Arial" w:hAnsi="Arial"/>
                <w:color w:val="6B7280"/>
                <w:sz w:val="16"/>
                <w:szCs w:val="16"/>
              </w:rPr>
              <w:t xml:space="preserve">Pflichtenübersicht je Produktlinie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[SYSTEM] Teile dieser Herleitung stützen sich auf den Leitfaden C(2026) 3702 – Auslegung der EU-Kommission, rechtlich nicht bindend ((!) U7: Standard-Formulierung von Cattwyk freizugeben).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3</w:t>
            </w:r>
          </w:p>
          <w:p>
            <w:pPr>
              <w:spacing w:after="0" w:before="0"/>
            </w:pPr>
            <w:r>
              <w:rPr>
                <w:rFonts w:ascii="Arial" w:cs="Arial" w:eastAsia="Arial" w:hAnsi="Arial"/>
                <w:color w:val="6B7280"/>
                <w:sz w:val="16"/>
                <w:szCs w:val="16"/>
              </w:rPr>
              <w:t xml:space="preserve">Pflichtenübersicht je Produktlinie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Serviceverpackungen: Übertragung auf Vorvertreiber möglich (§ 7 Abs. 2 – Anwendungsbereich (!) U2, in Session).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3</w:t>
            </w:r>
          </w:p>
          <w:p>
            <w:pPr>
              <w:spacing w:after="0" w:before="0"/>
            </w:pPr>
            <w:r>
              <w:rPr>
                <w:rFonts w:ascii="Arial" w:cs="Arial" w:eastAsia="Arial" w:hAnsi="Arial"/>
                <w:color w:val="6B7280"/>
                <w:sz w:val="16"/>
                <w:szCs w:val="16"/>
              </w:rPr>
              <w:t xml:space="preserve">Pflichtenübersicht je Produktlinie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Übergangsregeln für das Meldejahr 2026 in § 68 Abs. 5 ((!) V15: Schwellenwerte § 10 und § 66-Nummern in Session pinnen).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2</w:t>
            </w:r>
          </w:p>
          <w:p>
            <w:pPr>
              <w:spacing w:after="0" w:before="0"/>
            </w:pPr>
            <w:r>
              <w:rPr>
                <w:rFonts w:ascii="Arial" w:cs="Arial" w:eastAsia="Arial" w:hAnsi="Arial"/>
                <w:color w:val="6B7280"/>
                <w:sz w:val="16"/>
                <w:szCs w:val="16"/>
              </w:rPr>
              <w:t xml:space="preserve">Technische Dokumentation (Anhang VII, Gerüst)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Marker: [VORBEFÜLLT] / [NUTZER-PFLICHT] / [SYSTEM] / (!) wie in Template 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2</w:t>
            </w:r>
          </w:p>
          <w:p>
            <w:pPr>
              <w:spacing w:after="0" w:before="0"/>
            </w:pPr>
            <w:r>
              <w:rPr>
                <w:rFonts w:ascii="Arial" w:cs="Arial" w:eastAsia="Arial" w:hAnsi="Arial"/>
                <w:color w:val="6B7280"/>
                <w:sz w:val="16"/>
                <w:szCs w:val="16"/>
              </w:rPr>
              <w:t xml:space="preserve">Technische Dokumentation (Anhang VII, Gerüst)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Ablage mit dieser Dokumentation, Aufbewahrung {{#wenn verpackung.mehrweg}}10 Jahre{{/wenn}}{{#wenn nicht verpackung.mehrweg}}5 Jahre{{/wenn}} ab Inverkehrbringen (Art. 15 Abs. 3 (!) V1)</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2</w:t>
            </w:r>
          </w:p>
          <w:p>
            <w:pPr>
              <w:spacing w:after="0" w:before="0"/>
            </w:pPr>
            <w:r>
              <w:rPr>
                <w:rFonts w:ascii="Arial" w:cs="Arial" w:eastAsia="Arial" w:hAnsi="Arial"/>
                <w:color w:val="6B7280"/>
                <w:sz w:val="16"/>
                <w:szCs w:val="16"/>
              </w:rPr>
              <w:t xml:space="preserve">Technische Dokumentation (Anhang VII, Gerüst)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Maßstab Alt-Recht (Leitfaden Abschn. 6, unverbindlich) (!) T3 | ☐</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2</w:t>
            </w:r>
          </w:p>
          <w:p>
            <w:pPr>
              <w:spacing w:after="0" w:before="0"/>
            </w:pPr>
            <w:r>
              <w:rPr>
                <w:rFonts w:ascii="Arial" w:cs="Arial" w:eastAsia="Arial" w:hAnsi="Arial"/>
                <w:color w:val="6B7280"/>
                <w:sz w:val="16"/>
                <w:szCs w:val="16"/>
              </w:rPr>
              <w:t xml:space="preserve">Technische Dokumentation (Anhang VII, Gerüst)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Hinweis DE-Layer: § 12 Abs. 3 VerpackDG gilt bereits (Divergenz (!) V7).</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Template 2</w:t>
            </w:r>
          </w:p>
          <w:p>
            <w:pPr>
              <w:spacing w:after="0" w:before="0"/>
            </w:pPr>
            <w:r>
              <w:rPr>
                <w:rFonts w:ascii="Arial" w:cs="Arial" w:eastAsia="Arial" w:hAnsi="Arial"/>
                <w:color w:val="6B7280"/>
                <w:sz w:val="16"/>
                <w:szCs w:val="16"/>
              </w:rPr>
              <w:t xml:space="preserve">Technische Dokumentation (Anhang VII, Gerüst)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Rollen-Hinweis (Rollen-Engine A3 (!)): Ist der Auftraggeber ein Kleinstunternehmen (Stand 11.02.2025) und der Verpackungslieferant in demselben Mitgliedstaat ansässig, gilt der LIEFERANT als Erzeuger (Art. 3 Abs. 1 Nr. 13 lit. b</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bl>
    <w:p>
      <w:pPr>
        <w:pStyle w:val="Heading2"/>
        <w:keepNext/>
        <w:spacing w:after="120" w:before="280"/>
      </w:pPr>
      <w:r>
        <w:rPr>
          <w:rFonts w:ascii="Arial" w:cs="Arial" w:eastAsia="Arial" w:hAnsi="Arial"/>
          <w:b/>
          <w:bCs/>
          <w:color w:val="111111"/>
          <w:sz w:val="26"/>
          <w:szCs w:val="26"/>
        </w:rPr>
        <w:t xml:space="preserve">C.3 Glossar: strittige Einordnungen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5338"/>
        <w:gridCol w:w="2600"/>
      </w:tblGrid>
      <w:tr>
        <w:trPr>
          <w:cantSplit/>
          <w:tblHeader/>
        </w:trPr>
        <w:tc>
          <w:tcPr>
            <w:tcW w:type="dxa" w:w="17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Datensatz</w:t>
            </w:r>
          </w:p>
        </w:tc>
        <w:tc>
          <w:tcPr>
            <w:tcW w:type="dxa" w:w="5338"/>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Offener Punkt (unsere Lesart, Markierung (!))</w:t>
            </w:r>
          </w:p>
        </w:tc>
        <w:tc>
          <w:tcPr>
            <w:tcW w:type="dxa" w:w="2600"/>
            <w:shd w:fill="004494" w:color="auto" w:val="clear"/>
            <w:tcMar>
              <w:top w:type="dxa" w:w="60"/>
              <w:left w:type="dxa" w:w="90"/>
              <w:bottom w:type="dxa" w:w="60"/>
              <w:right w:type="dxa" w:w="90"/>
            </w:tcMar>
            <w:vAlign w:val="top"/>
          </w:tcPr>
          <w:p>
            <w:pPr>
              <w:spacing w:after="0" w:before="0"/>
            </w:pPr>
            <w:r>
              <w:rPr>
                <w:rFonts w:ascii="Arial" w:cs="Arial" w:eastAsia="Arial" w:hAnsi="Arial"/>
                <w:b/>
                <w:bCs/>
                <w:color w:val="FFFFFF"/>
                <w:sz w:val="18"/>
                <w:szCs w:val="18"/>
              </w:rPr>
              <w:t xml:space="preserve">Entscheidung</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L03</w:t>
            </w:r>
          </w:p>
          <w:p>
            <w:pPr>
              <w:spacing w:after="0" w:before="0"/>
            </w:pPr>
            <w:r>
              <w:rPr>
                <w:rFonts w:ascii="Arial" w:cs="Arial" w:eastAsia="Arial" w:hAnsi="Arial"/>
                <w:color w:val="6B7280"/>
                <w:sz w:val="16"/>
                <w:szCs w:val="16"/>
              </w:rPr>
              <w:t xml:space="preserve">Stretchfolie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A23/U4: Herstellerrolle bei EU-Auslandsbezug ungeklärt – A23 steht auf nicht_ausspielen — Unsere Einordnung: Transportverpackung aus gedehnter PE-Folie, mit der Palettenladungen stabilisiert werden. Zählt zu den Wickelfolien, die die PPWR den Transportformaten für die Mehrwegquoten zurechnet. Wer die Folie als Befüller einsetzt und woher sie bezogen wird, entscheidet über die Rollenverteilung – der Bezug aus dem EU-Ausland ist ein offener Grenzfall.</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L07</w:t>
            </w:r>
          </w:p>
          <w:p>
            <w:pPr>
              <w:spacing w:after="0" w:before="0"/>
            </w:pPr>
            <w:r>
              <w:rPr>
                <w:rFonts w:ascii="Arial" w:cs="Arial" w:eastAsia="Arial" w:hAnsi="Arial"/>
                <w:color w:val="6B7280"/>
                <w:sz w:val="16"/>
                <w:szCs w:val="16"/>
              </w:rPr>
              <w:t xml:space="preserve">Palette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A23/U4: Zurechnung bei EU-Auslandsbezug offen (wie L03) — Unsere Einordnung: Transportverpackung/Ladungsträger aus Holz oder Kunststoff, in der Praxis fast immer im Mehrweg-Umlauf über Tausch- oder Poolsysteme. Kunststoffpaletten mit hohem Rezyklatanteil sind der Anwendungsfall der deutschen Schwermetall-Ausnahme für geschlossene Kreisläufe. Rollenfragen stellen sich beim Bezug aus dem EU-Ausland.</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L08</w:t>
            </w:r>
          </w:p>
          <w:p>
            <w:pPr>
              <w:spacing w:after="0" w:before="0"/>
            </w:pPr>
            <w:r>
              <w:rPr>
                <w:rFonts w:ascii="Arial" w:cs="Arial" w:eastAsia="Arial" w:hAnsi="Arial"/>
                <w:color w:val="6B7280"/>
                <w:sz w:val="16"/>
                <w:szCs w:val="16"/>
              </w:rPr>
              <w:t xml:space="preserve">Luftpolstertasche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V8: Zählweise von Polstermaterial im Leerraum-Begriff offen — Unsere Einordnung: E-Commerce-Versandverpackung für kleine Waren – klassisch als Papier-Kunststoff-Verbund (Papierhülle mit PE-Luftpolsterfolie), zunehmend als Mono-Papier-Variante. Die feste Materialkombination ist der Knackpunkt fürs Recycling-Design. Ob integriertes Polster als Leerraum zählt, ist eine offene Detailfrage der künftigen Leerraum-Methodik.</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L10</w:t>
            </w:r>
          </w:p>
          <w:p>
            <w:pPr>
              <w:spacing w:after="0" w:before="0"/>
            </w:pPr>
            <w:r>
              <w:rPr>
                <w:rFonts w:ascii="Arial" w:cs="Arial" w:eastAsia="Arial" w:hAnsi="Arial"/>
                <w:color w:val="6B7280"/>
                <w:sz w:val="16"/>
                <w:szCs w:val="16"/>
              </w:rPr>
              <w:t xml:space="preserve">Pizzakarton</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NEU: Ob (PE-)beschichtete Pizzakartons als Einwegkunststoff-Lebensmittelverpackung unter die Mehrwegangebotspflicht (#29) fallen, ist aus den Datensätzen nicht ableitbar → Eskalation Cattwyk — Unsere Einordnung: Faltschachtel aus (Well-)Pappe, die in Pizzeria oder Lieferdienst erst beim Befüllen zum Einsatz kommt – nach der Serviceverpackungs-Logik einzuordnen. Direkter, heißer und fettiger Lebensmittelkontakt: der Klassiker unter den PFAS-Prüf-Fällen bei beschichteten Faserverpackungen.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L11</w:t>
            </w:r>
          </w:p>
          <w:p>
            <w:pPr>
              <w:spacing w:after="0" w:before="0"/>
            </w:pPr>
            <w:r>
              <w:rPr>
                <w:rFonts w:ascii="Arial" w:cs="Arial" w:eastAsia="Arial" w:hAnsi="Arial"/>
                <w:color w:val="6B7280"/>
                <w:sz w:val="16"/>
                <w:szCs w:val="16"/>
              </w:rPr>
              <w:t xml:space="preserve">PET-Einweggetränkeflasche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V4/V5: EU-Quotenwerte und Konkurrenz § 45 ↔ Art. 7 ab 2030 offen (siehe C10) — Unsere Einordnung: Einweg-Getränkeverkaufsverpackung aus PET mit Verschluss (meist HDPE/PP) und Etikett. Doppelt reguliertes Objekt: Rezyklatquote national schon heute, EU-Quoten ab 2030 – und pfandpflichtig im DPG-System. Direkter Lebensmittelkontakt.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L19</w:t>
            </w:r>
          </w:p>
          <w:p>
            <w:pPr>
              <w:spacing w:after="0" w:before="0"/>
            </w:pPr>
            <w:r>
              <w:rPr>
                <w:rFonts w:ascii="Arial" w:cs="Arial" w:eastAsia="Arial" w:hAnsi="Arial"/>
                <w:color w:val="6B7280"/>
                <w:sz w:val="16"/>
                <w:szCs w:val="16"/>
              </w:rPr>
              <w:t xml:space="preserve">Kunststofftragetasche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V12: Wandstärken-Definition (µm-Grenzen) noch gegen § 3 zu pinnen – keine Zahlen ausspielen — Unsere Einordnung: Tragetasche aus Kunststofffolie, rechtlich nach Wandstärke gestaffelt in sehr leichte, leichte und dickere Taschen. Die leichte Variante ist an deutschen Kassen Geschichte; sehr leichte Hemdchenbeutel für lose Lebensmittel sind der verbleibende Standardfall – bis die EU-Verbotsliste 2030 nachzieht.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L21</w:t>
            </w:r>
          </w:p>
          <w:p>
            <w:pPr>
              <w:spacing w:after="0" w:before="0"/>
            </w:pPr>
            <w:r>
              <w:rPr>
                <w:rFonts w:ascii="Arial" w:cs="Arial" w:eastAsia="Arial" w:hAnsi="Arial"/>
                <w:color w:val="6B7280"/>
                <w:sz w:val="16"/>
                <w:szCs w:val="16"/>
              </w:rPr>
              <w:t xml:space="preserve">Obst- und Gemüseschale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V11: Anhang-V-Listendetails (u. a. 1,5-kg-Grenze) vollständig pinnen — Unsere Einordnung: Verkaufsverpackung für Frischobst und -gemüse – als Kunststoffschale (PET/PP), Faserguss-Schale oder Karton-Tray, oft mit Folien-Umwicklung oder Deckelfolie. Einwegkunststoff-Varianten für kleine Frischemengen stehen auf der EU-Verbotsliste ab 2030. Direkter Lebensmittelkontakt.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L22</w:t>
            </w:r>
          </w:p>
          <w:p>
            <w:pPr>
              <w:spacing w:after="0" w:before="0"/>
            </w:pPr>
            <w:r>
              <w:rPr>
                <w:rFonts w:ascii="Arial" w:cs="Arial" w:eastAsia="Arial" w:hAnsi="Arial"/>
                <w:color w:val="6B7280"/>
                <w:sz w:val="16"/>
                <w:szCs w:val="16"/>
              </w:rPr>
              <w:t xml:space="preserve">Kaffeekapsel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V6: Zuordnung fester Kapseln zur Art.-9-Formatliste offen → Cattwyk — Unsere Einordnung: Einzelportionsverpackung für Kaffee aus Aluminium oder Kunststoff, die mit dem Produkt in die Maschine wandert und danach entsorgt wird. Die PPWR behandelt Tee-/Kaffee-Einzelportionseinheiten ausdrücklich als Verpackung; ob und wie feste Kapseln unter die Kompostierbarkeits-Formate fallen, ist eine offene Detailfrage der Formatliste. Direkter Lebensmittelkontakt.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L23</w:t>
            </w:r>
          </w:p>
          <w:p>
            <w:pPr>
              <w:spacing w:after="0" w:before="0"/>
            </w:pPr>
            <w:r>
              <w:rPr>
                <w:rFonts w:ascii="Arial" w:cs="Arial" w:eastAsia="Arial" w:hAnsi="Arial"/>
                <w:color w:val="6B7280"/>
                <w:sz w:val="16"/>
                <w:szCs w:val="16"/>
              </w:rPr>
              <w:t xml:space="preserve">Teebeutel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V6: Art.-9-Formatliste absatzgenau pinnen — Unsere Einordnung: Durchlässige Einzelportionsverpackung für Tee aus Papierfaser oder Kunststoffgewebe. Gehört zu den Formaten, für die ab Februar 2028 industrielle Kompostierbarkeit als Materialvorgabe kommt. Direkter Lebensmittelkontakt.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L32</w:t>
            </w:r>
          </w:p>
          <w:p>
            <w:pPr>
              <w:spacing w:after="0" w:before="0"/>
            </w:pPr>
            <w:r>
              <w:rPr>
                <w:rFonts w:ascii="Arial" w:cs="Arial" w:eastAsia="Arial" w:hAnsi="Arial"/>
                <w:color w:val="6B7280"/>
                <w:sz w:val="16"/>
                <w:szCs w:val="16"/>
              </w:rPr>
              <w:t xml:space="preserve">Wellpappe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V13: Fundstelle der Karton-Ausnahme in Art. 29 noch zu pinnen — Unsere Einordnung: Faserverpackungsmaterial aus glatten Deckenbahnen und gewellter Zwischenlage – das Standardmaterial für Versand-, Um- und Transportverpackungen. Kartons sind bei den Transport-Mehrwegquoten ausdrücklich ausgenommen.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L33</w:t>
            </w:r>
          </w:p>
          <w:p>
            <w:pPr>
              <w:spacing w:after="0" w:before="0"/>
            </w:pPr>
            <w:r>
              <w:rPr>
                <w:rFonts w:ascii="Arial" w:cs="Arial" w:eastAsia="Arial" w:hAnsi="Arial"/>
                <w:color w:val="6B7280"/>
                <w:sz w:val="16"/>
                <w:szCs w:val="16"/>
              </w:rPr>
              <w:t xml:space="preserve">PET</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V4/V5: EU-Quotenwerte je Kategorie noch nicht gepinnt – Zahlen nicht ausspielen — Unsere Einordnung: Kunststoff Nr. 1 der Kennzeichnungssystematik; Standard für Getränkeflaschen, Schalen und Folien. Einziger Kunststoff mit etabliertem Bottle-to-Bottle-Kreislauf und deshalb Dreh- und Angelpunkt der Rezyklatquoten – national heute, EU-weit ab 2030.</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L41</w:t>
            </w:r>
          </w:p>
          <w:p>
            <w:pPr>
              <w:spacing w:after="0" w:before="0"/>
            </w:pPr>
            <w:r>
              <w:rPr>
                <w:rFonts w:ascii="Arial" w:cs="Arial" w:eastAsia="Arial" w:hAnsi="Arial"/>
                <w:color w:val="6B7280"/>
                <w:sz w:val="16"/>
                <w:szCs w:val="16"/>
              </w:rPr>
              <w:t xml:space="preserve">Verbundmaterial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5-%-Kunststoff-Auslegung nur im Leitfaden (unverbindlich) – stets so kennzeichnen — Unsere Einordnung: Verpackungsmaterial aus fest verbundenen, von Hand nicht trennbaren Schichten verschiedener Stoffe – gekennzeichnet mit „C/“ plus Hauptmaterial. Regulatorisch doppelt im Fokus: bei der Recycling-Design-Einstufung und bei der Frage, ab welchem Kunststoffanteil ein Verbund unter die Kunststoff-Verbote fällt.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L43</w:t>
            </w:r>
          </w:p>
          <w:p>
            <w:pPr>
              <w:spacing w:after="0" w:before="0"/>
            </w:pPr>
            <w:r>
              <w:rPr>
                <w:rFonts w:ascii="Arial" w:cs="Arial" w:eastAsia="Arial" w:hAnsi="Arial"/>
                <w:color w:val="6B7280"/>
                <w:sz w:val="16"/>
                <w:szCs w:val="16"/>
              </w:rPr>
              <w:t xml:space="preserve">Kompostierbare Kunststoffe</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V6: DE-Negativbefund zu Art. 9 Abs. 2 anwaltlich bestätigen — Unsere Einordnung: Kunststoffe, die unter industriellen Kompostierbedingungen abbauen (Orientierung: EN 13432). Wichtig: „biobasiert“ (Rohstoffherkunft) und „kompostierbar“ (Entsorgungsweg) sind zwei verschiedene Eigenschaften. Für bestimmte Formate wird Kompostierbarkeit ab 2028 zur Materialvorgabe; Werbeaussagen dazu laufen ins Green-Claims-Thema.</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L44</w:t>
            </w:r>
          </w:p>
          <w:p>
            <w:pPr>
              <w:spacing w:after="0" w:before="0"/>
            </w:pPr>
            <w:r>
              <w:rPr>
                <w:rFonts w:ascii="Arial" w:cs="Arial" w:eastAsia="Arial" w:hAnsi="Arial"/>
                <w:color w:val="6B7280"/>
                <w:sz w:val="16"/>
                <w:szCs w:val="16"/>
              </w:rPr>
              <w:t xml:space="preserve">Holz</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V3: Ausnahmenliste Art. 6 Abs. 11 vollständig pinnen — Unsere Einordnung: Material für Paletten, Kisten und Steigen – überwiegend Transportverpackung im B2B-Umlauf. In der Recyclingfähigkeits-Systematik mit Sonderstatus über die Ausnahmenliste.</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L45</w:t>
            </w:r>
          </w:p>
          <w:p>
            <w:pPr>
              <w:spacing w:after="0" w:before="0"/>
            </w:pPr>
            <w:r>
              <w:rPr>
                <w:rFonts w:ascii="Arial" w:cs="Arial" w:eastAsia="Arial" w:hAnsi="Arial"/>
                <w:color w:val="6B7280"/>
                <w:sz w:val="16"/>
                <w:szCs w:val="16"/>
              </w:rPr>
              <w:t xml:space="preserve">Monomaterial</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Kein Rechtsbegriff – nur als Praxis-Einordnung ausspielen, nicht als Rechtskategorie — Unsere Einordnung: Praxisbegriff – kein Rechtsbegriff – für Verpackungen aus einer einzigen Materialart, das Gegenstück zum Verbund. In der Designpraxis die Standard-Empfehlung Richtung Recyclingfähigkeit und günstigerer Ökomodulation.</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L47</w:t>
            </w:r>
          </w:p>
          <w:p>
            <w:pPr>
              <w:spacing w:after="0" w:before="0"/>
            </w:pPr>
            <w:r>
              <w:rPr>
                <w:rFonts w:ascii="Arial" w:cs="Arial" w:eastAsia="Arial" w:hAnsi="Arial"/>
                <w:color w:val="6B7280"/>
                <w:sz w:val="16"/>
                <w:szCs w:val="16"/>
              </w:rPr>
              <w:t xml:space="preserve">Lohnabfüllung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A02: Lohnfertigungs-Zuordnung ohne Eigentumsübergang in Session bestätigen — Unsere Einordnung: Konstellation, in der ein Dienstleister Produkte im Auftrag und meist unter der Marke des Auftraggebers abfüllt oder verpackt. Für die Rollenverteilung zählt nicht, wer die Maschine bedient, sondern Marke (Konformitätsschiene) und erste Abgabe in die Lieferkette (EPR-Schiene) – die Zuordnung ohne Eigentumsübergang ist ein offener Prüfpunkt.</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L49</w:t>
            </w:r>
          </w:p>
          <w:p>
            <w:pPr>
              <w:spacing w:after="0" w:before="0"/>
            </w:pPr>
            <w:r>
              <w:rPr>
                <w:rFonts w:ascii="Arial" w:cs="Arial" w:eastAsia="Arial" w:hAnsi="Arial"/>
                <w:color w:val="6B7280"/>
                <w:sz w:val="16"/>
                <w:szCs w:val="16"/>
              </w:rPr>
              <w:t xml:space="preserve">Bag-in-Box</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NEU: Einstufung Beutel/Karton als separate Bestandteile (statt Gesamt-Verbund) ist Auslegung → Eskalation Cattwyk — Unsere Einordnung: Verkaufsverpackung aus zwei trennbaren Bestandteilen: flexibler Innenbeutel (Kunststoff-/Alu-Verbund) mit Zapfhahn in einer Kartonumhüllung. Für die Einordnung entscheidend ist die Bestandteil-Logik der PPWR (separat vs. integriert) – der Beutel bleibt dabei selbst ein Verbund-Fall. Lebensmittelkontakt über den Innenbeutel.</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L50</w:t>
            </w:r>
          </w:p>
          <w:p>
            <w:pPr>
              <w:spacing w:after="0" w:before="0"/>
            </w:pPr>
            <w:r>
              <w:rPr>
                <w:rFonts w:ascii="Arial" w:cs="Arial" w:eastAsia="Arial" w:hAnsi="Arial"/>
                <w:color w:val="6B7280"/>
                <w:sz w:val="16"/>
                <w:szCs w:val="16"/>
              </w:rPr>
              <w:t xml:space="preserve">Mogelpackung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V7: Divergenz § 12 Abs. 3 VerpackDG vs. Art. 10 PPWR – Erklärlinie mit Cattwyk abstimmen — Unsere Einordnung: Alltagsbegriff für Verpackungen, die mehr Inhalt suggerieren, als drin ist – etwa durch doppelte Böden, Doppelwände oder viel Luft. Regulatorisch zwei Baustellen: die Verpackungsminimierung (mit ausdrücklichem Scheinvolumen-Verbot ab 2030) und die 50-%-Leerraumquote für Um-, Transport- und Versandverpackungen. Bis 2030 gilt national eine allgemeinere Minimierungsklausel.</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r>
        <w:trPr>
          <w:cantSplit/>
          <w:tblHeader w:val="false"/>
        </w:trPr>
        <w:tc>
          <w:tcPr>
            <w:tcW w:type="dxa" w:w="1700"/>
            <w:tcMar>
              <w:top w:type="dxa" w:w="60"/>
              <w:left w:type="dxa" w:w="90"/>
              <w:bottom w:type="dxa" w:w="60"/>
              <w:right w:type="dxa" w:w="90"/>
            </w:tcMar>
            <w:vAlign w:val="top"/>
          </w:tcPr>
          <w:p>
            <w:pPr>
              <w:spacing w:after="0" w:before="0"/>
            </w:pPr>
            <w:r>
              <w:rPr>
                <w:rFonts w:ascii="Arial" w:cs="Arial" w:eastAsia="Arial" w:hAnsi="Arial"/>
                <w:b/>
                <w:bCs/>
                <w:sz w:val="18"/>
                <w:szCs w:val="18"/>
              </w:rPr>
              <w:t xml:space="preserve">L51</w:t>
            </w:r>
          </w:p>
          <w:p>
            <w:pPr>
              <w:spacing w:after="0" w:before="0"/>
            </w:pPr>
            <w:r>
              <w:rPr>
                <w:rFonts w:ascii="Arial" w:cs="Arial" w:eastAsia="Arial" w:hAnsi="Arial"/>
                <w:color w:val="6B7280"/>
                <w:sz w:val="16"/>
                <w:szCs w:val="16"/>
              </w:rPr>
              <w:t xml:space="preserve">Serviceverpackung</w:t>
            </w:r>
          </w:p>
        </w:tc>
        <w:tc>
          <w:tcPr>
            <w:tcW w:type="dxa" w:w="5338"/>
            <w:tcMar>
              <w:top w:type="dxa" w:w="60"/>
              <w:left w:type="dxa" w:w="90"/>
              <w:bottom w:type="dxa" w:w="60"/>
              <w:right w:type="dxa" w:w="90"/>
            </w:tcMar>
            <w:vAlign w:val="top"/>
          </w:tcPr>
          <w:p>
            <w:pPr>
              <w:spacing w:after="0" w:before="0"/>
            </w:pPr>
            <w:r>
              <w:rPr>
                <w:rFonts w:ascii="Arial" w:cs="Arial" w:eastAsia="Arial" w:hAnsi="Arial"/>
                <w:sz w:val="18"/>
                <w:szCs w:val="18"/>
              </w:rPr>
              <w:t xml:space="preserve">(!) U2/E01: Restanwendungsbereich der Übertragung nach § 7 Abs. 2 offen — Unsere Einordnung: Verpackung, die erst an der Verkaufsstelle befüllt und an den Endkunden abgegeben wird – vom Brötchenbeutel bis zum Ausschankbecher. Besonderheit: Die Herstellerrolle setzt hier an der leeren Verpackung an, was kleine Befüller entlastet; dazu existiert eine eng zugeschnittene Übertragungsoption auf Vorvertreiber.</w:t>
            </w:r>
          </w:p>
        </w:tc>
        <w:tc>
          <w:tcPr>
            <w:tcW w:type="dxa" w:w="2600"/>
            <w:tcMar>
              <w:top w:type="dxa" w:w="60"/>
              <w:left w:type="dxa" w:w="90"/>
              <w:bottom w:type="dxa" w:w="60"/>
              <w:right w:type="dxa" w:w="90"/>
            </w:tcMar>
            <w:vAlign w:val="top"/>
          </w:tcPr>
          <w:p>
            <w:pPr>
              <w:spacing w:after="20" w:before="0"/>
            </w:pPr>
            <w:r>
              <w:rPr>
                <w:rFonts w:ascii="Arial" w:cs="Arial" w:eastAsia="Arial" w:hAnsi="Arial"/>
                <w:sz w:val="18"/>
                <w:szCs w:val="18"/>
              </w:rPr>
              <w:t xml:space="preserve">☐ bestätigt</w:t>
            </w:r>
          </w:p>
          <w:p>
            <w:pPr>
              <w:spacing w:after="20" w:before="0"/>
            </w:pPr>
            <w:r>
              <w:rPr>
                <w:rFonts w:ascii="Arial" w:cs="Arial" w:eastAsia="Arial" w:hAnsi="Arial"/>
                <w:sz w:val="18"/>
                <w:szCs w:val="18"/>
              </w:rPr>
              <w:t xml:space="preserve">☐ korrigieren:</w:t>
            </w:r>
          </w:p>
          <w:p>
            <w:pPr>
              <w:spacing w:after="0" w:before="60"/>
            </w:pPr>
            <w:r>
              <w:rPr>
                <w:rFonts w:ascii="Arial" w:cs="Arial" w:eastAsia="Arial" w:hAnsi="Arial"/>
                <w:sz w:val="20"/>
                <w:szCs w:val="20"/>
              </w:rPr>
              <w:t xml:space="preserve"/>
            </w:r>
          </w:p>
          <w:p>
            <w:pPr>
              <w:spacing w:after="0" w:before="0"/>
            </w:pPr>
            <w:r>
              <w:rPr>
                <w:rFonts w:ascii="Arial" w:cs="Arial" w:eastAsia="Arial" w:hAnsi="Arial"/>
                <w:color w:val="6B7280"/>
                <w:sz w:val="16"/>
                <w:szCs w:val="16"/>
              </w:rPr>
              <w:t xml:space="preserve">________________</w:t>
            </w:r>
          </w:p>
        </w:tc>
      </w:tr>
    </w:tbl>
    <w:p>
      <w:pPr>
        <w:pStyle w:val="Heading1"/>
        <w:pageBreakBefore/>
        <w:spacing w:after="160" w:before="0"/>
      </w:pPr>
      <w:r>
        <w:rPr>
          <w:rFonts w:ascii="Arial" w:cs="Arial" w:eastAsia="Arial" w:hAnsi="Arial"/>
          <w:b/>
          <w:bCs/>
          <w:color w:val="004494"/>
          <w:sz w:val="32"/>
          <w:szCs w:val="32"/>
        </w:rPr>
        <w:t xml:space="preserve">Teil D – Gesamtfreigabe und Rückgabe</w:t>
      </w:r>
    </w:p>
    <w:p>
      <w:pPr>
        <w:spacing w:after="200" w:before="60"/>
      </w:pPr>
      <w:r>
        <w:rPr>
          <w:rFonts w:ascii="Arial" w:cs="Arial" w:eastAsia="Arial" w:hAnsi="Arial"/>
          <w:sz w:val="20"/>
          <w:szCs w:val="20"/>
        </w:rPr>
        <w:t xml:space="preserve">Mit der Gesamtfreigabe bestätigen Sie, dass die in Teil A freigegebenen Blöcke und die in Teil B und C mit „freigeben“ bzw. „bestätigt“ markierten Datensätze im Produkt als „juristisch plausibilisiert durch Cattwyk Rechtsanwaltsgesellschaft“ ausgespielt werden dürfen. Datensätze mit „Ändern“ legen wir Ihnen nach Überarbeitung erneut vor; Datensätze mit „Streichen“ werden nicht ausgespielt.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val="false"/>
        </w:trPr>
        <w:tc>
          <w:tcPr>
            <w:tcW w:type="dxa" w:w="4819"/>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60" w:before="60"/>
            </w:pPr>
            <w:r>
              <w:rPr>
                <w:rFonts w:ascii="Arial" w:cs="Arial" w:eastAsia="Arial" w:hAnsi="Arial"/>
                <w:b/>
                <w:bCs/>
                <w:sz w:val="20"/>
                <w:szCs w:val="20"/>
              </w:rPr>
              <w:t xml:space="preserve">Dr. Julia Hörnig</w:t>
            </w:r>
          </w:p>
          <w:p>
            <w:pPr>
              <w:spacing w:after="400" w:before="60"/>
            </w:pPr>
            <w:r>
              <w:rPr>
                <w:rFonts w:ascii="Arial" w:cs="Arial" w:eastAsia="Arial" w:hAnsi="Arial"/>
                <w:sz w:val="20"/>
                <w:szCs w:val="20"/>
              </w:rPr>
              <w:t xml:space="preserve"/>
            </w:r>
          </w:p>
          <w:p>
            <w:pPr>
              <w:spacing w:after="60" w:before="60"/>
            </w:pPr>
            <w:r>
              <w:rPr>
                <w:rFonts w:ascii="Arial" w:cs="Arial" w:eastAsia="Arial" w:hAnsi="Arial"/>
                <w:color w:val="6B7280"/>
                <w:sz w:val="20"/>
                <w:szCs w:val="20"/>
              </w:rPr>
              <w:t xml:space="preserve">______________________________</w:t>
            </w:r>
          </w:p>
          <w:p>
            <w:pPr>
              <w:spacing w:after="60" w:before="60"/>
            </w:pPr>
            <w:r>
              <w:rPr>
                <w:rFonts w:ascii="Arial" w:cs="Arial" w:eastAsia="Arial" w:hAnsi="Arial"/>
                <w:color w:val="6B7280"/>
                <w:sz w:val="17"/>
                <w:szCs w:val="17"/>
              </w:rPr>
              <w:t xml:space="preserve">Datum, Unterschrift</w:t>
            </w:r>
          </w:p>
        </w:tc>
        <w:tc>
          <w:tcPr>
            <w:tcW w:type="dxa" w:w="4819"/>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60" w:before="60"/>
            </w:pPr>
            <w:r>
              <w:rPr>
                <w:rFonts w:ascii="Arial" w:cs="Arial" w:eastAsia="Arial" w:hAnsi="Arial"/>
                <w:b/>
                <w:bCs/>
                <w:sz w:val="20"/>
                <w:szCs w:val="20"/>
              </w:rPr>
              <w:t xml:space="preserve">Franziska Kaiser</w:t>
            </w:r>
          </w:p>
          <w:p>
            <w:pPr>
              <w:spacing w:after="400" w:before="60"/>
            </w:pPr>
            <w:r>
              <w:rPr>
                <w:rFonts w:ascii="Arial" w:cs="Arial" w:eastAsia="Arial" w:hAnsi="Arial"/>
                <w:sz w:val="20"/>
                <w:szCs w:val="20"/>
              </w:rPr>
              <w:t xml:space="preserve"/>
            </w:r>
          </w:p>
          <w:p>
            <w:pPr>
              <w:spacing w:after="60" w:before="60"/>
            </w:pPr>
            <w:r>
              <w:rPr>
                <w:rFonts w:ascii="Arial" w:cs="Arial" w:eastAsia="Arial" w:hAnsi="Arial"/>
                <w:color w:val="6B7280"/>
                <w:sz w:val="20"/>
                <w:szCs w:val="20"/>
              </w:rPr>
              <w:t xml:space="preserve">______________________________</w:t>
            </w:r>
          </w:p>
          <w:p>
            <w:pPr>
              <w:spacing w:after="60" w:before="60"/>
            </w:pPr>
            <w:r>
              <w:rPr>
                <w:rFonts w:ascii="Arial" w:cs="Arial" w:eastAsia="Arial" w:hAnsi="Arial"/>
                <w:color w:val="6B7280"/>
                <w:sz w:val="17"/>
                <w:szCs w:val="17"/>
              </w:rPr>
              <w:t xml:space="preserve">Datum, Unterschrift</w:t>
            </w:r>
          </w:p>
        </w:tc>
      </w:tr>
    </w:tbl>
    <w:p>
      <w:pPr>
        <w:pStyle w:val="Heading2"/>
        <w:keepNext/>
        <w:spacing w:after="120" w:before="280"/>
      </w:pPr>
      <w:r>
        <w:rPr>
          <w:rFonts w:ascii="Arial" w:cs="Arial" w:eastAsia="Arial" w:hAnsi="Arial"/>
          <w:b/>
          <w:bCs/>
          <w:color w:val="111111"/>
          <w:sz w:val="26"/>
          <w:szCs w:val="26"/>
        </w:rPr>
        <w:t xml:space="preserve">Rückgabe</w:t>
      </w:r>
    </w:p>
    <w:p>
      <w:pPr>
        <w:pStyle w:val="ListParagraph"/>
        <w:numPr>
          <w:ilvl w:val="0"/>
          <w:numId w:val="2"/>
        </w:numPr>
        <w:spacing w:after="30" w:before="30"/>
      </w:pPr>
      <w:r>
        <w:rPr>
          <w:rFonts w:ascii="Arial" w:cs="Arial" w:eastAsia="Arial" w:hAnsi="Arial"/>
          <w:sz w:val="20"/>
          <w:szCs w:val="20"/>
        </w:rPr>
        <w:t xml:space="preserve">Per E-Mail an Jan Malte Andresen (ausgefülltes Word, kommentiertes PDF oder Scan).</w:t>
      </w:r>
    </w:p>
    <w:p>
      <w:pPr>
        <w:pStyle w:val="ListParagraph"/>
        <w:numPr>
          <w:ilvl w:val="0"/>
          <w:numId w:val="2"/>
        </w:numPr>
        <w:spacing w:after="30" w:before="30"/>
      </w:pPr>
      <w:r>
        <w:rPr>
          <w:rFonts w:ascii="Arial" w:cs="Arial" w:eastAsia="Arial" w:hAnsi="Arial"/>
          <w:sz w:val="20"/>
          <w:szCs w:val="20"/>
        </w:rPr>
        <w:t xml:space="preserve">Oder in der gemeinsamen Videosession (90 Minuten); dort setzen wir die Entscheidungen direkt im System.</w:t>
      </w:r>
    </w:p>
    <w:p>
      <w:pPr>
        <w:pStyle w:val="ListParagraph"/>
        <w:numPr>
          <w:ilvl w:val="0"/>
          <w:numId w:val="2"/>
        </w:numPr>
        <w:spacing w:after="30" w:before="30"/>
      </w:pPr>
      <w:r>
        <w:rPr>
          <w:rFonts w:ascii="Arial" w:cs="Arial" w:eastAsia="Arial" w:hAnsi="Arial"/>
          <w:sz w:val="20"/>
          <w:szCs w:val="20"/>
        </w:rPr>
        <w:t xml:space="preserve">Nach Eingang übernehmen wir die Entscheidungen anhand der Codes, protokollieren den Freigabestand mit Datum und senden Ihnen die Liste der geänderten Datensätze zur Gegenkontrolle.</w:t>
      </w:r>
    </w:p>
    <w:p>
      <w:pPr>
        <w:pStyle w:val="Heading2"/>
        <w:keepNext/>
        <w:spacing w:after="120" w:before="280"/>
      </w:pPr>
      <w:r>
        <w:rPr>
          <w:rFonts w:ascii="Arial" w:cs="Arial" w:eastAsia="Arial" w:hAnsi="Arial"/>
          <w:b/>
          <w:bCs/>
          <w:color w:val="111111"/>
          <w:sz w:val="26"/>
          <w:szCs w:val="26"/>
        </w:rPr>
        <w:t xml:space="preserve">Anmerkungen (frei)</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p>
      <w:pPr>
        <w:spacing w:after="0" w:before="120"/>
      </w:pPr>
      <w:r>
        <w:rPr>
          <w:rFonts w:ascii="Arial" w:cs="Arial" w:eastAsia="Arial" w:hAnsi="Arial"/>
          <w:color w:val="6B7280"/>
          <w:sz w:val="20"/>
          <w:szCs w:val="20"/>
        </w:rPr>
        <w:t xml:space="preserve">______________________________________________________________________________________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Seite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von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A27F" w:sz="4" w:space="4"/>
      </w:pBdr>
    </w:pPr>
    <w:r>
      <w:rPr>
        <w:rFonts w:ascii="Arial" w:cs="Arial" w:eastAsia="Arial" w:hAnsi="Arial"/>
        <w:color w:val="6B7280"/>
        <w:sz w:val="16"/>
        <w:szCs w:val="16"/>
      </w:rPr>
      <w:t xml:space="preserve">PPWR Radar – by packaging journal · Prüfpaket Cattwyk · Rechtsstand 30.10.2026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Prüfpaket Cattwyk – PPWR Radar – Rechtsstand 30.10.2026</dc:title>
  <dc:creator>PPWR Radar – packaging journal</dc:creator>
  <cp:lastModifiedBy>Un-named</cp:lastModifiedBy>
  <cp:revision>1</cp:revision>
  <dcterms:created xsi:type="dcterms:W3CDTF">2026-10-30T16:01:11.521Z</dcterms:created>
  <dcterms:modified xsi:type="dcterms:W3CDTF">2026-10-30T16:01:11.526Z</dcterms:modified>
</cp:coreProperties>
</file>

<file path=docProps/custom.xml><?xml version="1.0" encoding="utf-8"?>
<Properties xmlns="http://schemas.openxmlformats.org/officeDocument/2006/custom-properties" xmlns:vt="http://schemas.openxmlformats.org/officeDocument/2006/docPropsVTypes"/>
</file>