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24A27F"/>
          <w:sz w:val="22"/>
          <w:szCs w:val="22"/>
        </w:rPr>
        <w:t xml:space="preserve">PPWR Radar – by packaging journal</w:t>
      </w:r>
    </w:p>
    <w:p>
      <w:pPr>
        <w:spacing w:after="120" w:before="40"/>
      </w:pPr>
      <w:r>
        <w:rPr>
          <w:rFonts w:ascii="Arial" w:cs="Arial" w:eastAsia="Arial" w:hAnsi="Arial"/>
          <w:b/>
          <w:bCs/>
          <w:color w:val="004494"/>
          <w:sz w:val="36"/>
          <w:szCs w:val="36"/>
        </w:rPr>
        <w:t xml:space="preserve">Anhang zum Prüfpaket: Volltexte der Wissensbasis</w:t>
      </w:r>
    </w:p>
    <w:p>
      <w:pPr>
        <w:spacing w:after="400" w:before="40"/>
      </w:pPr>
      <w:r>
        <w:rPr>
          <w:rFonts w:ascii="Arial" w:cs="Arial" w:eastAsia="Arial" w:hAnsi="Arial"/>
          <w:sz w:val="22"/>
          <w:szCs w:val="22"/>
        </w:rPr>
        <w:t xml:space="preserve">Rechtsstand 30.10.2026 · Nachschlagewerk zu Teil A–C, gleiche Codes</w:t>
      </w:r>
    </w:p>
    <w:p>
      <w:pPr>
        <w:spacing w:after="200" w:before="40"/>
      </w:pPr>
      <w:r>
        <w:rPr>
          <w:rFonts w:ascii="Arial" w:cs="Arial" w:eastAsia="Arial" w:hAnsi="Arial"/>
          <w:sz w:val="19"/>
          <w:szCs w:val="19"/>
        </w:rPr>
        <w:t xml:space="preserve">Dieser Anhang enthält jeden Datensatz vollständig, so wie er in der Datenbank steht und – nach Freigabe – im Produkt ausgespielt wird. Er ist zum Nachschlagen gedacht: Teil A des Prüfpakets zeigt je Datensatz nur die Kernaussage; wer einen Datensatz genauer sehen will, findet ihn hier unter demselben Code. Status aller Datensätze: Entwurf, noch nicht ausgespielt.</w:t>
      </w:r>
    </w:p>
    <w:p>
      <w:pPr>
        <w:spacing w:after="60" w:before="40"/>
      </w:pPr>
      <w:r>
        <w:rPr>
          <w:rFonts w:ascii="Arial" w:cs="Arial" w:eastAsia="Arial" w:hAnsi="Arial"/>
          <w:b/>
          <w:bCs/>
          <w:sz w:val="22"/>
          <w:szCs w:val="22"/>
        </w:rPr>
        <w:t xml:space="preserve">Inhalt</w:t>
      </w:r>
    </w:p>
    <w:p>
      <w:pPr>
        <w:spacing w:after="80" w:before="40"/>
      </w:pPr>
      <w:r>
        <w:rPr>
          <w:rFonts w:ascii="Arial" w:cs="Arial" w:eastAsia="Arial" w:hAnsi="Arial"/>
          <w:sz w:val="19"/>
          <w:szCs w:val="19"/>
        </w:rPr>
        <w:t xml:space="preserve">1. Anforderungen #01–#40 (40) · 2. Praxisfragen A/B/C (78) · 3. Rollen-Definitionen (13) · 4. Regeln der Rollen-Engine (23) · 5. Vereinfachungs-Hinweise H01–H08 (8) · 6. Glossar (67) · 7. Onboarding-Fragebogen (13). Die vier Dokumentvorlagen stehen im Prüfpaket, Teil B.5.</w:t>
      </w:r>
    </w:p>
    <w:p>
      <w:pPr>
        <w:pStyle w:val="Heading1"/>
        <w:pageBreakBefore/>
        <w:spacing w:after="160" w:before="0"/>
      </w:pPr>
      <w:r>
        <w:rPr>
          <w:rFonts w:ascii="Arial" w:cs="Arial" w:eastAsia="Arial" w:hAnsi="Arial"/>
          <w:b/>
          <w:bCs/>
          <w:color w:val="004494"/>
          <w:sz w:val="30"/>
          <w:szCs w:val="30"/>
        </w:rPr>
        <w:t xml:space="preserve">1. Anforderungen (40)</w:t>
      </w:r>
    </w:p>
    <w:p>
      <w:pPr>
        <w:keepNext/>
        <w:pBdr>
          <w:top w:val="single" w:color="24A27F" w:sz="4" w:space="4"/>
        </w:pBdr>
        <w:spacing w:after="40" w:before="260"/>
      </w:pPr>
      <w:r>
        <w:rPr>
          <w:rFonts w:ascii="Arial" w:cs="Arial" w:eastAsia="Arial" w:hAnsi="Arial"/>
          <w:b/>
          <w:bCs/>
          <w:color w:val="004494"/>
          <w:sz w:val="22"/>
          <w:szCs w:val="22"/>
        </w:rPr>
        <w:t xml:space="preserve">#01  </w:t>
      </w:r>
      <w:r>
        <w:rPr>
          <w:rFonts w:ascii="Arial" w:cs="Arial" w:eastAsia="Arial" w:hAnsi="Arial"/>
          <w:b/>
          <w:bCs/>
          <w:sz w:val="22"/>
          <w:szCs w:val="22"/>
        </w:rPr>
        <w:t xml:space="preserve">Summengrenzwert Schwermetalle (100 mg/kg)</w:t>
      </w:r>
    </w:p>
    <w:p>
      <w:pPr>
        <w:spacing w:after="60" w:before="0"/>
      </w:pPr>
      <w:r>
        <w:rPr>
          <w:rFonts w:ascii="Arial" w:cs="Arial" w:eastAsia="Arial" w:hAnsi="Arial"/>
          <w:color w:val="6B7280"/>
          <w:sz w:val="16"/>
          <w:szCs w:val="16"/>
        </w:rPr>
        <w:t xml:space="preserve">Stoffrecht · gilt seit 2026-08-12 · Rechtsquelle: Art. 5 Abs. 4 PPWR; §§ 14–18 VerpackDG · Rechtsstand 2026-10-17 · Version 5 · betrifft Rollen: erzeuger; importeur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Die Summe von Blei, Cadmium, Quecksilber und Chrom VI muss in jeder Verpackung und jedem Verpackungsbestandteil unter 100 mg/kg bleiben – sonst darf sie nicht in Verkehr gebracht werden. Die Pflicht trifft vor allem Erzeuger und Importeure, der Grenzwert galt so schon nach altem Recht. Für Kunststoffkästen und -paletten im geschlossenen Kreislauf sowie für Glas gibt es deutsche Ausnahmen. (Art. 5 Abs. 4 PPWR)</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Art. 5 Abs. 4 PPWR begrenzt die Summe der Konzentrationen von Blei, Cadmium, Quecksilber und Chrom VI in Verpackungen und Verpackungsbestandteilen auf unter 100 mg/kg. Der Erzeuger darf nicht konforme Verpackungen nicht in Verkehr bringen (Art. 15 Abs. 1 PPWR) und führt den Nachweis in der technischen Dokumentation (Anhang VII). Den Importeur trifft eine Prüf- und Stichprobenpflicht (Art. 18 Abs. 1 PPWR), den Vertreiber eine Sorgfaltspflicht (Art. 19 PPWR).</w:t>
      </w:r>
    </w:p>
    <w:p>
      <w:pPr>
        <w:spacing w:after="40" w:before="0"/>
      </w:pPr>
      <w:r>
        <w:rPr>
          <w:rFonts w:ascii="Arial" w:cs="Arial" w:eastAsia="Arial" w:hAnsi="Arial"/>
          <w:sz w:val="18"/>
          <w:szCs w:val="18"/>
        </w:rPr>
        <w:t xml:space="preserve">Doppel-Layer Deutschland: §§ 14–16 VerpackDG nehmen Kunststoffkästen und -paletten im geschlossenen, kontrollierten Kreislauf mit Bestandserfassung aus, wenn die Überschreitung ausschließlich rezyklatbedingt ist und der Fremdmaterialanteil 20 % nicht übersteigt. §§ 17–18 VerpackDG erlauben bei Glasverpackungen eine rezyklatbedingte Überschreitung bis kumulativ 250 mg/kg ohne bewusste Zugabe, mit Kontrollregime nach § 18. Beide Ausnahmen tragen nur für den deutschen Markt. (!) V2: Die Fortgeltungs-Mechanik der §§ 14–18 (vorprogrammierte Streichung bei Erlass der Design-for-Recycling-Rechtsakte, Mantelgesetz Art. 4) ist anwaltlich noch zu bestätigen.</w:t>
      </w:r>
    </w:p>
    <w:p>
      <w:pPr>
        <w:spacing w:after="40" w:before="0"/>
      </w:pPr>
      <w:r>
        <w:rPr>
          <w:rFonts w:ascii="Arial" w:cs="Arial" w:eastAsia="Arial" w:hAnsi="Arial"/>
          <w:sz w:val="18"/>
          <w:szCs w:val="18"/>
        </w:rPr>
        <w:t xml:space="preserve">Rechtsfolge bei Verstoß: Vertriebsverbot für Verpackung und verpacktes Produkt, Marktüberwachung nach Art. 58 ff. PPWR. Bußgelder nach § 66 Abs. 2 VerpackDG greifen wegen des Moratoriums in § 68 Abs. 17 VerpackDG erst ab dem 12.02.2027.</w:t>
      </w:r>
    </w:p>
    <w:p>
      <w:pPr>
        <w:spacing w:after="20" w:before="60"/>
      </w:pPr>
      <w:r>
        <w:rPr>
          <w:rFonts w:ascii="Arial" w:cs="Arial" w:eastAsia="Arial" w:hAnsi="Arial"/>
          <w:b/>
          <w:bCs/>
          <w:sz w:val="18"/>
          <w:szCs w:val="18"/>
        </w:rPr>
        <w:t xml:space="preserve">Erklärung (Rechtstext):</w:t>
      </w:r>
    </w:p>
    <w:p>
      <w:pPr>
        <w:spacing w:after="40" w:before="0"/>
      </w:pPr>
      <w:r>
        <w:rPr>
          <w:rFonts w:ascii="Arial" w:cs="Arial" w:eastAsia="Arial" w:hAnsi="Arial"/>
          <w:sz w:val="18"/>
          <w:szCs w:val="18"/>
        </w:rPr>
        <w:t xml:space="preserve">Nach Art. 5 Abs. 4 PPWR darf die Summe der Konzentrationen von Blei, Cadmium, Quecksilber und sechswertigem Chrom in Verpackungen oder Verpackungsbestandteilen 100 mg/kg nicht überschreiten. Art. 15 Abs. 1 PPWR verpflichtet den Erzeuger, nur Verpackungen in Verkehr zu bringen, die den Anforderungen der Verordnung entsprechen. Die §§ 14 und 17 VerpackDG nehmen – unter wörtlicher Bezugnahme auf „Artikel 5 Absatz 4“ – Kunststoffkästen und Kunststoffpaletten in geschlossenen, kontrollierten Kreisläufen (§§ 14–16 VerpackDG) sowie Glasverpackungen mit rezyklatbedingter Überschreitung bis kumulativ 250 mg/kg (§§ 17–18 VerpackDG) unter den dort geregelten Voraussetzungen von der Grenzwertbindung aus.</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Verpackung ODER Verpackungsbestandteil wird in Verkehr gebracht UND Summe der Konzentrationen von Blei, Cadmium, Quecksilber, Chrom VI ≥ 100 mg/kg.</w:t>
      </w:r>
    </w:p>
    <w:p>
      <w:pPr>
        <w:spacing w:after="20" w:before="60"/>
      </w:pPr>
      <w:r>
        <w:rPr>
          <w:rFonts w:ascii="Arial" w:cs="Arial" w:eastAsia="Arial" w:hAnsi="Arial"/>
          <w:b/>
          <w:bCs/>
          <w:sz w:val="18"/>
          <w:szCs w:val="18"/>
        </w:rPr>
        <w:t xml:space="preserve">Rechtsfolgen je Rolle:</w:t>
      </w:r>
    </w:p>
    <w:p>
      <w:pPr>
        <w:spacing w:after="40" w:before="0"/>
      </w:pPr>
      <w:r>
        <w:rPr>
          <w:rFonts w:ascii="Arial" w:cs="Arial" w:eastAsia="Arial" w:hAnsi="Arial"/>
          <w:sz w:val="18"/>
          <w:szCs w:val="18"/>
        </w:rPr>
        <w:t xml:space="preserve">erzeuger: darf nicht in Verkehr bringen (Art. 15 Abs. 1); Nachweis in technischer Doku (Anhang VII)</w:t>
      </w:r>
    </w:p>
    <w:p>
      <w:pPr>
        <w:spacing w:after="40" w:before="0"/>
      </w:pPr>
      <w:r>
        <w:rPr>
          <w:rFonts w:ascii="Arial" w:cs="Arial" w:eastAsia="Arial" w:hAnsi="Arial"/>
          <w:sz w:val="18"/>
          <w:szCs w:val="18"/>
        </w:rPr>
        <w:t xml:space="preserve">importeur: Prüf-/Stichprobenpflicht (Art. 18 Abs. 1)</w:t>
      </w:r>
    </w:p>
    <w:p>
      <w:pPr>
        <w:spacing w:after="40" w:before="0"/>
      </w:pPr>
      <w:r>
        <w:rPr>
          <w:rFonts w:ascii="Arial" w:cs="Arial" w:eastAsia="Arial" w:hAnsi="Arial"/>
          <w:sz w:val="18"/>
          <w:szCs w:val="18"/>
        </w:rPr>
        <w:t xml:space="preserve">vertreiber: Sorgfaltspflicht (Art. 19)</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Lieferantenbestätigungen/Prüfberichte je Bestandteil einholen → technische Doku; bei Kästen/Paletten/Glas prüfen, ob die deutsche Ausnahme trägt (nur DE-Markt!).</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Vertriebsverbot Verpackung + verpacktes Produkt; Marktüberwachung Art. 58 ff.; Bußgeld § 66 Abs. 2 VerpackDG (ab 12.02.2027, § 68 Abs. 17).</w:t>
      </w:r>
    </w:p>
    <w:p>
      <w:pPr>
        <w:spacing w:after="20" w:before="60"/>
      </w:pPr>
      <w:r>
        <w:rPr>
          <w:rFonts w:ascii="Arial" w:cs="Arial" w:eastAsia="Arial" w:hAnsi="Arial"/>
          <w:b/>
          <w:bCs/>
          <w:sz w:val="18"/>
          <w:szCs w:val="18"/>
        </w:rPr>
        <w:t xml:space="preserve">Ausnahmen:</w:t>
      </w:r>
    </w:p>
    <w:p>
      <w:pPr>
        <w:spacing w:after="40" w:before="0"/>
      </w:pPr>
      <w:r>
        <w:rPr>
          <w:rFonts w:ascii="Arial" w:cs="Arial" w:eastAsia="Arial" w:hAnsi="Arial"/>
          <w:sz w:val="18"/>
          <w:szCs w:val="18"/>
        </w:rPr>
        <w:t xml:space="preserve">§§ 14–16 VerpackDG: Kunststoffkästen/-paletten im geschlossenen, kontrollierten Kreislauf mit Bestandserfassung (Überschreitung nur rezyklatbedingt, Fremdmaterial ≤ 20 %); §§ 17–18: Glasverpackungen bis kumulativ 250 mg/kg bei rezyklatbedingter Überschreitung ohne bewusste Zugabe, mit Kontrollregime § 18. (!) V2: Fortgeltungs-Mechanik (Streichung der §§ 14–18 bei Erlass delegierter Rechtsakte; Art.-70-Abs.-3-Bezug lt. Mantelgesetz Art. 4) in Session bestätigen.</w:t>
      </w:r>
    </w:p>
    <w:p>
      <w:pPr>
        <w:spacing w:after="20" w:before="60"/>
      </w:pPr>
      <w:r>
        <w:rPr>
          <w:rFonts w:ascii="Arial" w:cs="Arial" w:eastAsia="Arial" w:hAnsi="Arial"/>
          <w:b/>
          <w:bCs/>
          <w:sz w:val="18"/>
          <w:szCs w:val="18"/>
        </w:rPr>
        <w:t xml:space="preserve">Übergangsregeln:</w:t>
      </w:r>
    </w:p>
    <w:p>
      <w:pPr>
        <w:spacing w:after="40" w:before="0"/>
      </w:pPr>
      <w:r>
        <w:rPr>
          <w:rFonts w:ascii="Arial" w:cs="Arial" w:eastAsia="Arial" w:hAnsi="Arial"/>
          <w:sz w:val="18"/>
          <w:szCs w:val="18"/>
        </w:rPr>
        <w:t xml:space="preserve">keine (Grenzwert galt bereits nach Alt-Recht).</w:t>
      </w:r>
    </w:p>
    <w:p>
      <w:pPr>
        <w:keepNext/>
        <w:pBdr>
          <w:top w:val="single" w:color="24A27F" w:sz="4" w:space="4"/>
        </w:pBdr>
        <w:spacing w:after="40" w:before="260"/>
      </w:pPr>
      <w:r>
        <w:rPr>
          <w:rFonts w:ascii="Arial" w:cs="Arial" w:eastAsia="Arial" w:hAnsi="Arial"/>
          <w:b/>
          <w:bCs/>
          <w:color w:val="004494"/>
          <w:sz w:val="22"/>
          <w:szCs w:val="22"/>
        </w:rPr>
        <w:t xml:space="preserve">#02  </w:t>
      </w:r>
      <w:r>
        <w:rPr>
          <w:rFonts w:ascii="Arial" w:cs="Arial" w:eastAsia="Arial" w:hAnsi="Arial"/>
          <w:b/>
          <w:bCs/>
          <w:sz w:val="22"/>
          <w:szCs w:val="22"/>
        </w:rPr>
        <w:t xml:space="preserve">PFAS-Grenzwerte bei Lebensmittelkontakt</w:t>
      </w:r>
    </w:p>
    <w:p>
      <w:pPr>
        <w:spacing w:after="60" w:before="0"/>
      </w:pPr>
      <w:r>
        <w:rPr>
          <w:rFonts w:ascii="Arial" w:cs="Arial" w:eastAsia="Arial" w:hAnsi="Arial"/>
          <w:color w:val="6B7280"/>
          <w:sz w:val="16"/>
          <w:szCs w:val="16"/>
        </w:rPr>
        <w:t xml:space="preserve">Stoffrecht · gilt seit 2026-08-12 · Rechtsquelle: Art. 5 Abs. 5 PPWR · Rechtsstand 2026-10-17 · Version 5 · betrifft Rollen: erzeuger; importeur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Verpackungen mit Lebensmittelkontakt dürfen seit dem 12.08.2026 nur in Verkehr gebracht werden, wenn sie die PFAS-Grenzwerte einhalten: 25 ppb je Einzelsubstanz, 250 ppb in der Summe und 50 ppm inklusive polymerer PFAS. Das trifft Erzeuger und Importeure. Wichtig: Es gibt keine Abverkaufsfrist für unverkaufte Lagerware – was erst nach dem Stichtag erstmals bereitgestellt wird, muss konform sein. (Art. 5 Abs. 5 PPWR)</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Art. 5 Abs. 5 PPWR verbietet das Inverkehrbringen von Lebensmittelkontakt-Verpackungen ab dem 12.08.2026, wenn PFAS-Konzentrationen von 25 ppb (Einzelsubstanz, gezielte Analyse), 250 ppb (Summe, ohne polymere PFAS) oder 50 ppm (inklusive polymerer PFAS) erreicht werden. Liegt der Gesamtfluorgehalt über 50 mg/kg, ist die Herkunft des Fluors entlang der Lieferkette nachzuweisen (REACH-Akteure gegenüber Erzeuger/Importeur) und in der technischen Dokumentation nach Anhang VII zu belegen. Es besteht keine Ausnahme für Rezyklateinsatz, und die dreistufige Prüfkaskade (Gesamtfluor-Screening, Pyrolyse-GC/MS, TOP-Analyse) stammt aus Abschnitt 5 des Kommissions-Leitfadens – beides unverbindliche Auslegung der EU-Kommission. Vorrang haben strengere andere EU-Rechtsakte (Wortlaut des Abs. 5).</w:t>
      </w:r>
    </w:p>
    <w:p>
      <w:pPr>
        <w:spacing w:after="40" w:before="0"/>
      </w:pPr>
      <w:r>
        <w:rPr>
          <w:rFonts w:ascii="Arial" w:cs="Arial" w:eastAsia="Arial" w:hAnsi="Arial"/>
          <w:sz w:val="18"/>
          <w:szCs w:val="18"/>
        </w:rPr>
        <w:t xml:space="preserve">Übergang: Vor dem 12.08.2026 in Verkehr gebrachte Verpackungen dürfen am Markt bleiben. Für Lagerware, die erst danach erstmals bereitgestellt wird, gibt es ausdrücklich keine Abverkaufsfrist (Leitfaden Abschn. 5 – unverbindliche Auslegung der EU-Kommission). Rechtsfolge bei Überschreitung: Inverkehrbringungsverbot, hohe Marktüberwachungs-Relevanz.</w:t>
      </w:r>
    </w:p>
    <w:p>
      <w:pPr>
        <w:spacing w:after="20" w:before="60"/>
      </w:pPr>
      <w:r>
        <w:rPr>
          <w:rFonts w:ascii="Arial" w:cs="Arial" w:eastAsia="Arial" w:hAnsi="Arial"/>
          <w:b/>
          <w:bCs/>
          <w:sz w:val="18"/>
          <w:szCs w:val="18"/>
        </w:rPr>
        <w:t xml:space="preserve">Erklärung (Rechtstext):</w:t>
      </w:r>
    </w:p>
    <w:p>
      <w:pPr>
        <w:spacing w:after="40" w:before="0"/>
      </w:pPr>
      <w:r>
        <w:rPr>
          <w:rFonts w:ascii="Arial" w:cs="Arial" w:eastAsia="Arial" w:hAnsi="Arial"/>
          <w:sz w:val="18"/>
          <w:szCs w:val="18"/>
        </w:rPr>
        <w:t xml:space="preserve">Art. 5 Abs. 5 PPWR untersagt ab dem 12.08.2026 das Inverkehrbringen von Verpackungen, die mit Lebensmitteln in Berührung kommen, wenn sie per- und polyfluorierte Alkylsubstanzen in Konzentrationen ab 25 ppb für einzelne PFAS (gezielte Analyse), ab 250 ppb für die Summe der PFAS (ohne polymere PFAS) oder ab 50 ppm für PFAS einschließlich polymerer PFAS enthalten. Bei einem Gesamtfluorgehalt über 50 mg/kg ist die Herkunft des Fluors für die technische Dokumentation nachzuweisen. Enthalten andere Unionsrechtsakte strengere Vorgaben, gehen diese nach dem Wortlaut des Abs. 5 vor.</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Lebensmittelkontakt-Verpackung wird ab 12.08.2026 in Verkehr gebracht UND enthält PFAS ≥ 25 ppb (Einzelsubstanz, gezielte Analyse) ODER ≥ 250 ppb (Summe, ohne polymere PFAS) ODER ≥ 50 ppm (inkl. polymere PFAS). Bei Gesamtfluor &gt; 50 mg/kg: Nachweispflicht der Fluor-Herkunft entlang der Lieferkette (REACH-Akteure → Erzeuger/Importeur) für die technische Doku.</w:t>
      </w:r>
    </w:p>
    <w:p>
      <w:pPr>
        <w:spacing w:after="20" w:before="60"/>
      </w:pPr>
      <w:r>
        <w:rPr>
          <w:rFonts w:ascii="Arial" w:cs="Arial" w:eastAsia="Arial" w:hAnsi="Arial"/>
          <w:b/>
          <w:bCs/>
          <w:sz w:val="18"/>
          <w:szCs w:val="18"/>
        </w:rPr>
        <w:t xml:space="preserve">Rechtsfolgen je Rolle:</w:t>
      </w:r>
    </w:p>
    <w:p>
      <w:pPr>
        <w:spacing w:after="40" w:before="0"/>
      </w:pPr>
      <w:r>
        <w:rPr>
          <w:rFonts w:ascii="Arial" w:cs="Arial" w:eastAsia="Arial" w:hAnsi="Arial"/>
          <w:sz w:val="18"/>
          <w:szCs w:val="18"/>
        </w:rPr>
        <w:t xml:space="preserve">erzeuger: Inverkehrbringungsverbot bei Überschreitung; Doku-Pflicht Anhang VII</w:t>
      </w:r>
    </w:p>
    <w:p>
      <w:pPr>
        <w:spacing w:after="40" w:before="0"/>
      </w:pPr>
      <w:r>
        <w:rPr>
          <w:rFonts w:ascii="Arial" w:cs="Arial" w:eastAsia="Arial" w:hAnsi="Arial"/>
          <w:sz w:val="18"/>
          <w:szCs w:val="18"/>
        </w:rPr>
        <w:t xml:space="preserve">importeur: Inverkehrbringungsverbot bei Überschreitung; Doku-Pflicht Anhang VII</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Portfolio auf LMK filtern → PFAS-Lieferantenerklärungen anfordern (Generator-Muster) → kritische Beschichtungen (Fett-/Wasserabweisung) priorisieren → Prüfkaskade des Leitfadens (Gesamtfluor → Pyrolyse-GC/MS → TOP-Analyse) als Nachweislogik übernehmen.</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Vertriebsverbot; hohe Marktüberwachungs-Relevanz (Stichtagspflicht, Leitfaden empfiehlt Behörden konkrete Testmethodik).</w:t>
      </w:r>
    </w:p>
    <w:p>
      <w:pPr>
        <w:spacing w:after="20" w:before="60"/>
      </w:pPr>
      <w:r>
        <w:rPr>
          <w:rFonts w:ascii="Arial" w:cs="Arial" w:eastAsia="Arial" w:hAnsi="Arial"/>
          <w:b/>
          <w:bCs/>
          <w:sz w:val="18"/>
          <w:szCs w:val="18"/>
        </w:rPr>
        <w:t xml:space="preserve">Ausnahmen:</w:t>
      </w:r>
    </w:p>
    <w:p>
      <w:pPr>
        <w:spacing w:after="40" w:before="0"/>
      </w:pPr>
      <w:r>
        <w:rPr>
          <w:rFonts w:ascii="Arial" w:cs="Arial" w:eastAsia="Arial" w:hAnsi="Arial"/>
          <w:sz w:val="18"/>
          <w:szCs w:val="18"/>
        </w:rPr>
        <w:t xml:space="preserve">Vorrang strengerer anderer EU-Rechtsakte (Wortlaut Abs. 5); keine Ausnahme für Rezyklateinsatz (Leitfaden Abschn. 5).</w:t>
      </w:r>
    </w:p>
    <w:p>
      <w:pPr>
        <w:spacing w:after="20" w:before="60"/>
      </w:pPr>
      <w:r>
        <w:rPr>
          <w:rFonts w:ascii="Arial" w:cs="Arial" w:eastAsia="Arial" w:hAnsi="Arial"/>
          <w:b/>
          <w:bCs/>
          <w:sz w:val="18"/>
          <w:szCs w:val="18"/>
        </w:rPr>
        <w:t xml:space="preserve">Übergangsregeln:</w:t>
      </w:r>
    </w:p>
    <w:p>
      <w:pPr>
        <w:spacing w:after="40" w:before="0"/>
      </w:pPr>
      <w:r>
        <w:rPr>
          <w:rFonts w:ascii="Arial" w:cs="Arial" w:eastAsia="Arial" w:hAnsi="Arial"/>
          <w:sz w:val="18"/>
          <w:szCs w:val="18"/>
        </w:rPr>
        <w:t xml:space="preserve">Vor dem 12.08.2026 in Verkehr Gebrachtes darf am Markt bleiben; keine Abverkaufsfrist für Lagerware, die erst danach erstmals bereitgestellt wird (Leitfaden Abschn. 5).</w:t>
      </w:r>
    </w:p>
    <w:p>
      <w:pPr>
        <w:spacing w:after="20" w:before="60"/>
      </w:pPr>
      <w:r>
        <w:rPr>
          <w:rFonts w:ascii="Arial" w:cs="Arial" w:eastAsia="Arial" w:hAnsi="Arial"/>
          <w:b/>
          <w:bCs/>
          <w:sz w:val="18"/>
          <w:szCs w:val="18"/>
        </w:rPr>
        <w:t xml:space="preserve">VerpackDG-Ebene:</w:t>
      </w:r>
    </w:p>
    <w:p>
      <w:pPr>
        <w:spacing w:after="40" w:before="0"/>
      </w:pPr>
      <w:r>
        <w:rPr>
          <w:rFonts w:ascii="Arial" w:cs="Arial" w:eastAsia="Arial" w:hAnsi="Arial"/>
          <w:sz w:val="18"/>
          <w:szCs w:val="18"/>
        </w:rPr>
        <w:t xml:space="preserve">— (unmittelbar geltendes EU-Recht).</w:t>
      </w:r>
    </w:p>
    <w:p>
      <w:pPr>
        <w:keepNext/>
        <w:pBdr>
          <w:top w:val="single" w:color="24A27F" w:sz="4" w:space="4"/>
        </w:pBdr>
        <w:spacing w:after="40" w:before="260"/>
      </w:pPr>
      <w:r>
        <w:rPr>
          <w:rFonts w:ascii="Arial" w:cs="Arial" w:eastAsia="Arial" w:hAnsi="Arial"/>
          <w:b/>
          <w:bCs/>
          <w:color w:val="004494"/>
          <w:sz w:val="22"/>
          <w:szCs w:val="22"/>
        </w:rPr>
        <w:t xml:space="preserve">#03  </w:t>
      </w:r>
      <w:r>
        <w:rPr>
          <w:rFonts w:ascii="Arial" w:cs="Arial" w:eastAsia="Arial" w:hAnsi="Arial"/>
          <w:b/>
          <w:bCs/>
          <w:sz w:val="22"/>
          <w:szCs w:val="22"/>
        </w:rPr>
        <w:t xml:space="preserve">Anforderungen an wiederverwendbare Verpackungen</w:t>
      </w:r>
    </w:p>
    <w:p>
      <w:pPr>
        <w:spacing w:after="60" w:before="0"/>
      </w:pPr>
      <w:r>
        <w:rPr>
          <w:rFonts w:ascii="Arial" w:cs="Arial" w:eastAsia="Arial" w:hAnsi="Arial"/>
          <w:color w:val="6B7280"/>
          <w:sz w:val="16"/>
          <w:szCs w:val="16"/>
        </w:rPr>
        <w:t xml:space="preserve">Mehrweg · gilt seit 2026-08-12 · Rechtsquelle: Art. 11 Abs. 1 i. V. m. Anhang VI PPWR; Art. 15 Abs. 9 · Rechtsstand 2026-10-17 · Version 5 · betrifft Rollen: erzeuger; hersteller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Wer eine Verpackung als Mehrweg einstuft oder vermarktet, muss alle Kriterien des Art. 11 erfüllen – von der Konzeption für mehrere Umläufe bis zur Rekonditionierbarkeit – und die Verpackung muss Teil eines Wiederverwendungssystems sein. Das gilt für alles, was seit dem 11.02.2025 in Verkehr kam. Bei Falsch-Einstufung gilt die Verpackung als Einweg – mit Folgen für Kennzeichnung, Pfand und Systembeteiligung. Älterer Mehrweg-Bestand muss nicht nachgerüstet werden. (Art. 11 Abs. 1 i. V. m. Anhang VI PPWR)</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Als wiederverwendbar vermarktete oder eingestufte Verpackungen, die ab dem 11.02.2025 in Verkehr gebracht wurden, müssen sämtliche Kriterien des Art. 11 Abs. 1 lit. a–i PPWR erfüllen – unter anderem Konzeption für den Mehrfachumlauf, maximale Rotationen, Entleer- und Wiederbefüllbarkeit ohne Schaden, Rekonditionierbarkeit nach Anhang VI Teil B, Kennzeichnungsfähigkeit und Recyclingfähigkeit nach Art. 6 am Lebensende – und Teil eines Wiederverwendungssystems nach Anhang VI sein. Der Erzeuger führt den Konformitätsnachweis (Art. 38, Anhang VII), der Hersteller verantwortet die korrekte EPR-Einstufung, der Endvertreiber den MEHRWEG-Hinweis am Regal (§ 47 Abs. 2 VerpackDG).</w:t>
      </w:r>
    </w:p>
    <w:p>
      <w:pPr>
        <w:spacing w:after="40" w:before="0"/>
      </w:pPr>
      <w:r>
        <w:rPr>
          <w:rFonts w:ascii="Arial" w:cs="Arial" w:eastAsia="Arial" w:hAnsi="Arial"/>
          <w:sz w:val="18"/>
          <w:szCs w:val="18"/>
        </w:rPr>
        <w:t xml:space="preserve">Vor dem 11.02.2025 in Verkehr gebrachte Mehrwegverpackungen müssen nicht nachgerüstet werden (Art. 15 Abs. 9 PPWR, bestätigt durch Leitfaden Abschn. 12 – unverbindliche Auslegung der EU-Kommission). Mindest-Rotationszahlen kommen erst per delegiertem Rechtsakt (Art. 11 Abs. 2, Frist 12.02.2027). Doppel-Layer Deutschland: Ausnahme von der Systembeteiligung (§ 11 Nr. 1 VerpackDG), Rücknahmepflicht (§ 39 Abs. 1 Nr. 6 VerpackDG), MEHRWEG-Schild (§ 47 Abs. 2 VerpackDG).</w:t>
      </w:r>
    </w:p>
    <w:p>
      <w:pPr>
        <w:spacing w:after="40" w:before="0"/>
      </w:pPr>
      <w:r>
        <w:rPr>
          <w:rFonts w:ascii="Arial" w:cs="Arial" w:eastAsia="Arial" w:hAnsi="Arial"/>
          <w:sz w:val="18"/>
          <w:szCs w:val="18"/>
        </w:rPr>
        <w:t xml:space="preserve">Risiko: Bei Falsch-Einstufung gilt die Verpackung als Einweg – falsche Kennzeichnung, fehlende Systembeteiligung oder Pfandpflicht, bis hin zum Vertriebsverbot. Für Neuware ab dem 11.02.2025 gibt es keinen Bestandsschutz. Grenzfälle nicht selbst einstufen, sondern eskalieren.</w:t>
      </w:r>
    </w:p>
    <w:p>
      <w:pPr>
        <w:spacing w:after="20" w:before="60"/>
      </w:pPr>
      <w:r>
        <w:rPr>
          <w:rFonts w:ascii="Arial" w:cs="Arial" w:eastAsia="Arial" w:hAnsi="Arial"/>
          <w:b/>
          <w:bCs/>
          <w:sz w:val="18"/>
          <w:szCs w:val="18"/>
        </w:rPr>
        <w:t xml:space="preserve">Erklärung (Rechtstext):</w:t>
      </w:r>
    </w:p>
    <w:p>
      <w:pPr>
        <w:spacing w:after="40" w:before="0"/>
      </w:pPr>
      <w:r>
        <w:rPr>
          <w:rFonts w:ascii="Arial" w:cs="Arial" w:eastAsia="Arial" w:hAnsi="Arial"/>
          <w:sz w:val="18"/>
          <w:szCs w:val="18"/>
        </w:rPr>
        <w:t xml:space="preserve">Art. 11 Abs. 1 lit. a–i PPWR verlangt für wiederverwendbare Verpackungen unter anderem die Konzeption für mehrfache Umläufe, die Möglichkeit der Entleerung und Wiederbefüllung ohne Beschädigung, die Rekonditionierbarkeit gemäß Anhang VI Teil B, die Kennzeichnungsfähigkeit sowie die Recyclingfähigkeit nach Art. 6 am Ende der Nutzungsdauer, jeweils eingebettet in ein Wiederverwendungssystem nach Anhang VI. Nach Art. 15 Abs. 9 PPWR besteht für vor dem 11.02.2025 in Verkehr gebrachte wiederverwendbare Verpackungen kein Nachrüstzwang.</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Verpackung wird als wiederverwendbar vermarktet/eingestuft UND ab 11.02.2025 in Verkehr gebracht → muss alle Kriterien lit. a–i erfüllen (Mehrfachumlauf-Konzeption, max. Rotationen, Entleer-/Wiederbefüllbarkeit ohne Schaden, Rekonditionierbarkeit nach Anhang VI Teil B, Kennzeichnungsfähigkeit, Recyclingfähigkeit nach Art. 6 am Lebensende) UND Teil eines Wiederverwendungssystems nach Anhang VI.</w:t>
      </w:r>
    </w:p>
    <w:p>
      <w:pPr>
        <w:spacing w:after="20" w:before="60"/>
      </w:pPr>
      <w:r>
        <w:rPr>
          <w:rFonts w:ascii="Arial" w:cs="Arial" w:eastAsia="Arial" w:hAnsi="Arial"/>
          <w:b/>
          <w:bCs/>
          <w:sz w:val="18"/>
          <w:szCs w:val="18"/>
        </w:rPr>
        <w:t xml:space="preserve">Rechtsfolgen je Rolle:</w:t>
      </w:r>
    </w:p>
    <w:p>
      <w:pPr>
        <w:spacing w:after="40" w:before="0"/>
      </w:pPr>
      <w:r>
        <w:rPr>
          <w:rFonts w:ascii="Arial" w:cs="Arial" w:eastAsia="Arial" w:hAnsi="Arial"/>
          <w:sz w:val="18"/>
          <w:szCs w:val="18"/>
        </w:rPr>
        <w:t xml:space="preserve">erzeuger: Konformitätsnachweis (Art. 38/Anhang VII)</w:t>
      </w:r>
    </w:p>
    <w:p>
      <w:pPr>
        <w:spacing w:after="40" w:before="0"/>
      </w:pPr>
      <w:r>
        <w:rPr>
          <w:rFonts w:ascii="Arial" w:cs="Arial" w:eastAsia="Arial" w:hAnsi="Arial"/>
          <w:sz w:val="18"/>
          <w:szCs w:val="18"/>
        </w:rPr>
        <w:t xml:space="preserve">hersteller: korrekte EPR-Einstufung</w:t>
      </w:r>
    </w:p>
    <w:p>
      <w:pPr>
        <w:spacing w:after="40" w:before="0"/>
      </w:pPr>
      <w:r>
        <w:rPr>
          <w:rFonts w:ascii="Arial" w:cs="Arial" w:eastAsia="Arial" w:hAnsi="Arial"/>
          <w:sz w:val="18"/>
          <w:szCs w:val="18"/>
        </w:rPr>
        <w:t xml:space="preserve">endvertreiber: MEHRWEG-Hinweis (§ 47 Abs. 2 VerpackDG)</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je „Mehrweg"-SKU Kriterien-Check + Systemnachweis (Rücknahme/Rekonditionierung) dokumentieren; Grenzfälle nicht selbst einstufen → Eskalation.</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Falsch-Einstufung → gilt als Einweg: falsche Kennzeichnung, fehlende Systembeteiligung/Pfand, Vertriebsverbot. Kein Bestandsschutz-Analogon zu Einweg für Neuware ab 11.02.2025.</w:t>
      </w:r>
    </w:p>
    <w:p>
      <w:pPr>
        <w:spacing w:after="20" w:before="60"/>
      </w:pPr>
      <w:r>
        <w:rPr>
          <w:rFonts w:ascii="Arial" w:cs="Arial" w:eastAsia="Arial" w:hAnsi="Arial"/>
          <w:b/>
          <w:bCs/>
          <w:sz w:val="18"/>
          <w:szCs w:val="18"/>
        </w:rPr>
        <w:t xml:space="preserve">Ausnahmen:</w:t>
      </w:r>
    </w:p>
    <w:p>
      <w:pPr>
        <w:spacing w:after="40" w:before="0"/>
      </w:pPr>
      <w:r>
        <w:rPr>
          <w:rFonts w:ascii="Arial" w:cs="Arial" w:eastAsia="Arial" w:hAnsi="Arial"/>
          <w:sz w:val="18"/>
          <w:szCs w:val="18"/>
        </w:rPr>
        <w:t xml:space="preserve">vor 11.02.2025 in Verkehr gebrachte Mehrwegverpackungen müssen nicht nachgerüstet werden (Art. 15 Abs. 9; Leitfaden Abschn. 12); Mindest-Rotationszahlen erst per delegiertem Rechtsakt (Art. 11 Abs. 2, Frist 12.02.2027 → Radar R3).</w:t>
      </w:r>
    </w:p>
    <w:p>
      <w:pPr>
        <w:spacing w:after="20" w:before="60"/>
      </w:pPr>
      <w:r>
        <w:rPr>
          <w:rFonts w:ascii="Arial" w:cs="Arial" w:eastAsia="Arial" w:hAnsi="Arial"/>
          <w:b/>
          <w:bCs/>
          <w:sz w:val="18"/>
          <w:szCs w:val="18"/>
        </w:rPr>
        <w:t xml:space="preserve">VerpackDG-Ebene:</w:t>
      </w:r>
    </w:p>
    <w:p>
      <w:pPr>
        <w:spacing w:after="40" w:before="0"/>
      </w:pPr>
      <w:r>
        <w:rPr>
          <w:rFonts w:ascii="Arial" w:cs="Arial" w:eastAsia="Arial" w:hAnsi="Arial"/>
          <w:sz w:val="18"/>
          <w:szCs w:val="18"/>
        </w:rPr>
        <w:t xml:space="preserve">Ausnahme von der Systembeteiligung (§ 11 Nr. 1), Rücknahmepflicht § 39 Abs. 1 Nr. 6, MEHRWEG-Schild § 47 Abs. 2.</w:t>
      </w:r>
    </w:p>
    <w:p>
      <w:pPr>
        <w:keepNext/>
        <w:pBdr>
          <w:top w:val="single" w:color="24A27F" w:sz="4" w:space="4"/>
        </w:pBdr>
        <w:spacing w:after="40" w:before="260"/>
      </w:pPr>
      <w:r>
        <w:rPr>
          <w:rFonts w:ascii="Arial" w:cs="Arial" w:eastAsia="Arial" w:hAnsi="Arial"/>
          <w:b/>
          <w:bCs/>
          <w:color w:val="004494"/>
          <w:sz w:val="22"/>
          <w:szCs w:val="22"/>
        </w:rPr>
        <w:t xml:space="preserve">#04  </w:t>
      </w:r>
      <w:r>
        <w:rPr>
          <w:rFonts w:ascii="Arial" w:cs="Arial" w:eastAsia="Arial" w:hAnsi="Arial"/>
          <w:b/>
          <w:bCs/>
          <w:sz w:val="22"/>
          <w:szCs w:val="22"/>
        </w:rPr>
        <w:t xml:space="preserve">Konformitätsbewertung (Pflichtverfahren je Verpackungstyp)</w:t>
      </w:r>
    </w:p>
    <w:p>
      <w:pPr>
        <w:spacing w:after="60" w:before="0"/>
      </w:pPr>
      <w:r>
        <w:rPr>
          <w:rFonts w:ascii="Arial" w:cs="Arial" w:eastAsia="Arial" w:hAnsi="Arial"/>
          <w:color w:val="6B7280"/>
          <w:sz w:val="16"/>
          <w:szCs w:val="16"/>
        </w:rPr>
        <w:t xml:space="preserve">Konformität · gilt seit 2026-08-12 · Rechtsquelle: Art. 38 PPWR i. V. m. Art. 15 Abs. 1/2 · Rechtsstand 2026-10-17 · Version 7 · betrifft Rollen: erzeuger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Bevor eine Verpackung in Verkehr geht, muss der Erzeuger je Verpackungstyp ein Konformitätsbewertungsverfahren durchführen – nach Modul A, der internen Fertigungskontrolle. Geprüft wird gegen die jeweils schon geltenden Anforderungen, 2026 also vor allem die Stoffgrenzen und die Mehrweg-Kriterien. Ein Labor darf helfen, die Verantwortung bleibt beim Erzeuger. Für die Recyclingfähigkeit gibt es noch keine Bewertungspflicht. (Art. 38 i. V. m. Anhang VII PPWR)</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Nach Art. 38 i. V. m. Anhang VII PPWR (Modul A – interne Fertigungskontrolle) ist vor dem Inverkehrbringen je Verpackungstyp ein Bewertungsverfahren gegen die jeweils geltenden Anforderungen durchzuführen – aktuell vor allem Art. 5 (Stoffbeschränkungen), bei Mehrweg Art. 11 und Art. 6 Abs. 1 im Übergangsverständnis. Die Durchführung kann an ein Labor oder einen Dienstleister delegiert werden, die Verantwortung bleibt beim Erzeuger (Art. 15 Abs. 2 PPWR, Leitfaden Abschn. 2 – unverbindliche Auslegung der EU-Kommission).</w:t>
      </w:r>
    </w:p>
    <w:p>
      <w:pPr>
        <w:spacing w:after="40" w:before="0"/>
      </w:pPr>
      <w:r>
        <w:rPr>
          <w:rFonts w:ascii="Arial" w:cs="Arial" w:eastAsia="Arial" w:hAnsi="Arial"/>
          <w:sz w:val="18"/>
          <w:szCs w:val="18"/>
        </w:rPr>
        <w:t xml:space="preserve">Der Importeur darf Verpackungen nur in Verkehr bringen, wenn das Verfahren durchgeführt wurde (Art. 18 Abs. 1 und 2 PPWR, (!) V1: Absatz-Fundstellen final zu pinnen). Für die Recyclingfähigkeit besteht bis zum Geltungsbeginn der Design-for-Recycling-Rechtsakte noch keine Bewertungspflicht (Leitfaden Abschn. 6 – unverbindliche Auslegung der EU-Kommission). Ohne Bewertung gibt es keine gültige Konformitätserklärung – und damit ein Vertriebsverbot.</w:t>
      </w:r>
    </w:p>
    <w:p>
      <w:pPr>
        <w:spacing w:after="20" w:before="60"/>
      </w:pPr>
      <w:r>
        <w:rPr>
          <w:rFonts w:ascii="Arial" w:cs="Arial" w:eastAsia="Arial" w:hAnsi="Arial"/>
          <w:b/>
          <w:bCs/>
          <w:sz w:val="18"/>
          <w:szCs w:val="18"/>
        </w:rPr>
        <w:t xml:space="preserve">Erklärung (Rechtstext):</w:t>
      </w:r>
    </w:p>
    <w:p>
      <w:pPr>
        <w:spacing w:after="40" w:before="0"/>
      </w:pPr>
      <w:r>
        <w:rPr>
          <w:rFonts w:ascii="Arial" w:cs="Arial" w:eastAsia="Arial" w:hAnsi="Arial"/>
          <w:sz w:val="18"/>
          <w:szCs w:val="18"/>
        </w:rPr>
        <w:t xml:space="preserve">Art. 38 PPWR ordnet für die Konformitätsbewertung das Verfahren nach Anhang VII an (Modul A – interne Fertigungskontrolle), durchzuführen vor dem Inverkehrbringen und bezogen auf die für den jeweiligen Verpackungstyp geltenden Anforderungen. Nach Art. 15 Abs. 2 PPWR bleibt der Erzeuger auch dann verantwortlich, wenn er die Bewertung durch Dritte in seinem Auftrag durchführen lässt.</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Verpackung wird ab 12.08.2026 in Verkehr gebracht → vorher je Verpackungstyp Bewertungsverfahren gegen die JEWEILS geltenden Anforderungen (aktuell v. a. Art. 5; Art. 11 bei Mehrweg; Art. 6 Abs. 1 im Übergangsverständnis → #11).</w:t>
      </w:r>
    </w:p>
    <w:p>
      <w:pPr>
        <w:spacing w:after="20" w:before="60"/>
      </w:pPr>
      <w:r>
        <w:rPr>
          <w:rFonts w:ascii="Arial" w:cs="Arial" w:eastAsia="Arial" w:hAnsi="Arial"/>
          <w:b/>
          <w:bCs/>
          <w:sz w:val="18"/>
          <w:szCs w:val="18"/>
        </w:rPr>
        <w:t xml:space="preserve">Rechtsfolgen je Rolle:</w:t>
      </w:r>
    </w:p>
    <w:p>
      <w:pPr>
        <w:spacing w:after="40" w:before="0"/>
      </w:pPr>
      <w:r>
        <w:rPr>
          <w:rFonts w:ascii="Arial" w:cs="Arial" w:eastAsia="Arial" w:hAnsi="Arial"/>
          <w:sz w:val="18"/>
          <w:szCs w:val="18"/>
        </w:rPr>
        <w:t xml:space="preserve">erzeuger: Durchführung (Delegation an Labor/Dienstleister zulässig, Verantwortung bleibt – Art. 15 Abs. 2; Leitfaden Abschn. 2)</w:t>
      </w:r>
    </w:p>
    <w:p>
      <w:pPr>
        <w:spacing w:after="40" w:before="0"/>
      </w:pPr>
      <w:r>
        <w:rPr>
          <w:rFonts w:ascii="Arial" w:cs="Arial" w:eastAsia="Arial" w:hAnsi="Arial"/>
          <w:sz w:val="18"/>
          <w:szCs w:val="18"/>
        </w:rPr>
        <w:t xml:space="preserve">importeur: darf nur in Verkehr bringen, wenn Verfahren durchgeführt wurde (Art. 18 Abs. 1/2 (!) V1)</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Verpackungstypen inventarisieren (= Compliance-Profil) → je Typ Bewertung + Ergebnis dokumentieren; Status-Check liefert Prüfliste je Typ.</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ohne Bewertung keine gültige Konformitätserklärung → Vertriebsverbot.</w:t>
      </w:r>
    </w:p>
    <w:p>
      <w:pPr>
        <w:spacing w:after="20" w:before="60"/>
      </w:pPr>
      <w:r>
        <w:rPr>
          <w:rFonts w:ascii="Arial" w:cs="Arial" w:eastAsia="Arial" w:hAnsi="Arial"/>
          <w:b/>
          <w:bCs/>
          <w:sz w:val="18"/>
          <w:szCs w:val="18"/>
        </w:rPr>
        <w:t xml:space="preserve">Ausnahmen:</w:t>
      </w:r>
    </w:p>
    <w:p>
      <w:pPr>
        <w:spacing w:after="40" w:before="0"/>
      </w:pPr>
      <w:r>
        <w:rPr>
          <w:rFonts w:ascii="Arial" w:cs="Arial" w:eastAsia="Arial" w:hAnsi="Arial"/>
          <w:sz w:val="18"/>
          <w:szCs w:val="18"/>
        </w:rPr>
        <w:t xml:space="preserve">für Recyclingfähigkeit noch KEINE Bewertungspflicht bis zum Geltungsbeginn der DfR-Rechtsakte (Leitfaden Abschn. 6).</w:t>
      </w:r>
    </w:p>
    <w:p>
      <w:pPr>
        <w:spacing w:after="20" w:before="60"/>
      </w:pPr>
      <w:r>
        <w:rPr>
          <w:rFonts w:ascii="Arial" w:cs="Arial" w:eastAsia="Arial" w:hAnsi="Arial"/>
          <w:b/>
          <w:bCs/>
          <w:sz w:val="18"/>
          <w:szCs w:val="18"/>
        </w:rPr>
        <w:t xml:space="preserve">Übergangsregeln:</w:t>
      </w:r>
    </w:p>
    <w:p>
      <w:pPr>
        <w:spacing w:after="40" w:before="0"/>
      </w:pPr>
      <w:r>
        <w:rPr>
          <w:rFonts w:ascii="Arial" w:cs="Arial" w:eastAsia="Arial" w:hAnsi="Arial"/>
          <w:sz w:val="18"/>
          <w:szCs w:val="18"/>
        </w:rPr>
        <w:t xml:space="preserve">keine.</w:t>
      </w:r>
    </w:p>
    <w:p>
      <w:pPr>
        <w:spacing w:after="20" w:before="60"/>
      </w:pPr>
      <w:r>
        <w:rPr>
          <w:rFonts w:ascii="Arial" w:cs="Arial" w:eastAsia="Arial" w:hAnsi="Arial"/>
          <w:b/>
          <w:bCs/>
          <w:sz w:val="18"/>
          <w:szCs w:val="18"/>
        </w:rPr>
        <w:t xml:space="preserve">VerpackDG-Ebene:</w:t>
      </w:r>
    </w:p>
    <w:p>
      <w:pPr>
        <w:spacing w:after="40" w:before="0"/>
      </w:pPr>
      <w:r>
        <w:rPr>
          <w:rFonts w:ascii="Arial" w:cs="Arial" w:eastAsia="Arial" w:hAnsi="Arial"/>
          <w:sz w:val="18"/>
          <w:szCs w:val="18"/>
        </w:rPr>
        <w:t xml:space="preserve">— (Sprache der Erklärung → #6).</w:t>
      </w:r>
    </w:p>
    <w:p>
      <w:pPr>
        <w:keepNext/>
        <w:pBdr>
          <w:top w:val="single" w:color="24A27F" w:sz="4" w:space="4"/>
        </w:pBdr>
        <w:spacing w:after="40" w:before="260"/>
      </w:pPr>
      <w:r>
        <w:rPr>
          <w:rFonts w:ascii="Arial" w:cs="Arial" w:eastAsia="Arial" w:hAnsi="Arial"/>
          <w:b/>
          <w:bCs/>
          <w:color w:val="004494"/>
          <w:sz w:val="22"/>
          <w:szCs w:val="22"/>
        </w:rPr>
        <w:t xml:space="preserve">#05  </w:t>
      </w:r>
      <w:r>
        <w:rPr>
          <w:rFonts w:ascii="Arial" w:cs="Arial" w:eastAsia="Arial" w:hAnsi="Arial"/>
          <w:b/>
          <w:bCs/>
          <w:sz w:val="22"/>
          <w:szCs w:val="22"/>
        </w:rPr>
        <w:t xml:space="preserve">Technische Dokumentation</w:t>
      </w:r>
    </w:p>
    <w:p>
      <w:pPr>
        <w:spacing w:after="60" w:before="0"/>
      </w:pPr>
      <w:r>
        <w:rPr>
          <w:rFonts w:ascii="Arial" w:cs="Arial" w:eastAsia="Arial" w:hAnsi="Arial"/>
          <w:color w:val="6B7280"/>
          <w:sz w:val="16"/>
          <w:szCs w:val="16"/>
        </w:rPr>
        <w:t xml:space="preserve">Konformität · gilt seit 2026-08-12 · Rechtsquelle: Anhang VII PPWR; Art. 15 Abs. 8 · Rechtsstand 2026-10-17 · Version 5 · betrifft Rollen: erzeuger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Für jeden Verpackungstyp braucht der Erzeuger vor dem Inverkehrbringen eine technische Dokumentation – mit Beschreibung, Auslegung, Nachweisen und einer Risikoanalyse der Nichtkonformität – und muss sie aktuell halten. Aufbewahrung: fünf Jahre bei Einweg, zehn Jahre bei Mehrweg. Behörden können die Vorlage binnen zehn Tagen verlangen. (Anhang VII i. V. m. Art. 38 PPWR)</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Je Verpackungstyp ist vor dem Inverkehrbringen eine technische Dokumentation nach Anhang VII PPWR zu erstellen und aktuell zu halten – mit Beschreibung, Auslegung, Nachweisen und einer Risikoanalyse der Nichtkonformität. Der Erzeuger bewahrt sie fünf Jahre (Einweg) bzw. zehn Jahre (Mehrweg) ab Inverkehrbringen auf. (!) V1: Die exakten Absatz-Fundstellen in Art. 15 PPWR für Aufbewahrungsfristen, Importeurs-Bereithaltung und die Vorlagepflicht binnen zehn Tagen (Art. 15 Abs. 10) sind noch final zu pinnen.</w:t>
      </w:r>
    </w:p>
    <w:p>
      <w:pPr>
        <w:spacing w:after="40" w:before="0"/>
      </w:pPr>
      <w:r>
        <w:rPr>
          <w:rFonts w:ascii="Arial" w:cs="Arial" w:eastAsia="Arial" w:hAnsi="Arial"/>
          <w:sz w:val="18"/>
          <w:szCs w:val="18"/>
        </w:rPr>
        <w:t xml:space="preserve">Der Lieferant muss dem Erzeuger die dafür nötigen Informationen und Unterlagen bereitstellen (Art. 16 Abs. 1 PPWR). Ein Kapitel zur Recyclingfähigkeit ist erst mit den Design-for-Recycling-Rechtsakten erforderlich (Leitfaden Abschn. 6 – unverbindliche Auslegung der EU-Kommission). Das Fehlen der Dokumentation ist ein eigenständiger Verstoß.</w:t>
      </w:r>
    </w:p>
    <w:p>
      <w:pPr>
        <w:spacing w:after="20" w:before="60"/>
      </w:pPr>
      <w:r>
        <w:rPr>
          <w:rFonts w:ascii="Arial" w:cs="Arial" w:eastAsia="Arial" w:hAnsi="Arial"/>
          <w:b/>
          <w:bCs/>
          <w:sz w:val="18"/>
          <w:szCs w:val="18"/>
        </w:rPr>
        <w:t xml:space="preserve">Erklärung (Rechtstext):</w:t>
      </w:r>
    </w:p>
    <w:p>
      <w:pPr>
        <w:spacing w:after="40" w:before="0"/>
      </w:pPr>
      <w:r>
        <w:rPr>
          <w:rFonts w:ascii="Arial" w:cs="Arial" w:eastAsia="Arial" w:hAnsi="Arial"/>
          <w:sz w:val="18"/>
          <w:szCs w:val="18"/>
        </w:rPr>
        <w:t xml:space="preserve">Anhang VII PPWR i. V. m. Art. 38 PPWR verlangt je Verpackungstyp eine technische Dokumentation, die die Verpackung beschreibt, ihre Auslegung darlegt und die Nachweise der Konformität einschließlich einer Analyse der Risiken der Nichtkonformität enthält. Sie ist vor dem Inverkehrbringen zu erstellen und fortlaufend aktuell zu halten.</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je Verpackungstyp ist vor Inverkehrbringen eine technische Dokumentation zu erstellen (Beschreibung, Auslegung, Nachweise, Risikoanalyse der Nichtkonformität) und aktuell zu halten.</w:t>
      </w:r>
    </w:p>
    <w:p>
      <w:pPr>
        <w:spacing w:after="20" w:before="60"/>
      </w:pPr>
      <w:r>
        <w:rPr>
          <w:rFonts w:ascii="Arial" w:cs="Arial" w:eastAsia="Arial" w:hAnsi="Arial"/>
          <w:b/>
          <w:bCs/>
          <w:sz w:val="18"/>
          <w:szCs w:val="18"/>
        </w:rPr>
        <w:t xml:space="preserve">Rechtsfolgen je Rolle:</w:t>
      </w:r>
    </w:p>
    <w:p>
      <w:pPr>
        <w:spacing w:after="40" w:before="0"/>
      </w:pPr>
      <w:r>
        <w:rPr>
          <w:rFonts w:ascii="Arial" w:cs="Arial" w:eastAsia="Arial" w:hAnsi="Arial"/>
          <w:sz w:val="18"/>
          <w:szCs w:val="18"/>
        </w:rPr>
        <w:t xml:space="preserve">erzeuger: Erstellung + Aufbewahrung 5 Jahre (Einweg) / 10 Jahre (Mehrweg) ab Inverkehrbringen (!) V1 Absatz-Fundstelle Art. 15</w:t>
      </w:r>
    </w:p>
    <w:p>
      <w:pPr>
        <w:spacing w:after="40" w:before="0"/>
      </w:pPr>
      <w:r>
        <w:rPr>
          <w:rFonts w:ascii="Arial" w:cs="Arial" w:eastAsia="Arial" w:hAnsi="Arial"/>
          <w:sz w:val="18"/>
          <w:szCs w:val="18"/>
        </w:rPr>
        <w:t xml:space="preserve">importeur: Bereithaltung/Kopie (!) V1</w:t>
      </w:r>
    </w:p>
    <w:p>
      <w:pPr>
        <w:spacing w:after="40" w:before="0"/>
      </w:pPr>
      <w:r>
        <w:rPr>
          <w:rFonts w:ascii="Arial" w:cs="Arial" w:eastAsia="Arial" w:hAnsi="Arial"/>
          <w:sz w:val="18"/>
          <w:szCs w:val="18"/>
        </w:rPr>
        <w:t xml:space="preserve">lieferant: Informations-/Unterlagenpflicht an den Erzeuger (Art. 16 Abs. 1)</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Doku-Gerüst aus dem Generator je Typ befüllen (Materialien, Prüfberichte, Lieferantenerklärungen inkl. Schwermetall/PFAS), zentral + versioniert ablegen.</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Vorlagepflicht auf Behördenverlangen (binnen 10 Tagen, Art. 15 Abs. 10 (!) V1); Fehlen ist eigenständiger Verstoß.</w:t>
      </w:r>
    </w:p>
    <w:p>
      <w:pPr>
        <w:spacing w:after="20" w:before="60"/>
      </w:pPr>
      <w:r>
        <w:rPr>
          <w:rFonts w:ascii="Arial" w:cs="Arial" w:eastAsia="Arial" w:hAnsi="Arial"/>
          <w:b/>
          <w:bCs/>
          <w:sz w:val="18"/>
          <w:szCs w:val="18"/>
        </w:rPr>
        <w:t xml:space="preserve">Ausnahmen:</w:t>
      </w:r>
    </w:p>
    <w:p>
      <w:pPr>
        <w:spacing w:after="40" w:before="0"/>
      </w:pPr>
      <w:r>
        <w:rPr>
          <w:rFonts w:ascii="Arial" w:cs="Arial" w:eastAsia="Arial" w:hAnsi="Arial"/>
          <w:sz w:val="18"/>
          <w:szCs w:val="18"/>
        </w:rPr>
        <w:t xml:space="preserve">Recyclingfähigkeits-Kapitel erst mit DfR-Rechtsakten (Leitfaden Abschn. 6).</w:t>
      </w:r>
    </w:p>
    <w:p>
      <w:pPr>
        <w:spacing w:after="20" w:before="60"/>
      </w:pPr>
      <w:r>
        <w:rPr>
          <w:rFonts w:ascii="Arial" w:cs="Arial" w:eastAsia="Arial" w:hAnsi="Arial"/>
          <w:b/>
          <w:bCs/>
          <w:sz w:val="18"/>
          <w:szCs w:val="18"/>
        </w:rPr>
        <w:t xml:space="preserve">VerpackDG-Ebene:</w:t>
      </w:r>
    </w:p>
    <w:p>
      <w:pPr>
        <w:spacing w:after="40" w:before="0"/>
      </w:pPr>
      <w:r>
        <w:rPr>
          <w:rFonts w:ascii="Arial" w:cs="Arial" w:eastAsia="Arial" w:hAnsi="Arial"/>
          <w:sz w:val="18"/>
          <w:szCs w:val="18"/>
        </w:rPr>
        <w:t xml:space="preserve">— .</w:t>
      </w:r>
    </w:p>
    <w:p>
      <w:pPr>
        <w:keepNext/>
        <w:pBdr>
          <w:top w:val="single" w:color="24A27F" w:sz="4" w:space="4"/>
        </w:pBdr>
        <w:spacing w:after="40" w:before="260"/>
      </w:pPr>
      <w:r>
        <w:rPr>
          <w:rFonts w:ascii="Arial" w:cs="Arial" w:eastAsia="Arial" w:hAnsi="Arial"/>
          <w:b/>
          <w:bCs/>
          <w:color w:val="004494"/>
          <w:sz w:val="22"/>
          <w:szCs w:val="22"/>
        </w:rPr>
        <w:t xml:space="preserve">#06  </w:t>
      </w:r>
      <w:r>
        <w:rPr>
          <w:rFonts w:ascii="Arial" w:cs="Arial" w:eastAsia="Arial" w:hAnsi="Arial"/>
          <w:b/>
          <w:bCs/>
          <w:sz w:val="22"/>
          <w:szCs w:val="22"/>
        </w:rPr>
        <w:t xml:space="preserve">EU-Konformitätserklärung</w:t>
      </w:r>
    </w:p>
    <w:p>
      <w:pPr>
        <w:spacing w:after="60" w:before="0"/>
      </w:pPr>
      <w:r>
        <w:rPr>
          <w:rFonts w:ascii="Arial" w:cs="Arial" w:eastAsia="Arial" w:hAnsi="Arial"/>
          <w:color w:val="6B7280"/>
          <w:sz w:val="16"/>
          <w:szCs w:val="16"/>
        </w:rPr>
        <w:t xml:space="preserve">Konformität · gilt seit 2026-08-12 · Rechtsquelle: Art. 39 i. V. m. Anhang VIII PPWR; § 62 VerpackDG · Rechtsstand 2026-10-17 · Version 5 · betrifft Rollen: erzeuger; importeur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Je Verpackungstyp ist vor dem Inverkehrbringen eine unterzeichnete EU-Konformitätserklärung nach dem Muster in Anhang VIII auszustellen – wahlweise auf Deutsch oder Englisch. Eine Sammelerklärung über alle Verpackungen genügt nicht, eine CE-Kennzeichnung gibt es nicht. Die Erklärung ist für Behörden bestimmt, Kunden haben keinen Anspruch darauf. (Art. 39 i. V. m. Anhang VIII PPWR)</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Nach Art. 39 i. V. m. Anhang VIII PPWR ist je Verpackungstyp vor dem Inverkehrbringen eine unterzeichnete EU-Konformitätserklärung nach dem Muster des Anhangs VIII auszustellen und zusammen mit der technischen Dokumentation aktuell zu halten. Mit der Ausstellung übernimmt der Erzeuger die Verantwortung für die Konformität. Die Unterzeichnung kann auch durch einen Bevollmächtigten nach Art. 17 PPWR mit schriftlichem Mandat erfolgen. Der Importeur prüft die Existenz der Erklärung (Art. 18 PPWR), den Vertreiber trifft eine Sorgfaltspflicht (Art. 19 PPWR).</w:t>
      </w:r>
    </w:p>
    <w:p>
      <w:pPr>
        <w:spacing w:after="40" w:before="0"/>
      </w:pPr>
      <w:r>
        <w:rPr>
          <w:rFonts w:ascii="Arial" w:cs="Arial" w:eastAsia="Arial" w:hAnsi="Arial"/>
          <w:sz w:val="18"/>
          <w:szCs w:val="18"/>
        </w:rPr>
        <w:t xml:space="preserve">Erforderlich sind alle zehn Pflichtelemente des Anhangs VIII mit eindeutiger Typ-Identifikation – eine Sammelerklärung über „alle Verpackungen“ genügt nicht. Es gibt keine CE-Kennzeichnung, die Erklärung ist an Behörden herauszugeben, ein Kundenanspruch besteht nicht. Doppel-Layer Deutschland: Nach § 62 VerpackDG genügt die unterzeichnete Fassung wahlweise auf Deutsch oder Englisch, eine deutsche Übersetzung ist nur auf Behördenverlangen beizubringen. Behörden kontrollieren risikobasiert (Art. 39 Abs. 5 PPWR, (!) V1: Absatz-Pin offen).</w:t>
      </w:r>
    </w:p>
    <w:p>
      <w:pPr>
        <w:spacing w:after="40" w:before="0"/>
      </w:pPr>
      <w:r>
        <w:rPr>
          <w:rFonts w:ascii="Arial" w:cs="Arial" w:eastAsia="Arial" w:hAnsi="Arial"/>
          <w:sz w:val="18"/>
          <w:szCs w:val="18"/>
        </w:rPr>
        <w:t xml:space="preserve">Aktualisierung 17.10.2026: Nach Kommissions-FAQ 2. Ed. kann eine Konformitätserklärung die gesamte Verpackungseinheit abdecken und von einem Bevollmächtigten nach Art. 17 ausgestellt werden (vgl. Praxisfrage C16).</w:t>
      </w:r>
    </w:p>
    <w:p>
      <w:pPr>
        <w:spacing w:after="20" w:before="60"/>
      </w:pPr>
      <w:r>
        <w:rPr>
          <w:rFonts w:ascii="Arial" w:cs="Arial" w:eastAsia="Arial" w:hAnsi="Arial"/>
          <w:b/>
          <w:bCs/>
          <w:sz w:val="18"/>
          <w:szCs w:val="18"/>
        </w:rPr>
        <w:t xml:space="preserve">Erklärung (Rechtstext):</w:t>
      </w:r>
    </w:p>
    <w:p>
      <w:pPr>
        <w:spacing w:after="40" w:before="0"/>
      </w:pPr>
      <w:r>
        <w:rPr>
          <w:rFonts w:ascii="Arial" w:cs="Arial" w:eastAsia="Arial" w:hAnsi="Arial"/>
          <w:sz w:val="18"/>
          <w:szCs w:val="18"/>
        </w:rPr>
        <w:t xml:space="preserve">Art. 39 PPWR verpflichtet zur Ausstellung einer EU-Konformitätserklärung nach dem Muster des Anhangs VIII je Verpackungstyp vor dem Inverkehrbringen. Anhang VIII PPWR gibt die Pflichtelemente der Erklärung einschließlich der eindeutigen Identifikation des Verpackungstyps vor. § 62 VerpackDG lässt die Ausstellung wahlweise in deutscher oder englischer Sprache zu und sieht eine Übersetzung ins Deutsche nur auf Verlangen der zuständigen Behörde vor.</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je Verpackungstyp ist vor Inverkehrbringen eine unterzeichnete EU-Konformitätserklärung nach Muster Anhang VIII auszustellen und mit der technischen Doku aktuell zu halten; mit Ausstellung übernimmt der Erzeuger die Verantwortung.</w:t>
      </w:r>
    </w:p>
    <w:p>
      <w:pPr>
        <w:spacing w:after="20" w:before="60"/>
      </w:pPr>
      <w:r>
        <w:rPr>
          <w:rFonts w:ascii="Arial" w:cs="Arial" w:eastAsia="Arial" w:hAnsi="Arial"/>
          <w:b/>
          <w:bCs/>
          <w:sz w:val="18"/>
          <w:szCs w:val="18"/>
        </w:rPr>
        <w:t xml:space="preserve">Rechtsfolgen je Rolle:</w:t>
      </w:r>
    </w:p>
    <w:p>
      <w:pPr>
        <w:spacing w:after="40" w:before="0"/>
      </w:pPr>
      <w:r>
        <w:rPr>
          <w:rFonts w:ascii="Arial" w:cs="Arial" w:eastAsia="Arial" w:hAnsi="Arial"/>
          <w:sz w:val="18"/>
          <w:szCs w:val="18"/>
        </w:rPr>
        <w:t xml:space="preserve">erzeuger: Ausstellung/Unterzeichnung (auch durch Bevollmächtigten nach Art. 17 mit schriftlichem Mandat)</w:t>
      </w:r>
    </w:p>
    <w:p>
      <w:pPr>
        <w:spacing w:after="40" w:before="0"/>
      </w:pPr>
      <w:r>
        <w:rPr>
          <w:rFonts w:ascii="Arial" w:cs="Arial" w:eastAsia="Arial" w:hAnsi="Arial"/>
          <w:sz w:val="18"/>
          <w:szCs w:val="18"/>
        </w:rPr>
        <w:t xml:space="preserve">importeur: Prüfung der Existenz (Art. 18)</w:t>
      </w:r>
    </w:p>
    <w:p>
      <w:pPr>
        <w:spacing w:after="40" w:before="0"/>
      </w:pPr>
      <w:r>
        <w:rPr>
          <w:rFonts w:ascii="Arial" w:cs="Arial" w:eastAsia="Arial" w:hAnsi="Arial"/>
          <w:sz w:val="18"/>
          <w:szCs w:val="18"/>
        </w:rPr>
        <w:t xml:space="preserve">vertreiber: Sorgfalt (Art. 19). Keine CE-Kennzeichnung; Herausgabe an Behörden, kein Kundenanspruch</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Generator erzeugt vorbefüllte Erklärung aus dem Profil (alle 10 Pflichtelemente des Anhangs VIII, eindeutige Typ-Identifikation – Sammelerklärung „alle Verpackungen" genügt nicht) → prüfen, unterzeichnen, verknüpft ablegen.</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Vertriebsverbot Verpackung + Produkt; Behörden kontrollieren risikobasiert (Art. 39 Abs. 5 (!) V1).</w:t>
      </w:r>
    </w:p>
    <w:p>
      <w:pPr>
        <w:spacing w:after="20" w:before="60"/>
      </w:pPr>
      <w:r>
        <w:rPr>
          <w:rFonts w:ascii="Arial" w:cs="Arial" w:eastAsia="Arial" w:hAnsi="Arial"/>
          <w:b/>
          <w:bCs/>
          <w:sz w:val="18"/>
          <w:szCs w:val="18"/>
        </w:rPr>
        <w:t xml:space="preserve">Ausnahmen:</w:t>
      </w:r>
    </w:p>
    <w:p>
      <w:pPr>
        <w:spacing w:after="40" w:before="0"/>
      </w:pPr>
      <w:r>
        <w:rPr>
          <w:rFonts w:ascii="Arial" w:cs="Arial" w:eastAsia="Arial" w:hAnsi="Arial"/>
          <w:sz w:val="18"/>
          <w:szCs w:val="18"/>
        </w:rPr>
        <w:t xml:space="preserve">— .</w:t>
      </w:r>
    </w:p>
    <w:p>
      <w:pPr>
        <w:spacing w:after="20" w:before="60"/>
      </w:pPr>
      <w:r>
        <w:rPr>
          <w:rFonts w:ascii="Arial" w:cs="Arial" w:eastAsia="Arial" w:hAnsi="Arial"/>
          <w:b/>
          <w:bCs/>
          <w:sz w:val="18"/>
          <w:szCs w:val="18"/>
        </w:rPr>
        <w:t xml:space="preserve">VerpackDG-Ebene:</w:t>
      </w:r>
    </w:p>
    <w:p>
      <w:pPr>
        <w:spacing w:after="40" w:before="0"/>
      </w:pPr>
      <w:r>
        <w:rPr>
          <w:rFonts w:ascii="Arial" w:cs="Arial" w:eastAsia="Arial" w:hAnsi="Arial"/>
          <w:sz w:val="18"/>
          <w:szCs w:val="18"/>
        </w:rPr>
        <w:t xml:space="preserve">§ 62 VerpackDG: unterzeichnete Version wahlweise Deutsch ODER Englisch; Übersetzung ins Deutsche nur auf Behördenverlangen.</w:t>
      </w:r>
    </w:p>
    <w:p>
      <w:pPr>
        <w:keepNext/>
        <w:pBdr>
          <w:top w:val="single" w:color="24A27F" w:sz="4" w:space="4"/>
        </w:pBdr>
        <w:spacing w:after="40" w:before="260"/>
      </w:pPr>
      <w:r>
        <w:rPr>
          <w:rFonts w:ascii="Arial" w:cs="Arial" w:eastAsia="Arial" w:hAnsi="Arial"/>
          <w:b/>
          <w:bCs/>
          <w:color w:val="004494"/>
          <w:sz w:val="22"/>
          <w:szCs w:val="22"/>
        </w:rPr>
        <w:t xml:space="preserve">#07  </w:t>
      </w:r>
      <w:r>
        <w:rPr>
          <w:rFonts w:ascii="Arial" w:cs="Arial" w:eastAsia="Arial" w:hAnsi="Arial"/>
          <w:b/>
          <w:bCs/>
          <w:sz w:val="22"/>
          <w:szCs w:val="22"/>
        </w:rPr>
        <w:t xml:space="preserve">Identifikations- und Kontaktkennzeichnung</w:t>
      </w:r>
    </w:p>
    <w:p>
      <w:pPr>
        <w:spacing w:after="60" w:before="0"/>
      </w:pPr>
      <w:r>
        <w:rPr>
          <w:rFonts w:ascii="Arial" w:cs="Arial" w:eastAsia="Arial" w:hAnsi="Arial"/>
          <w:color w:val="6B7280"/>
          <w:sz w:val="16"/>
          <w:szCs w:val="16"/>
        </w:rPr>
        <w:t xml:space="preserve">Kennzeichnung · gilt seit 2026-08-12 · Rechtsquelle: Art. 15 Abs. 5/6 PPWR; Art. 18 Abs. 3 · Rechtsstand 2026-10-17 · Version 5 · betrifft Rollen: erzeuger; importeur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Seit dem 12.08.2026 muss jede Verpackung zwei Dinge tragen: ein Identifikationselement (Typen-, Chargen- oder Seriennummer – eine eindeutig referenzierte GTIN kann genügen) und die Angaben des Erzeugers: Name oder eingetragene Marke, Postanschrift und eine digitale Kontaktmöglichkeit, direkt auf der Verpackung oder per QR-Code abrufbar. Importeure ergänzen zusätzlich ihre eigenen Angaben. Mit dem künftigen EU-Sortierlabel hat das nichts zu tun. (Art. 15 Abs. 5 u. 6 PPWR)</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Ab dem 12.08.2026 in Verkehr gebrachte Verpackungen müssen (a) eine Typen-, Chargen- oder Seriennummer oder ein anderes Identifikationselement tragen (Wahlrecht – eine bestehende GTIN kann genügen, wenn sie eindeutig referenziert ist) und (b) Name oder eingetragene Marke, Postanschrift und digitale Kontaktmöglichkeit des Erzeugers ausweisen – auf der Verpackung selbst oder über einen Datenträger wie einen QR-Code abrufbar (Art. 15 Abs. 5 und 6 PPWR). Die Anbringung einmal je Verpackungseinheit reicht aus (Art. 3 Abs. 1 Nr. 45 PPWR, (!) V1: Pin offen). Importeure bringen zusätzlich ihre eigenen Angaben an (Art. 18 Abs. 3 PPWR), ohne die Erzeugerangaben zu verdecken ((!) V1: Fundstelle final zu pinnen).</w:t>
      </w:r>
    </w:p>
    <w:p>
      <w:pPr>
        <w:spacing w:after="40" w:before="0"/>
      </w:pPr>
      <w:r>
        <w:rPr>
          <w:rFonts w:ascii="Arial" w:cs="Arial" w:eastAsia="Arial" w:hAnsi="Arial"/>
          <w:sz w:val="18"/>
          <w:szCs w:val="18"/>
        </w:rPr>
        <w:t xml:space="preserve">Abgrenzung: Das harmonisierte Sortierlabel ist ein anderes Regime (Art. 12 PPWR, gilt erst später, siehe Anforderung 19), ebenso die freiwillige Materialkennzeichnung nach § 4 VerpackDG. Der Verstoß ist formal und leicht feststellbar, es drohen Korrektur- und Rückrufpflichten (Art. 15 Abs. 8 PPWR, (!) V1: Pin offen).</w:t>
      </w:r>
    </w:p>
    <w:p>
      <w:pPr>
        <w:spacing w:after="40" w:before="0"/>
      </w:pPr>
      <w:r>
        <w:rPr>
          <w:rFonts w:ascii="Arial" w:cs="Arial" w:eastAsia="Arial" w:hAnsi="Arial"/>
          <w:sz w:val="18"/>
          <w:szCs w:val="18"/>
        </w:rPr>
        <w:t xml:space="preserve">Aktualisierung 17.10.2026: siehe Praxisfrage C15 (Lagerware, Begleitdokumente).</w:t>
      </w:r>
    </w:p>
    <w:p>
      <w:pPr>
        <w:spacing w:after="20" w:before="60"/>
      </w:pPr>
      <w:r>
        <w:rPr>
          <w:rFonts w:ascii="Arial" w:cs="Arial" w:eastAsia="Arial" w:hAnsi="Arial"/>
          <w:b/>
          <w:bCs/>
          <w:sz w:val="18"/>
          <w:szCs w:val="18"/>
        </w:rPr>
        <w:t xml:space="preserve">Erklärung (Rechtstext):</w:t>
      </w:r>
    </w:p>
    <w:p>
      <w:pPr>
        <w:spacing w:after="40" w:before="0"/>
      </w:pPr>
      <w:r>
        <w:rPr>
          <w:rFonts w:ascii="Arial" w:cs="Arial" w:eastAsia="Arial" w:hAnsi="Arial"/>
          <w:sz w:val="18"/>
          <w:szCs w:val="18"/>
        </w:rPr>
        <w:t xml:space="preserve">Art. 15 Abs. 5 PPWR verlangt eine Typen-, Chargen- oder Seriennummer oder ein anderes zur Identifizierung geeignetes Element auf der Verpackung. Art. 15 Abs. 6 PPWR verlangt die Angabe von Name oder eingetragener Marke, Postanschrift und digitaler Kontaktmöglichkeit des Erzeugers, wahlweise auf der Verpackung oder über einen Datenträger abrufbar. Art. 18 Abs. 3 PPWR verpflichtet den Importeur zur zusätzlichen Angabe seiner eigenen Kontaktdaten.</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Verpackung wird ab 12.08.2026 in Verkehr gebracht → (a) Typen-, Chargen- oder Seriennummer oder anderes Identifikationselement (Wahlrecht; bestehende GTIN kann genügen, wenn eindeutig referenziert) UND (b) Name/eingetragene Marke, Postanschrift und digitale Kontaktmöglichkeit des Erzeugers – auf der Verpackung oder per Datenträger (QR) abrufbar.</w:t>
      </w:r>
    </w:p>
    <w:p>
      <w:pPr>
        <w:spacing w:after="20" w:before="60"/>
      </w:pPr>
      <w:r>
        <w:rPr>
          <w:rFonts w:ascii="Arial" w:cs="Arial" w:eastAsia="Arial" w:hAnsi="Arial"/>
          <w:b/>
          <w:bCs/>
          <w:sz w:val="18"/>
          <w:szCs w:val="18"/>
        </w:rPr>
        <w:t xml:space="preserve">Rechtsfolgen je Rolle:</w:t>
      </w:r>
    </w:p>
    <w:p>
      <w:pPr>
        <w:spacing w:after="40" w:before="0"/>
      </w:pPr>
      <w:r>
        <w:rPr>
          <w:rFonts w:ascii="Arial" w:cs="Arial" w:eastAsia="Arial" w:hAnsi="Arial"/>
          <w:sz w:val="18"/>
          <w:szCs w:val="18"/>
        </w:rPr>
        <w:t xml:space="preserve">erzeuger: Anbringung (einmal je Verpackungseinheit ausreichend, Art. 3 Abs. 1 Nr. 45 (!) V1-leicht)</w:t>
      </w:r>
    </w:p>
    <w:p>
      <w:pPr>
        <w:spacing w:after="40" w:before="0"/>
      </w:pPr>
      <w:r>
        <w:rPr>
          <w:rFonts w:ascii="Arial" w:cs="Arial" w:eastAsia="Arial" w:hAnsi="Arial"/>
          <w:sz w:val="18"/>
          <w:szCs w:val="18"/>
        </w:rPr>
        <w:t xml:space="preserve">importeur: eigene Angaben zusätzlich (Art. 18 Abs. 3), ohne Erzeugerangaben zu verdecken (!) V1</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Druckdaten/Etiketten aller SKUs prüfen und ergänzen; Import-SKUs: Importeursangaben sicherstellen; QR-Lösung als kombinierter Träger prüfen.</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formaler, leicht feststellbarer Verstoß; Korrektur-/Rückrufpflichten (Art. 15 Abs. 8 (!) V1).</w:t>
      </w:r>
    </w:p>
    <w:p>
      <w:pPr>
        <w:spacing w:after="20" w:before="60"/>
      </w:pPr>
      <w:r>
        <w:rPr>
          <w:rFonts w:ascii="Arial" w:cs="Arial" w:eastAsia="Arial" w:hAnsi="Arial"/>
          <w:b/>
          <w:bCs/>
          <w:sz w:val="18"/>
          <w:szCs w:val="18"/>
        </w:rPr>
        <w:t xml:space="preserve">VerpackDG-Ebene:</w:t>
      </w:r>
    </w:p>
    <w:p>
      <w:pPr>
        <w:spacing w:after="40" w:before="0"/>
      </w:pPr>
      <w:r>
        <w:rPr>
          <w:rFonts w:ascii="Arial" w:cs="Arial" w:eastAsia="Arial" w:hAnsi="Arial"/>
          <w:sz w:val="18"/>
          <w:szCs w:val="18"/>
        </w:rPr>
        <w:t xml:space="preserve">— (Materialkürzel-Regime § 4 → #19).</w:t>
      </w:r>
    </w:p>
    <w:p>
      <w:pPr>
        <w:keepNext/>
        <w:pBdr>
          <w:top w:val="single" w:color="24A27F" w:sz="4" w:space="4"/>
        </w:pBdr>
        <w:spacing w:after="40" w:before="260"/>
      </w:pPr>
      <w:r>
        <w:rPr>
          <w:rFonts w:ascii="Arial" w:cs="Arial" w:eastAsia="Arial" w:hAnsi="Arial"/>
          <w:b/>
          <w:bCs/>
          <w:color w:val="004494"/>
          <w:sz w:val="22"/>
          <w:szCs w:val="22"/>
        </w:rPr>
        <w:t xml:space="preserve">#08  </w:t>
      </w:r>
      <w:r>
        <w:rPr>
          <w:rFonts w:ascii="Arial" w:cs="Arial" w:eastAsia="Arial" w:hAnsi="Arial"/>
          <w:b/>
          <w:bCs/>
          <w:sz w:val="22"/>
          <w:szCs w:val="22"/>
        </w:rPr>
        <w:t xml:space="preserve">Rollenzuordnung &amp; erweiterte Herstellerpflichten</w:t>
      </w:r>
    </w:p>
    <w:p>
      <w:pPr>
        <w:spacing w:after="60" w:before="0"/>
      </w:pPr>
      <w:r>
        <w:rPr>
          <w:rFonts w:ascii="Arial" w:cs="Arial" w:eastAsia="Arial" w:hAnsi="Arial"/>
          <w:color w:val="6B7280"/>
          <w:sz w:val="16"/>
          <w:szCs w:val="16"/>
        </w:rPr>
        <w:t xml:space="preserve">Rollen / EPR · gilt seit 2026-08-12 · Rechtsquelle: Art. 3 Nr. 13/15 &amp; Art. 21 PPWR; §§ 6/7/13 VerpackDG · Rechtsstand 2026-10-17 · Version 5 · betrifft Rollen: erzeuger; hersteller; importeur; vertreiber; fulfillment</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PPWR und VerpackDG verteilen Pflichten strikt nach Rollen – und die Begriffe sind gegenläufig übersetzt: Der „Erzeuger“ (englisch manufacturer) trägt die Konformitätspflichten, der „Hersteller“ (englisch producer) die EPR-Pflichten wie Registrierung und Systembeteiligung. Eigenmarken, Import und gewerbliches Auspacken können zusätzliche Rollen auslösen – und zwar je Produktlinie. (Art. 3 Abs. 1 Nr. 13 u. 15, Art. 21 PPWR · §§ 6, 7, 9, 10, 13 VerpackDG)</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Die Pflichten sind je Produktlinie strikt rollenbasiert. Zentrale Übersetzungsfalle: „Erzeuger“ (EN manufacturer) steht für die Konformitätsschiene, „Hersteller“ (EN producer) für die erweiterte Herstellerverantwortung je Mitgliedstaat. Wer Eigenmarken fertigen lässt, wird Erzeuger (Art. 3 Abs. 1 Nr. 13 lit. a PPWR, Kleinstunternehmen-Ausnahme lit. b). Wer gewerblich auspackt, ohne Endabnehmer zu sein, wird Hersteller (Art. 3 Abs. 1 Nr. 15 lit. e PPWR). Importeure oder Vertreiber mit Eigenmarke oder konformitätsrelevanter Veränderung gelten als Erzeuger (Art. 21 PPWR). Die vollständige Herleitung samt Doppelrollen-Logik liefert die Rollen-Engine v0.91 (verbindliche interne Referenz).</w:t>
      </w:r>
    </w:p>
    <w:p>
      <w:pPr>
        <w:spacing w:after="40" w:before="0"/>
      </w:pPr>
      <w:r>
        <w:rPr>
          <w:rFonts w:ascii="Arial" w:cs="Arial" w:eastAsia="Arial" w:hAnsi="Arial"/>
          <w:sz w:val="18"/>
          <w:szCs w:val="18"/>
        </w:rPr>
        <w:t xml:space="preserve">Für Hersteller in Deutschland folgen daraus: Registrierung (§ 6 VerpackDG), Systembeteiligung (§ 7), Datenmeldung (§ 9), gegebenenfalls Vollständigkeitserklärung (§ 10) sowie Tätigkeitsverbote ohne Registrierung oder Beteiligung (§ 13). Übergänge: LUCID-Alt-Registrierungen gelten fort, Änderungsmitteilung bis 12.11.2026, neu Verpflichtete bis 12.09.2026 (§ 68 Abs. 2 VerpackDG).</w:t>
      </w:r>
    </w:p>
    <w:p>
      <w:pPr>
        <w:spacing w:after="40" w:before="0"/>
      </w:pPr>
      <w:r>
        <w:rPr>
          <w:rFonts w:ascii="Arial" w:cs="Arial" w:eastAsia="Arial" w:hAnsi="Arial"/>
          <w:sz w:val="18"/>
          <w:szCs w:val="18"/>
        </w:rPr>
        <w:t xml:space="preserve">Sanktionszeitschiene: Nationale Bußgelder nach § 66 Abs. 1 VerpackDG gelten seit dem 12.08.2026, Bußgelder für PPWR-Verstöße nach § 66 Abs. 2 erst ab dem 12.02.2027 (§ 68 Abs. 17). Das ist keine Schonfrist – Vertriebs- und Tätigkeitsverbote sowie Abmahnrisiken greifen sofort.</w:t>
      </w:r>
    </w:p>
    <w:p>
      <w:pPr>
        <w:spacing w:after="20" w:before="60"/>
      </w:pPr>
      <w:r>
        <w:rPr>
          <w:rFonts w:ascii="Arial" w:cs="Arial" w:eastAsia="Arial" w:hAnsi="Arial"/>
          <w:b/>
          <w:bCs/>
          <w:sz w:val="18"/>
          <w:szCs w:val="18"/>
        </w:rPr>
        <w:t xml:space="preserve">Erklärung (Rechtstext):</w:t>
      </w:r>
    </w:p>
    <w:p>
      <w:pPr>
        <w:spacing w:after="40" w:before="0"/>
      </w:pPr>
      <w:r>
        <w:rPr>
          <w:rFonts w:ascii="Arial" w:cs="Arial" w:eastAsia="Arial" w:hAnsi="Arial"/>
          <w:sz w:val="18"/>
          <w:szCs w:val="18"/>
        </w:rPr>
        <w:t xml:space="preserve">Art. 3 Abs. 1 Nr. 13 PPWR definiert den Erzeuger, einschließlich des Falls des Fertigenlassens unter eigenem Namen oder eigener Marke (lit. a) mit der Sonderregel für Kleinstunternehmen (lit. b). Art. 3 Abs. 1 Nr. 15 PPWR definiert den Hersteller für die erweiterte Herstellerverantwortung, einschließlich des gewerblichen Auspackens ohne Endabnehmer-Stellung (lit. e). Nach Art. 21 PPWR gilt ein Importeur oder Vertreiber als Erzeuger, wenn er Verpackungen unter eigenem Namen oder eigener Marke in Verkehr bringt oder sie konformitätsrelevant verändert.</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Pflichten sind je Produktlinie strikt rollenbasiert. Übersetzungsfalle: „Erzeuger" (EN manufacturer) = Konformitätsschiene; „Hersteller" (EN producer) = EPR je Mitgliedstaat. Eigenmarken-Fertigenlassen → Erzeuger (Nr. 13 lit. a; Kleinstunternehmen-Ausnahme lit. b); gewerbliches Auspacken ohne Endabnehmer zu sein → Hersteller (Nr. 15 lit. e); Importeur/Vertreiber mit Eigenmarke oder konformitätsrelevanter Veränderung → gilt als Erzeuger (Art. 21).</w:t>
      </w:r>
    </w:p>
    <w:p>
      <w:pPr>
        <w:spacing w:after="20" w:before="60"/>
      </w:pPr>
      <w:r>
        <w:rPr>
          <w:rFonts w:ascii="Arial" w:cs="Arial" w:eastAsia="Arial" w:hAnsi="Arial"/>
          <w:b/>
          <w:bCs/>
          <w:sz w:val="18"/>
          <w:szCs w:val="18"/>
        </w:rPr>
        <w:t xml:space="preserve">Rechtsfolgen je Rolle:</w:t>
      </w:r>
    </w:p>
    <w:p>
      <w:pPr>
        <w:spacing w:after="40" w:before="0"/>
      </w:pPr>
      <w:r>
        <w:rPr>
          <w:rFonts w:ascii="Arial" w:cs="Arial" w:eastAsia="Arial" w:hAnsi="Arial"/>
          <w:sz w:val="18"/>
          <w:szCs w:val="18"/>
        </w:rPr>
        <w:t xml:space="preserve">alle: vollständige Herleitung, Doppelrollen-Logik und Entscheidungsregeln: Rollen-Engine v0.91 (verbindlich). Hersteller in DE: Registrierung § 6, Systembeteiligung § 7, Datenmeldung § 9, ggf. Vollständigkeitserklärung § 10; Tätigkeitsverbote ohne Registrierung/Beteiligung § 13.</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Rollen-Check je Produktlinie (Wizard) → bei neuer Herstellerrolle Registrierung/Beteiligung anpassen.</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Vertriebs-/Tätigkeitsverbote (§ 13), Bußgeld § 66 Abs. 1 (ab 12.08.2026), Abmahnrisiko; PPWR-Bußgeldtatbestände ab 12.02.2027 (§ 68 Abs. 17).</w:t>
      </w:r>
    </w:p>
    <w:p>
      <w:pPr>
        <w:spacing w:after="20" w:before="60"/>
      </w:pPr>
      <w:r>
        <w:rPr>
          <w:rFonts w:ascii="Arial" w:cs="Arial" w:eastAsia="Arial" w:hAnsi="Arial"/>
          <w:b/>
          <w:bCs/>
          <w:sz w:val="18"/>
          <w:szCs w:val="18"/>
        </w:rPr>
        <w:t xml:space="preserve">Übergangsregeln:</w:t>
      </w:r>
    </w:p>
    <w:p>
      <w:pPr>
        <w:spacing w:after="40" w:before="0"/>
      </w:pPr>
      <w:r>
        <w:rPr>
          <w:rFonts w:ascii="Arial" w:cs="Arial" w:eastAsia="Arial" w:hAnsi="Arial"/>
          <w:sz w:val="18"/>
          <w:szCs w:val="18"/>
        </w:rPr>
        <w:t xml:space="preserve">LUCID-Alt-Registrierungen gelten fort; Änderungsmitteilung bis 12.11.2026; Neu-Verpflichtete bis 12.09.2026 (§ 68 Abs. 2) → #31.</w:t>
      </w:r>
    </w:p>
    <w:p>
      <w:pPr>
        <w:keepNext/>
        <w:pBdr>
          <w:top w:val="single" w:color="24A27F" w:sz="4" w:space="4"/>
        </w:pBdr>
        <w:spacing w:after="40" w:before="260"/>
      </w:pPr>
      <w:r>
        <w:rPr>
          <w:rFonts w:ascii="Arial" w:cs="Arial" w:eastAsia="Arial" w:hAnsi="Arial"/>
          <w:b/>
          <w:bCs/>
          <w:color w:val="004494"/>
          <w:sz w:val="22"/>
          <w:szCs w:val="22"/>
        </w:rPr>
        <w:t xml:space="preserve">#09  </w:t>
      </w:r>
      <w:r>
        <w:rPr>
          <w:rFonts w:ascii="Arial" w:cs="Arial" w:eastAsia="Arial" w:hAnsi="Arial"/>
          <w:b/>
          <w:bCs/>
          <w:sz w:val="22"/>
          <w:szCs w:val="22"/>
        </w:rPr>
        <w:t xml:space="preserve">Bevollmächtigter für die EHV (grenzüberschreitender Direktvertrieb)</w:t>
      </w:r>
    </w:p>
    <w:p>
      <w:pPr>
        <w:spacing w:after="60" w:before="0"/>
      </w:pPr>
      <w:r>
        <w:rPr>
          <w:rFonts w:ascii="Arial" w:cs="Arial" w:eastAsia="Arial" w:hAnsi="Arial"/>
          <w:color w:val="6B7280"/>
          <w:sz w:val="16"/>
          <w:szCs w:val="16"/>
        </w:rPr>
        <w:t xml:space="preserve">Rollen / EPR · gilt seit 2026-08-12 · Rechtsquelle: Art. 45 Abs. 3 &amp; Art. 3 Nr. 20 PPWR; § 5 Abs. 2–6 VerpackDG · Rechtsstand 2026-10-26 · Version 6 · betrifft Rollen: hersteller; bevollmaechtigter_ehv</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Wer als Hersteller ohne Niederlassung im Zielland dort erstmals Verpackungen bereitstellt – vor allem im Direktvertrieb an Endkunden aus einem anderen Mitgliedstaat – muss vorab je Vertriebsland einen Bevollmächtigten für die erweiterte Herstellerverantwortung benennen. Für Deutschland gilt: genau ein Bevollmächtigter, schriftliche Vollmacht auf Deutsch, er gilt als Hersteller – die Registrierung selbst bleibt aber beim Hersteller. (Art. 45 Abs. 3 PPWR · § 5 Abs. 2–6 VerpackDG)</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Hersteller ohne Niederlassung im Zielstaat, die dort erstmals bereitstellen – insbesondere im Fernabsatz direkt an Endabnehmer aus einem anderen Mitgliedstaat (Art. 3 Abs. 1 Nr. 15 lit. c/d PPWR) oder in der Drittlands-Konstellation (Art. 45 Abs. 3 Satz 2 PPWR) – müssen vor der ersten Bereitstellung je Vertriebsland einen EHV-Bevollmächtigten benennen (Art. 45 Abs. 3 Satz 1 und 2 i. V. m. Art. 3 Abs. 1 Nr. 20 PPWR). Ausnahme: eigene Niederlassung im Zielstaat.</w:t>
      </w:r>
    </w:p>
    <w:p>
      <w:pPr>
        <w:spacing w:after="40" w:before="0"/>
      </w:pPr>
      <w:r>
        <w:rPr>
          <w:rFonts w:ascii="Arial" w:cs="Arial" w:eastAsia="Arial" w:hAnsi="Arial"/>
          <w:sz w:val="18"/>
          <w:szCs w:val="18"/>
        </w:rPr>
        <w:t xml:space="preserve">Für den Weg nach Deutschland regelt § 5 Abs. 2–6 VerpackDG: genau ein Bevollmächtigter, schriftliche Vollmacht in deutscher Sprache, Benennung gegenüber der ZSVR mit Bestätigung. Der Bevollmächtigte gilt als Hersteller und handelt im eigenen Namen. Die Registrierung ist nicht delegierbar (§ 5 Abs. 1 Satz 2, Abs. 2 VerpackDG). Für den Weg aus Deutschland heraus ist die nationale Umsetzung je Zielland zu prüfen. Risiko: Vertriebsverbot im Zielland, in Deutschland Tätigkeitsverbot nach § 13 und Bußgeld nach § 66 VerpackDG.</w:t>
      </w:r>
    </w:p>
    <w:p>
      <w:pPr>
        <w:spacing w:after="40" w:before="0"/>
      </w:pPr>
      <w:r>
        <w:rPr>
          <w:rFonts w:ascii="Arial" w:cs="Arial" w:eastAsia="Arial" w:hAnsi="Arial"/>
          <w:sz w:val="18"/>
          <w:szCs w:val="18"/>
        </w:rPr>
        <w:t xml:space="preserve">Aktualisierung 17.10.2026: siehe Praxisfrage A35.</w:t>
      </w:r>
    </w:p>
    <w:p>
      <w:pPr>
        <w:spacing w:after="40" w:before="0"/>
      </w:pPr>
      <w:r>
        <w:rPr>
          <w:rFonts w:ascii="Arial" w:cs="Arial" w:eastAsia="Arial" w:hAnsi="Arial"/>
          <w:sz w:val="18"/>
          <w:szCs w:val="18"/>
        </w:rPr>
        <w:t xml:space="preserve">Aktualisierung 26.10.2026: EP (20.10.) und Rat (21.10.) haben Verhandlungspositionen zur Aussetzung beschlossen, Trilog folgt. Pflicht gilt unveraendert (vgl. Praxisfrage A35).</w:t>
      </w:r>
    </w:p>
    <w:p>
      <w:pPr>
        <w:spacing w:after="20" w:before="60"/>
      </w:pPr>
      <w:r>
        <w:rPr>
          <w:rFonts w:ascii="Arial" w:cs="Arial" w:eastAsia="Arial" w:hAnsi="Arial"/>
          <w:b/>
          <w:bCs/>
          <w:sz w:val="18"/>
          <w:szCs w:val="18"/>
        </w:rPr>
        <w:t xml:space="preserve">Erklärung (Rechtstext):</w:t>
      </w:r>
    </w:p>
    <w:p>
      <w:pPr>
        <w:spacing w:after="40" w:before="0"/>
      </w:pPr>
      <w:r>
        <w:rPr>
          <w:rFonts w:ascii="Arial" w:cs="Arial" w:eastAsia="Arial" w:hAnsi="Arial"/>
          <w:sz w:val="18"/>
          <w:szCs w:val="18"/>
        </w:rPr>
        <w:t xml:space="preserve">Art. 45 Abs. 3 Satz 1 und 2 PPWR i. V. m. Art. 3 Abs. 1 Nr. 20 PPWR verpflichtet Hersteller ohne Niederlassung im Mitgliedstaat der erstmaligen Bereitstellung zur Benennung eines Bevollmächtigten für die erweiterte Herstellerverantwortung. § 5 Abs. 2–6 VerpackDG konkretisiert für Deutschland: ein einziger Bevollmächtigter, schriftliche Vollmacht in deutscher Sprache, Benennung gegenüber der ZSVR mit Bestätigung, Herstellerfiktion und Handeln im eigenen Namen. Nach § 5 Abs. 1 Satz 2 VerpackDG ist die Registrierung nicht auf Dritte übertragbar.</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Hersteller ohne Niederlassung im Zielstaat, der dort erstmals bereitstellt (insb. Fernabsatz direkt an Endabnehmer aus anderem Mitgliedstaat, Nr. 15 lit. c/d) oder Drittlands-Konstellation (Art. 45 Abs. 3 S. 2) → Pflicht zur Benennung eines EHV-Bevollmächtigten je Vertriebsland, vor der ersten Bereitstellung.</w:t>
      </w:r>
    </w:p>
    <w:p>
      <w:pPr>
        <w:spacing w:after="20" w:before="60"/>
      </w:pPr>
      <w:r>
        <w:rPr>
          <w:rFonts w:ascii="Arial" w:cs="Arial" w:eastAsia="Arial" w:hAnsi="Arial"/>
          <w:b/>
          <w:bCs/>
          <w:sz w:val="18"/>
          <w:szCs w:val="18"/>
        </w:rPr>
        <w:t xml:space="preserve">Rechtsfolgen je Rolle:</w:t>
      </w:r>
    </w:p>
    <w:p>
      <w:pPr>
        <w:spacing w:after="40" w:before="0"/>
      </w:pPr>
      <w:r>
        <w:rPr>
          <w:rFonts w:ascii="Arial" w:cs="Arial" w:eastAsia="Arial" w:hAnsi="Arial"/>
          <w:sz w:val="18"/>
          <w:szCs w:val="18"/>
        </w:rPr>
        <w:t xml:space="preserve">alle: DE-Inbound: § 5 Abs. 2–6 – genau ein Bevollmächtigter, schriftliche Vollmacht in deutscher Sprache, Benennung ggü. ZSVR mit Bestätigung, Bevollmächtigter gilt als Hersteller und handelt im eigenen Namen; Registrierung nicht delegierbar (§ 5 Abs. 1 S. 2, Abs. 2). DE-Outbound: je Zielland nationale Umsetzung prüfen → Auslegungs-Datensatz Schicht 3 je Land (Roadmap).</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Vertriebsländer aus dem Profil abgleichen → Bevollmächtigte/Dienstleister bestellen, Nachweise dokumentieren; Wizard F10 triggert die Prüfung.</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Vertriebsverbot im Zielland; in DE Tätigkeitsverbot § 13, Bußgeld § 66.</w:t>
      </w:r>
    </w:p>
    <w:p>
      <w:pPr>
        <w:spacing w:after="20" w:before="60"/>
      </w:pPr>
      <w:r>
        <w:rPr>
          <w:rFonts w:ascii="Arial" w:cs="Arial" w:eastAsia="Arial" w:hAnsi="Arial"/>
          <w:b/>
          <w:bCs/>
          <w:sz w:val="18"/>
          <w:szCs w:val="18"/>
        </w:rPr>
        <w:t xml:space="preserve">Ausnahmen:</w:t>
      </w:r>
    </w:p>
    <w:p>
      <w:pPr>
        <w:spacing w:after="40" w:before="0"/>
      </w:pPr>
      <w:r>
        <w:rPr>
          <w:rFonts w:ascii="Arial" w:cs="Arial" w:eastAsia="Arial" w:hAnsi="Arial"/>
          <w:sz w:val="18"/>
          <w:szCs w:val="18"/>
        </w:rPr>
        <w:t xml:space="preserve">eigene Niederlassung im Zielstaat.</w:t>
      </w:r>
    </w:p>
    <w:p>
      <w:pPr>
        <w:keepNext/>
        <w:pBdr>
          <w:top w:val="single" w:color="24A27F" w:sz="4" w:space="4"/>
        </w:pBdr>
        <w:spacing w:after="40" w:before="260"/>
      </w:pPr>
      <w:r>
        <w:rPr>
          <w:rFonts w:ascii="Arial" w:cs="Arial" w:eastAsia="Arial" w:hAnsi="Arial"/>
          <w:b/>
          <w:bCs/>
          <w:color w:val="004494"/>
          <w:sz w:val="22"/>
          <w:szCs w:val="22"/>
        </w:rPr>
        <w:t xml:space="preserve">#10  </w:t>
      </w:r>
      <w:r>
        <w:rPr>
          <w:rFonts w:ascii="Arial" w:cs="Arial" w:eastAsia="Arial" w:hAnsi="Arial"/>
          <w:b/>
          <w:bCs/>
          <w:sz w:val="22"/>
          <w:szCs w:val="22"/>
        </w:rPr>
        <w:t xml:space="preserve">Was JETZT NICHT gilt (Entwarnung mit Frist)</w:t>
      </w:r>
    </w:p>
    <w:p>
      <w:pPr>
        <w:spacing w:after="60" w:before="0"/>
      </w:pPr>
      <w:r>
        <w:rPr>
          <w:rFonts w:ascii="Arial" w:cs="Arial" w:eastAsia="Arial" w:hAnsi="Arial"/>
          <w:color w:val="6B7280"/>
          <w:sz w:val="16"/>
          <w:szCs w:val="16"/>
        </w:rPr>
        <w:t xml:space="preserve">Sonstiges · gilt ab  · Rechtsquelle: Art. 6/7/10/12/24/25/29 PPWR · Rechtsstand 2026-10-17 · Version 5 · betrifft Rollen: erzeuger; hersteller; importeur; vertreiber; endvertreiber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Entwarnung mit Ansage: Recyclingklassen, EU-Rezyklatquoten, das Sortierlabel, die Leerraumquote, die Anhang-V-Verbote und die Mehrwegquoten gelten noch nicht – sie kommen gestaffelt ab 2028/2030, teils erst nach ausstehenden EU-Rechtsakten. Aber Vorsicht: Unverkaufte Lagerware beim Erzeuger oder Importeur ist noch nicht „in Verkehr gebracht“ und muss ab dem Stichtag die geltenden Pflichten erfüllen. Und die deutschen Pflichten – Registrierung, Systembeteiligung, Pfand, Mehrwegangebot – gelten unabhängig davon jetzt.</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Recyclingfähigkeits-Einstufung (Klassen A/B/C), Mindestrezyklatanteile auf EU-Ebene, das harmonisierte Sortierlabel, die Leerraumquote, die Verpackungsverbote des Anhangs V und die Mehrwegquoten (Art. 6 Abs. 2–5, Art. 7, Art. 10, Art. 12, Art. 24, Art. 25, Art. 29–31 PPWR) gelten noch nicht, sondern gestaffelt ab 2028/2030, teils erst nach ausstehenden Rechtsakten.</w:t>
      </w:r>
    </w:p>
    <w:p>
      <w:pPr>
        <w:spacing w:after="40" w:before="0"/>
      </w:pPr>
      <w:r>
        <w:rPr>
          <w:rFonts w:ascii="Arial" w:cs="Arial" w:eastAsia="Arial" w:hAnsi="Arial"/>
          <w:sz w:val="18"/>
          <w:szCs w:val="18"/>
        </w:rPr>
        <w:t xml:space="preserve">Drei Präzisierungen: (a) Art. 6 Abs. 1 PPWR („recyclingfähig“) gilt formal bereits – im Übergang nach dem Maßstab des Alt-Rechts (siehe Anforderung 11). (b) Maßgeblich ist das Inverkehrbringen als erstmalige Bereitstellung (Art. 3 Abs. 1 Nr. 10/11 PPWR): Bereits in Verkehr Gebrachtes einschließlich Handelsware im Markt darf abverkauft werden, unverkaufte Lagerware beim Erzeuger oder Importeur muss ab dem Stichtag die geltenden Pflichten erfüllen – bei PFAS ausdrücklich ohne Abverkaufsfrist (Leitfaden Abschn. 5 – unverbindliche Auslegung der EU-Kommission). Die verbreitete Verkürzung „Lagerbestände sind sicher“ ist falsch. (c) Die deutschen Pflichten gelten unabhängig davon jetzt: Registrierung, Systembeteiligung, Pfand, Mehrwegangebot, Tragetaschenverbot und die Rezyklatquote nach § 45 VerpackDG (siehe Anforderungen 25, 29, 31–36).</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keine Sofortmaßnahme aus den 2028/2030-Pflichten – Fristen im Dashboard verfolgen; der Radar meldet Rechtsakte, sobald die Uhr läuft.</w:t>
      </w:r>
    </w:p>
    <w:p>
      <w:pPr>
        <w:spacing w:after="40" w:before="0"/>
      </w:pPr>
      <w:r>
        <w:rPr>
          <w:rFonts w:ascii="Arial" w:cs="Arial" w:eastAsia="Arial" w:hAnsi="Arial"/>
          <w:sz w:val="18"/>
          <w:szCs w:val="18"/>
        </w:rPr>
        <w:t xml:space="preserve">Nutzen im Produkt: glaubwürdigste Botschaft – wir sagen auch, was man (noch) nicht tun muss, und korrigieren die „Lagerbestände sind sicher"-Verkürzung.</w:t>
      </w:r>
    </w:p>
    <w:p>
      <w:pPr>
        <w:keepNext/>
        <w:pBdr>
          <w:top w:val="single" w:color="24A27F" w:sz="4" w:space="4"/>
        </w:pBdr>
        <w:spacing w:after="40" w:before="260"/>
      </w:pPr>
      <w:r>
        <w:rPr>
          <w:rFonts w:ascii="Arial" w:cs="Arial" w:eastAsia="Arial" w:hAnsi="Arial"/>
          <w:b/>
          <w:bCs/>
          <w:color w:val="004494"/>
          <w:sz w:val="22"/>
          <w:szCs w:val="22"/>
        </w:rPr>
        <w:t xml:space="preserve">#11  </w:t>
      </w:r>
      <w:r>
        <w:rPr>
          <w:rFonts w:ascii="Arial" w:cs="Arial" w:eastAsia="Arial" w:hAnsi="Arial"/>
          <w:b/>
          <w:bCs/>
          <w:sz w:val="22"/>
          <w:szCs w:val="22"/>
        </w:rPr>
        <w:t xml:space="preserve">Recyclingfähigkeit: Grundpflicht Art. 6 Abs. 1 (Übergangsverständnis)</w:t>
      </w:r>
    </w:p>
    <w:p>
      <w:pPr>
        <w:spacing w:after="60" w:before="0"/>
      </w:pPr>
      <w:r>
        <w:rPr>
          <w:rFonts w:ascii="Arial" w:cs="Arial" w:eastAsia="Arial" w:hAnsi="Arial"/>
          <w:color w:val="6B7280"/>
          <w:sz w:val="16"/>
          <w:szCs w:val="16"/>
        </w:rPr>
        <w:t xml:space="preserve">Konformität · gilt seit 2026-08-12 · Rechtsquelle: Art. 6 Abs. 1/2 PPWR; Art. 70; EN 13430 · Rechtsstand 2026-10-17 · Version 5 · betrifft Rollen: erzeuger; importeur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„Alle in Verkehr gebrachten Verpackungen müssen recyclingfähig sein“ – dieser Satz gilt seit dem 12.08.2026. Bis die EU die Detailkriterien per Rechtsakt festlegt, misst sich das laut EU-Kommission aber am alten Maßstab (Richtlinie 94/62/EG, EN 13430) – und eine Bewertungspflicht für die Recyclingfähigkeit gibt es noch nicht. Keine Panik-Maßnahme nötig. (Art. 6 Abs. 1 PPWR)</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Art. 6 Abs. 1 PPWR gilt ohne eigene Frist seit dem 12.08.2026. Bis zum Geltungsbeginn der Design-for-Recycling-Kriterien (siehe Anforderung 12) ist nach dem Leitfaden nur der Alt-Maßstab geschuldet – die wesentlichen Anforderungen der Richtlinie 94/62/EG und EN 13430:2004 – und es besteht keine Konformitätsbewertungspflicht für die Recyclingfähigkeit (Leitfaden Abschn. 6 – unverbindliche Auslegung der EU-Kommission). Der Erzeuger sollte die EN-13430-Konformität weiter einhalten und belegen können, eine neue Doku-Sektion ist nicht nötig.</w:t>
      </w:r>
    </w:p>
    <w:p>
      <w:pPr>
        <w:spacing w:after="40" w:before="0"/>
      </w:pPr>
      <w:r>
        <w:rPr>
          <w:rFonts w:ascii="Arial" w:cs="Arial" w:eastAsia="Arial" w:hAnsi="Arial"/>
          <w:sz w:val="18"/>
          <w:szCs w:val="18"/>
        </w:rPr>
        <w:t xml:space="preserve">Ausnahmen: Materialien und Anwendungen nach Art. 6 Abs. 11 PPWR, unter anderem textile Verkaufsverpackungen (lit. g). (!) V3: Die vollständige Ausnahmenliste ist noch gegen den Volltext zu pinnen. Doppel-Layer Deutschland: Der ZSVR-Mindeststandard Recyclingfähigkeit bleibt bis zu den delegierten Rechtsakten Bemessungsmaßstab der Ökomodulation (§ 26a Abs. 2 Nr. 1 lit. a VerpackDG, siehe Anforderung 35).</w:t>
      </w:r>
    </w:p>
    <w:p>
      <w:pPr>
        <w:spacing w:after="20" w:before="60"/>
      </w:pPr>
      <w:r>
        <w:rPr>
          <w:rFonts w:ascii="Arial" w:cs="Arial" w:eastAsia="Arial" w:hAnsi="Arial"/>
          <w:b/>
          <w:bCs/>
          <w:sz w:val="18"/>
          <w:szCs w:val="18"/>
        </w:rPr>
        <w:t xml:space="preserve">Erklärung (Rechtstext):</w:t>
      </w:r>
    </w:p>
    <w:p>
      <w:pPr>
        <w:spacing w:after="40" w:before="0"/>
      </w:pPr>
      <w:r>
        <w:rPr>
          <w:rFonts w:ascii="Arial" w:cs="Arial" w:eastAsia="Arial" w:hAnsi="Arial"/>
          <w:sz w:val="18"/>
          <w:szCs w:val="18"/>
        </w:rPr>
        <w:t xml:space="preserve">Art. 6 Abs. 1 PPWR bestimmt, dass alle in Verkehr gebrachten Verpackungen recyclingfähig sein müssen. Art. 6 Abs. 11 PPWR nimmt bestimmte Materialien und Anwendungen von einzelnen Vorgaben aus. Die Leistungsklassen und Detailkriterien folgen erst aus den delegierten Rechtsakten nach Art. 6 Abs. 4 PPWR.</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„Alle in Verkehr gebrachten Verpackungen müssen recyclingfähig sein" – gilt ohne eigene Frist ab 12.08.2026. Bis zum Geltungsbeginn der DfR-Kriterien (#12) ist lt. Leitfaden nur der Alt-Maßstab (94/62/EG-wesentliche Anforderungen, EN 13430) geschuldet; keine Konformitätsbewertungspflicht für Recyclingfähigkeit bis zum Inkrafttreten der delegierten Rechtsakte.</w:t>
      </w:r>
    </w:p>
    <w:p>
      <w:pPr>
        <w:spacing w:after="20" w:before="60"/>
      </w:pPr>
      <w:r>
        <w:rPr>
          <w:rFonts w:ascii="Arial" w:cs="Arial" w:eastAsia="Arial" w:hAnsi="Arial"/>
          <w:b/>
          <w:bCs/>
          <w:sz w:val="18"/>
          <w:szCs w:val="18"/>
        </w:rPr>
        <w:t xml:space="preserve">Rechtsfolgen je Rolle:</w:t>
      </w:r>
    </w:p>
    <w:p>
      <w:pPr>
        <w:spacing w:after="40" w:before="0"/>
      </w:pPr>
      <w:r>
        <w:rPr>
          <w:rFonts w:ascii="Arial" w:cs="Arial" w:eastAsia="Arial" w:hAnsi="Arial"/>
          <w:sz w:val="18"/>
          <w:szCs w:val="18"/>
        </w:rPr>
        <w:t xml:space="preserve">erzeuger: Alt-Maßstab weiter einhalten und belegen können; keine neue Doku-Sektion nötig (Leitfaden Abschn. 6 – unverbindliche Auslegung, so kennzeichnen)</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keine Panik-Maßnahme; EN-13430-Konformität dokumentieren; DfR-Radar abonnieren (R1).</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gering bis DfR-Rechtsakte; danach hart (#12).</w:t>
      </w:r>
    </w:p>
    <w:p>
      <w:pPr>
        <w:spacing w:after="20" w:before="60"/>
      </w:pPr>
      <w:r>
        <w:rPr>
          <w:rFonts w:ascii="Arial" w:cs="Arial" w:eastAsia="Arial" w:hAnsi="Arial"/>
          <w:b/>
          <w:bCs/>
          <w:sz w:val="18"/>
          <w:szCs w:val="18"/>
        </w:rPr>
        <w:t xml:space="preserve">Ausnahmen:</w:t>
      </w:r>
    </w:p>
    <w:p>
      <w:pPr>
        <w:spacing w:after="40" w:before="0"/>
      </w:pPr>
      <w:r>
        <w:rPr>
          <w:rFonts w:ascii="Arial" w:cs="Arial" w:eastAsia="Arial" w:hAnsi="Arial"/>
          <w:sz w:val="18"/>
          <w:szCs w:val="18"/>
        </w:rPr>
        <w:t xml:space="preserve">Materialien/Anwendungen nach Art. 6 Abs. 11 (u. a. textile Verkaufsverpackung lit. g; Liste (!) V3 gegen Volltext pinnen).</w:t>
      </w:r>
    </w:p>
    <w:p>
      <w:pPr>
        <w:spacing w:after="20" w:before="60"/>
      </w:pPr>
      <w:r>
        <w:rPr>
          <w:rFonts w:ascii="Arial" w:cs="Arial" w:eastAsia="Arial" w:hAnsi="Arial"/>
          <w:b/>
          <w:bCs/>
          <w:sz w:val="18"/>
          <w:szCs w:val="18"/>
        </w:rPr>
        <w:t xml:space="preserve">VerpackDG-Ebene:</w:t>
      </w:r>
    </w:p>
    <w:p>
      <w:pPr>
        <w:spacing w:after="40" w:before="0"/>
      </w:pPr>
      <w:r>
        <w:rPr>
          <w:rFonts w:ascii="Arial" w:cs="Arial" w:eastAsia="Arial" w:hAnsi="Arial"/>
          <w:sz w:val="18"/>
          <w:szCs w:val="18"/>
        </w:rPr>
        <w:t xml:space="preserve">Mindeststandard Recyclingfähigkeit der ZSVR bleibt Bemessungsmaßstab der Ökomodulation bis zu den delegierten Rechtsakten (§ 26a Abs. 2 Nr. 1 lit. a) → #35.</w:t>
      </w:r>
    </w:p>
    <w:p>
      <w:pPr>
        <w:keepNext/>
        <w:pBdr>
          <w:top w:val="single" w:color="24A27F" w:sz="4" w:space="4"/>
        </w:pBdr>
        <w:spacing w:after="40" w:before="260"/>
      </w:pPr>
      <w:r>
        <w:rPr>
          <w:rFonts w:ascii="Arial" w:cs="Arial" w:eastAsia="Arial" w:hAnsi="Arial"/>
          <w:b/>
          <w:bCs/>
          <w:color w:val="004494"/>
          <w:sz w:val="22"/>
          <w:szCs w:val="22"/>
        </w:rPr>
        <w:t xml:space="preserve">#12  </w:t>
      </w:r>
      <w:r>
        <w:rPr>
          <w:rFonts w:ascii="Arial" w:cs="Arial" w:eastAsia="Arial" w:hAnsi="Arial"/>
          <w:b/>
          <w:bCs/>
          <w:sz w:val="22"/>
          <w:szCs w:val="22"/>
        </w:rPr>
        <w:t xml:space="preserve">Design-for-Recycling-Einstufung (Klassen A/B/C)</w:t>
      </w:r>
    </w:p>
    <w:p>
      <w:pPr>
        <w:spacing w:after="60" w:before="0"/>
      </w:pPr>
      <w:r>
        <w:rPr>
          <w:rFonts w:ascii="Arial" w:cs="Arial" w:eastAsia="Arial" w:hAnsi="Arial"/>
          <w:color w:val="6B7280"/>
          <w:sz w:val="16"/>
          <w:szCs w:val="16"/>
        </w:rPr>
        <w:t xml:space="preserve">Konformität · Rechtsakt ausstehend, geplant ab 2030-01-01 · Rechtsquelle: Art. 6 Abs. 4 PPWR (delegierte Rechtsakte bis 01.01.2028) · Rechtsstand 2026-10-17 · Version 5 · betrifft Rollen: erzeuger; importeur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Künftig muss jede Verpackung recyclinggerecht designt und in Leistungsklassen (A/B/C) eingestuft sein – wer unter der Mindestklasse liegt, darf nicht mehr in Verkehr bringen. Die Detailkriterien legt die EU erst per delegierte Rechtsakte fest (Frist: 01.01.2028). Gelten wird das ab dem 01.01.2030 oder 24 Monate nach den Rechtsakten – je nachdem, was später ist. (Art. 6 Abs. 2 lit. a i. V. m. Abs. 4 PPWR)</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Nach Art. 6 Abs. 2 lit. a i. V. m. Abs. 4 PPWR müssen Verpackungen künftig recyclinggerecht designt sein – gemäß harmonisierten Design-for-Recycling-Kriterien je Verpackungskategorie mit Einstufung in Leistungsklassen. Unterhalb der Mindestklasse ist die Verpackung nicht verkehrsfähig. Die delegierten Rechtsakte sind bis zum 01.01.2028 zu erlassen, die Pflicht gilt ab dem 01.01.2030 oder 24 Monate nach deren Inkrafttreten (späterer Zeitpunkt). Ab Geltung wird die Einstufung Teil der Konformitätsbewertung und Dokumentation (Anforderungen 4 und 5) und ist relevant für die Ökomodulation (Anforderung 35). Bis dahin gilt das Übergangsverständnis der Anforderung 11.</w:t>
      </w:r>
    </w:p>
    <w:p>
      <w:pPr>
        <w:spacing w:after="40" w:before="0"/>
      </w:pPr>
      <w:r>
        <w:rPr>
          <w:rFonts w:ascii="Arial" w:cs="Arial" w:eastAsia="Arial" w:hAnsi="Arial"/>
          <w:sz w:val="18"/>
          <w:szCs w:val="18"/>
        </w:rPr>
        <w:t xml:space="preserve">Ein Portfolio-Screening nach absehbaren Kritikalitäten (Verbunde, Barrieren, Carbon Black) ist sinnvolle Vorbereitung – als Design-Empfehlung, nicht als geltende Pflicht. Der Radar meldet den Erlass der Rechtsakte (Beobachtung R1).</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Verpackung muss recyclinggerecht designt sein gemäß harmonisierten DfR-Kriterien je Verpackungskategorie; Einstufung in Leistungsklassen; unterhalb Mindestklasse → nicht verkehrsfähig.</w:t>
      </w:r>
    </w:p>
    <w:p>
      <w:pPr>
        <w:spacing w:after="20" w:before="60"/>
      </w:pPr>
      <w:r>
        <w:rPr>
          <w:rFonts w:ascii="Arial" w:cs="Arial" w:eastAsia="Arial" w:hAnsi="Arial"/>
          <w:b/>
          <w:bCs/>
          <w:sz w:val="18"/>
          <w:szCs w:val="18"/>
        </w:rPr>
        <w:t xml:space="preserve">Rechtsfolgen je Rolle:</w:t>
      </w:r>
    </w:p>
    <w:p>
      <w:pPr>
        <w:spacing w:after="40" w:before="0"/>
      </w:pPr>
      <w:r>
        <w:rPr>
          <w:rFonts w:ascii="Arial" w:cs="Arial" w:eastAsia="Arial" w:hAnsi="Arial"/>
          <w:sz w:val="18"/>
          <w:szCs w:val="18"/>
        </w:rPr>
        <w:t xml:space="preserve">alle: ab Geltung Teil der Konformitätsbewertung/Doku (#4/#5); Ökomodulations-Relevanz (#35).</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Portfolio-Screening nach absehbaren Kritikalitäten (Verbunde, Barrieren, Carbon Black etc.) als Vorbereitung – als Design-Empfehlung kennzeichnen, nicht als geltende Pflicht.</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künftig Vertriebsverbot; hoher Redesign-Vorlauf → früh planen.</w:t>
      </w:r>
    </w:p>
    <w:p>
      <w:pPr>
        <w:spacing w:after="20" w:before="60"/>
      </w:pPr>
      <w:r>
        <w:rPr>
          <w:rFonts w:ascii="Arial" w:cs="Arial" w:eastAsia="Arial" w:hAnsi="Arial"/>
          <w:b/>
          <w:bCs/>
          <w:sz w:val="18"/>
          <w:szCs w:val="18"/>
        </w:rPr>
        <w:t xml:space="preserve">Übergangsregeln:</w:t>
      </w:r>
    </w:p>
    <w:p>
      <w:pPr>
        <w:spacing w:after="40" w:before="0"/>
      </w:pPr>
      <w:r>
        <w:rPr>
          <w:rFonts w:ascii="Arial" w:cs="Arial" w:eastAsia="Arial" w:hAnsi="Arial"/>
          <w:sz w:val="18"/>
          <w:szCs w:val="18"/>
        </w:rPr>
        <w:t xml:space="preserve">bis dahin #11.</w:t>
      </w:r>
    </w:p>
    <w:p>
      <w:pPr>
        <w:spacing w:after="40" w:before="0"/>
      </w:pPr>
      <w:r>
        <w:rPr>
          <w:rFonts w:ascii="Arial" w:cs="Arial" w:eastAsia="Arial" w:hAnsi="Arial"/>
          <w:sz w:val="18"/>
          <w:szCs w:val="18"/>
        </w:rPr>
        <w:t xml:space="preserve">Radar-Beobachtung: R1 (delegierte Rechtsakte, Frist 01.01.2028).</w:t>
      </w:r>
    </w:p>
    <w:p>
      <w:pPr>
        <w:keepNext/>
        <w:pBdr>
          <w:top w:val="single" w:color="24A27F" w:sz="4" w:space="4"/>
        </w:pBdr>
        <w:spacing w:after="40" w:before="260"/>
      </w:pPr>
      <w:r>
        <w:rPr>
          <w:rFonts w:ascii="Arial" w:cs="Arial" w:eastAsia="Arial" w:hAnsi="Arial"/>
          <w:b/>
          <w:bCs/>
          <w:color w:val="004494"/>
          <w:sz w:val="22"/>
          <w:szCs w:val="22"/>
        </w:rPr>
        <w:t xml:space="preserve">#13  </w:t>
      </w:r>
      <w:r>
        <w:rPr>
          <w:rFonts w:ascii="Arial" w:cs="Arial" w:eastAsia="Arial" w:hAnsi="Arial"/>
          <w:b/>
          <w:bCs/>
          <w:sz w:val="22"/>
          <w:szCs w:val="22"/>
        </w:rPr>
        <w:t xml:space="preserve">Recycled at scale</w:t>
      </w:r>
    </w:p>
    <w:p>
      <w:pPr>
        <w:spacing w:after="60" w:before="0"/>
      </w:pPr>
      <w:r>
        <w:rPr>
          <w:rFonts w:ascii="Arial" w:cs="Arial" w:eastAsia="Arial" w:hAnsi="Arial"/>
          <w:color w:val="6B7280"/>
          <w:sz w:val="16"/>
          <w:szCs w:val="16"/>
        </w:rPr>
        <w:t xml:space="preserve">Konformität · Rechtsakt ausstehend, geplant ab 2035-01-01 · Rechtsquelle: Art. 6 Abs. 2 lit. b &amp; Abs. 5 PPWR · Rechtsstand 2026-10-17 · Version 5 · betrifft Rollen: erzeuger; importeur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In einer zweiten Stufe gilt eine Verpackung nur noch als recyclingfähig, wenn sie tatsächlich in großem Maßstab getrennt gesammelt, sortiert und recycelt wird. Die Methodik legt die EU erst per Durchführungsrechtsakte fest. Gelten wird das ab dem 01.01.2035 – vorher ist keine Maßnahme nötig, der Radar beobachtet. (Art. 6 Abs. 2 lit. b i. V. m. Abs. 5 PPWR)</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Nach Art. 6 Abs. 2 lit. b i. V. m. Abs. 5 PPWR gilt eine Verpackung künftig nur als recyclingfähig, wenn sie getrennt gesammelt, sortiert und „at scale“ recycelt wird. Die Methodik und Schwellenwerte je Materialstrom kommen per Durchführungsrechtsakt. Geltungsbeginn ist der 01.01.2035 beziehungsweise fünf Jahre nach den Durchführungsrechtsakten (späterer Zeitpunkt). Vor 2030 ist keine Maßnahme erforderlich, der Radar beobachtet den Rechtsakt-Erlass (Beobachtung R2).</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Verpackung gilt nur als recyclingfähig, wenn sie getrennt gesammelt, sortiert und „at scale" recycelt wird (Methodik per Durchführungsrechtsakt).</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nur Radar-Beobachtung (R2); keine Maßnahme vor 2030.</w:t>
      </w:r>
    </w:p>
    <w:p>
      <w:pPr>
        <w:keepNext/>
        <w:pBdr>
          <w:top w:val="single" w:color="24A27F" w:sz="4" w:space="4"/>
        </w:pBdr>
        <w:spacing w:after="40" w:before="260"/>
      </w:pPr>
      <w:r>
        <w:rPr>
          <w:rFonts w:ascii="Arial" w:cs="Arial" w:eastAsia="Arial" w:hAnsi="Arial"/>
          <w:b/>
          <w:bCs/>
          <w:color w:val="004494"/>
          <w:sz w:val="22"/>
          <w:szCs w:val="22"/>
        </w:rPr>
        <w:t xml:space="preserve">#14  </w:t>
      </w:r>
      <w:r>
        <w:rPr>
          <w:rFonts w:ascii="Arial" w:cs="Arial" w:eastAsia="Arial" w:hAnsi="Arial"/>
          <w:b/>
          <w:bCs/>
          <w:sz w:val="22"/>
          <w:szCs w:val="22"/>
        </w:rPr>
        <w:t xml:space="preserve">Mindestrezyklatanteile Kunststoff (EU)</w:t>
      </w:r>
    </w:p>
    <w:p>
      <w:pPr>
        <w:spacing w:after="60" w:before="0"/>
      </w:pPr>
      <w:r>
        <w:rPr>
          <w:rFonts w:ascii="Arial" w:cs="Arial" w:eastAsia="Arial" w:hAnsi="Arial"/>
          <w:color w:val="6B7280"/>
          <w:sz w:val="16"/>
          <w:szCs w:val="16"/>
        </w:rPr>
        <w:t xml:space="preserve">Stoffrecht · Rechtsakt ausstehend, geplant ab 2030-01-01 · Rechtsquelle: Art. 7 PPWR · Rechtsstand 2026-10-17 · Version 5 · betrifft Rollen: erzeuger; importeur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Ab dem 01.01.2030 muss jede Kunststoffverpackung Mindest-Rezyklatanteile enthalten – gestaffelt nach vier Kategorien, eine zweite Stufe folgt 2040. Die genauen Prozentwerte stehen in Art. 7 PPWR und werden im Produkt erst nach finaler Prüfung gegen den Volltext ausgewiesen. (!) Wichtig für Deutschland: Für PET-Einwegflaschen gilt schon heute eine eigene nationale Quote. (Art. 7 Abs. 1 PPWR)</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Art. 7 Abs. 1 PPWR verlangt ab dem 01.01.2030 je Einheit Kunststoffverpackung Mindest-Rezyklatanteile in vier Kategorien (kontaktempfindlich PET, kontaktempfindlich sonstige, Einweg-Getränkeflaschen, übrige – lit. a–d, zweite Stufe 2040). (!) V4: Die Prozentwerte werden erst nach absatzgenauem Pin gegen den Volltext ausgespielt, nicht aus Sekundärquellen übernommen. Der Durchführungsrechtsakt zur Berechnungsmethodik ist bis zum 31.12.2026 zu erlassen ((!) V4, Radar R4), die Neubewertung kontaktempfindlicher Verpackungen folgt bis zum 01.01.2028 (Art. 7 Abs. 12).</w:t>
      </w:r>
    </w:p>
    <w:p>
      <w:pPr>
        <w:spacing w:after="40" w:before="0"/>
      </w:pPr>
      <w:r>
        <w:rPr>
          <w:rFonts w:ascii="Arial" w:cs="Arial" w:eastAsia="Arial" w:hAnsi="Arial"/>
          <w:sz w:val="18"/>
          <w:szCs w:val="18"/>
        </w:rPr>
        <w:t xml:space="preserve">Ausnahmen sind direkt anwendbar, aber in der technischen Dokumentation zu belegen: Lebensmittelkontakt-Verpackungen bei Gesundheitsrisiko oder Konflikt mit der Verordnung (EG) 1935/2004 (Abs. 5 lit. a, mit Nachweis fehlender zugelassener Recyclingtechnologie je Polymer, Leitfaden Abschn. 7 – unverbindliche Auslegung der EU-Kommission), Kunststoffteile unter 5 % des Gesamtgewichts (Abs. 5 lit. b) sowie die Ausnahmenliste des Abs. 4 ((!) V4: Pin offen).</w:t>
      </w:r>
    </w:p>
    <w:p>
      <w:pPr>
        <w:spacing w:after="40" w:before="0"/>
      </w:pPr>
      <w:r>
        <w:rPr>
          <w:rFonts w:ascii="Arial" w:cs="Arial" w:eastAsia="Arial" w:hAnsi="Arial"/>
          <w:sz w:val="18"/>
          <w:szCs w:val="18"/>
        </w:rPr>
        <w:t xml:space="preserve">Doppel-Layer Deutschland: Unabhängig davon gilt schon heute § 45 VerpackDG für Einweggetränkeflaschen (siehe Anforderung 15). Handlungsempfehlung: Rezyklat-Beschaffung und Lieferantenzusagen ab 2027 aufsetzen – ab 2030 droht sonst das Vertriebsverbot, Rezyklat-Marktengpässe sind absehbar.</w:t>
      </w:r>
    </w:p>
    <w:p>
      <w:pPr>
        <w:spacing w:after="40" w:before="0"/>
      </w:pPr>
      <w:r>
        <w:rPr>
          <w:rFonts w:ascii="Arial" w:cs="Arial" w:eastAsia="Arial" w:hAnsi="Arial"/>
          <w:sz w:val="18"/>
          <w:szCs w:val="18"/>
        </w:rPr>
        <w:t xml:space="preserve">Aktualisierung 17.10.2026: Rechtsakte nach Art. 7 Abs. 8 bis 10 im Verfahren, Annahme geplant Q4 2026 (vgl. Praxisfrage C18).</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je Einheit Kunststoffverpackung Mindest-Rezyklatanteile (kontaktempfindlich PET / kontaktempfindlich sonstige / Einweg-Getränkeflaschen / übrige – Prozentwerte 2030/2040 je lit. a–d, Zahlen (!) V4 gegen Volltext pinnen, nicht aus Sekundärquellen übernehmen).</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Rezyklat-Beschaffungsstrategie und Lieferantenzusagen ab 2027 aufsetzen; Radar R4 (Methodik-Rechtsakt).</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ab 2030 Vertriebsverbot; Rezyklat-Marktengpässe absehbar.</w:t>
      </w:r>
    </w:p>
    <w:p>
      <w:pPr>
        <w:spacing w:after="20" w:before="60"/>
      </w:pPr>
      <w:r>
        <w:rPr>
          <w:rFonts w:ascii="Arial" w:cs="Arial" w:eastAsia="Arial" w:hAnsi="Arial"/>
          <w:b/>
          <w:bCs/>
          <w:sz w:val="18"/>
          <w:szCs w:val="18"/>
        </w:rPr>
        <w:t xml:space="preserve">Ausnahmen:</w:t>
      </w:r>
    </w:p>
    <w:p>
      <w:pPr>
        <w:spacing w:after="40" w:before="0"/>
      </w:pPr>
      <w:r>
        <w:rPr>
          <w:rFonts w:ascii="Arial" w:cs="Arial" w:eastAsia="Arial" w:hAnsi="Arial"/>
          <w:sz w:val="18"/>
          <w:szCs w:val="18"/>
        </w:rPr>
        <w:t xml:space="preserve">direkt anwendbar, aber in der technischen Doku zu belegen: LMK-Verpackungen bei Gesundheitsrisiko/1935/2004-Konflikt (Abs. 5 lit. a, Nachweis fehlender zugelassener Recyclingtechnologie je Polymer, Leitfaden Abschn. 7); Kunststoffteile &lt; 5 % Gesamtgewicht (Abs. 5 lit. b); Ausnahmenliste Abs. 4 (!) V4.</w:t>
      </w:r>
    </w:p>
    <w:p>
      <w:pPr>
        <w:spacing w:after="20" w:before="60"/>
      </w:pPr>
      <w:r>
        <w:rPr>
          <w:rFonts w:ascii="Arial" w:cs="Arial" w:eastAsia="Arial" w:hAnsi="Arial"/>
          <w:b/>
          <w:bCs/>
          <w:sz w:val="18"/>
          <w:szCs w:val="18"/>
        </w:rPr>
        <w:t xml:space="preserve">VerpackDG-Ebene:</w:t>
      </w:r>
    </w:p>
    <w:p>
      <w:pPr>
        <w:spacing w:after="40" w:before="0"/>
      </w:pPr>
      <w:r>
        <w:rPr>
          <w:rFonts w:ascii="Arial" w:cs="Arial" w:eastAsia="Arial" w:hAnsi="Arial"/>
          <w:sz w:val="18"/>
          <w:szCs w:val="18"/>
        </w:rPr>
        <w:t xml:space="preserve">unabhängig davon gilt in DE schon heute § 45 VerpackDG → #15.</w:t>
      </w:r>
    </w:p>
    <w:p>
      <w:pPr>
        <w:keepNext/>
        <w:pBdr>
          <w:top w:val="single" w:color="24A27F" w:sz="4" w:space="4"/>
        </w:pBdr>
        <w:spacing w:after="40" w:before="260"/>
      </w:pPr>
      <w:r>
        <w:rPr>
          <w:rFonts w:ascii="Arial" w:cs="Arial" w:eastAsia="Arial" w:hAnsi="Arial"/>
          <w:b/>
          <w:bCs/>
          <w:color w:val="004494"/>
          <w:sz w:val="22"/>
          <w:szCs w:val="22"/>
        </w:rPr>
        <w:t xml:space="preserve">#15  </w:t>
      </w:r>
      <w:r>
        <w:rPr>
          <w:rFonts w:ascii="Arial" w:cs="Arial" w:eastAsia="Arial" w:hAnsi="Arial"/>
          <w:b/>
          <w:bCs/>
          <w:sz w:val="22"/>
          <w:szCs w:val="22"/>
        </w:rPr>
        <w:t xml:space="preserve">Rezyklatanteil Einweggetränkeflaschen (DE)</w:t>
      </w:r>
    </w:p>
    <w:p>
      <w:pPr>
        <w:spacing w:after="60" w:before="0"/>
      </w:pPr>
      <w:r>
        <w:rPr>
          <w:rFonts w:ascii="Arial" w:cs="Arial" w:eastAsia="Arial" w:hAnsi="Arial"/>
          <w:color w:val="6B7280"/>
          <w:sz w:val="16"/>
          <w:szCs w:val="16"/>
        </w:rPr>
        <w:t xml:space="preserve">Stoffrecht · gilt seit 2026-08-12 · Rechtsquelle: § 45 VerpackDG · Rechtsstand 2026-10-17 · Version 5 · betrifft Rollen: hersteller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Deutsches Recht, gilt heute: Einweggetränkeflaschen überwiegend aus PET brauchen mindestens 25 % Rezyklat – je Flasche oder im Jahresmittel des Herstellers. Ab dem 01.01.2030 steigt die Quote auf 30 % und gilt für alle Einweggetränkeflaschen aus Kunststoff. Wer darunter liegt, darf nicht bereitstellen. (§ 45 VerpackDG)</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 45 Abs. 1–3 VerpackDG (Fortführung von § 30a VerpackG a. F., (!) V5: Kontinuität final zu bestätigen) verlangt: (a) Einweggetränkeflaschen überwiegend aus PET müssen mindestens 25 Masse-Prozent Rezyklat enthalten – je Flasche oder im Jahresmittel des Herstellers mit prüffähiger Dokumentation gegenüber der Landesbehörde (Abs. 3). (b) Ab dem 01.01.2030 gelten 30 % für alle Einweggetränkeflaschen aus Kunststoff (Abs. 2). Rechtsfolge bei Unterschreitung ist ein Bereitstellungsverbot.</w:t>
      </w:r>
    </w:p>
    <w:p>
      <w:pPr>
        <w:spacing w:after="40" w:before="0"/>
      </w:pPr>
      <w:r>
        <w:rPr>
          <w:rFonts w:ascii="Arial" w:cs="Arial" w:eastAsia="Arial" w:hAnsi="Arial"/>
          <w:sz w:val="18"/>
          <w:szCs w:val="18"/>
        </w:rPr>
        <w:t xml:space="preserve">Doppel-Layer: Die Quote ist nationale SUPD-Umsetzung und läuft parallel zu Art. 7 PPWR (siehe Anforderung 14) – ab 2030 gelten beide Regime nebeneinander, maßgeblich ist jeweils der strengere Wert. (!) V5: Das Konkurrenzverhältnis und die zugehörige Bußgeld-Nummer in § 66 VerpackDG sind anwaltlich zu bestätigen.</w:t>
      </w:r>
    </w:p>
    <w:p>
      <w:pPr>
        <w:spacing w:after="20" w:before="60"/>
      </w:pPr>
      <w:r>
        <w:rPr>
          <w:rFonts w:ascii="Arial" w:cs="Arial" w:eastAsia="Arial" w:hAnsi="Arial"/>
          <w:b/>
          <w:bCs/>
          <w:sz w:val="18"/>
          <w:szCs w:val="18"/>
        </w:rPr>
        <w:t xml:space="preserve">Erklärung (Rechtstext):</w:t>
      </w:r>
    </w:p>
    <w:p>
      <w:pPr>
        <w:spacing w:after="40" w:before="0"/>
      </w:pPr>
      <w:r>
        <w:rPr>
          <w:rFonts w:ascii="Arial" w:cs="Arial" w:eastAsia="Arial" w:hAnsi="Arial"/>
          <w:sz w:val="18"/>
          <w:szCs w:val="18"/>
        </w:rPr>
        <w:t xml:space="preserve">§ 45 Abs. 1 VerpackDG verlangt für Einweggetränkeflaschen, die überwiegend aus PET bestehen, einen Rezyklatanteil von mindestens 25 Masse-Prozent, wahlweise bezogen auf die einzelne Flasche oder – nach Abs. 3 mit prüffähiger Dokumentation gegenüber der zuständigen Landesbehörde – auf das Jahresmittel des Herstellers. § 45 Abs. 2 VerpackDG erhöht die Quote ab dem 01.01.2030 auf 30 Masse-Prozent und erstreckt sie auf alle Einweggetränkeflaschen aus Kunststoff.</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(a) Einweggetränkeflaschen überwiegend aus PET → mind. 25 Masse-% Rezyklat je Flasche oder im Jahresmittel des Herstellers (Abs. 3, mit prüffähiger Dokumentation ggü. Landesbehörde); (b) ab 01.01.2030: 30 % für ALLE Einweggetränkeflaschen aus Kunststoff (Abs. 2).</w:t>
      </w:r>
    </w:p>
    <w:p>
      <w:pPr>
        <w:spacing w:after="20" w:before="60"/>
      </w:pPr>
      <w:r>
        <w:rPr>
          <w:rFonts w:ascii="Arial" w:cs="Arial" w:eastAsia="Arial" w:hAnsi="Arial"/>
          <w:b/>
          <w:bCs/>
          <w:sz w:val="18"/>
          <w:szCs w:val="18"/>
        </w:rPr>
        <w:t xml:space="preserve">Rechtsfolgen je Rolle:</w:t>
      </w:r>
    </w:p>
    <w:p>
      <w:pPr>
        <w:spacing w:after="40" w:before="0"/>
      </w:pPr>
      <w:r>
        <w:rPr>
          <w:rFonts w:ascii="Arial" w:cs="Arial" w:eastAsia="Arial" w:hAnsi="Arial"/>
          <w:sz w:val="18"/>
          <w:szCs w:val="18"/>
        </w:rPr>
        <w:t xml:space="preserve">alle: Bereitstellungsverbot bei Unterschreitung.</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Rezyklatquote je Flaschen-SKU erfassen; bei Jahresmittel-Option Doku-Prozess einrichten.</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Bereitstellungsverbot; Bußgeld § 66 (!) V5 (Nr. gegen Katalog pinnen).</w:t>
      </w:r>
    </w:p>
    <w:p>
      <w:pPr>
        <w:spacing w:after="20" w:before="60"/>
      </w:pPr>
      <w:r>
        <w:rPr>
          <w:rFonts w:ascii="Arial" w:cs="Arial" w:eastAsia="Arial" w:hAnsi="Arial"/>
          <w:b/>
          <w:bCs/>
          <w:sz w:val="18"/>
          <w:szCs w:val="18"/>
        </w:rPr>
        <w:t xml:space="preserve">VerpackDG-Ebene:</w:t>
      </w:r>
    </w:p>
    <w:p>
      <w:pPr>
        <w:spacing w:after="40" w:before="0"/>
      </w:pPr>
      <w:r>
        <w:rPr>
          <w:rFonts w:ascii="Arial" w:cs="Arial" w:eastAsia="Arial" w:hAnsi="Arial"/>
          <w:sz w:val="18"/>
          <w:szCs w:val="18"/>
        </w:rPr>
        <w:t xml:space="preserve">nationale SUPD-Umsetzung; läuft PARALLEL zu Art. 7 PPWR (#14) – 2030 gelten beide Regime nebeneinander, jeweils strengster Wert maßgeblich (!) V5 (Konkurrenzverhältnis in Session bestätigen).</w:t>
      </w:r>
    </w:p>
    <w:p>
      <w:pPr>
        <w:keepNext/>
        <w:pBdr>
          <w:top w:val="single" w:color="24A27F" w:sz="4" w:space="4"/>
        </w:pBdr>
        <w:spacing w:after="40" w:before="260"/>
      </w:pPr>
      <w:r>
        <w:rPr>
          <w:rFonts w:ascii="Arial" w:cs="Arial" w:eastAsia="Arial" w:hAnsi="Arial"/>
          <w:b/>
          <w:bCs/>
          <w:color w:val="004494"/>
          <w:sz w:val="22"/>
          <w:szCs w:val="22"/>
        </w:rPr>
        <w:t xml:space="preserve">#16  </w:t>
      </w:r>
      <w:r>
        <w:rPr>
          <w:rFonts w:ascii="Arial" w:cs="Arial" w:eastAsia="Arial" w:hAnsi="Arial"/>
          <w:b/>
          <w:bCs/>
          <w:sz w:val="22"/>
          <w:szCs w:val="22"/>
        </w:rPr>
        <w:t xml:space="preserve">Kompostierbare Verpackungen</w:t>
      </w:r>
    </w:p>
    <w:p>
      <w:pPr>
        <w:spacing w:after="60" w:before="0"/>
      </w:pPr>
      <w:r>
        <w:rPr>
          <w:rFonts w:ascii="Arial" w:cs="Arial" w:eastAsia="Arial" w:hAnsi="Arial"/>
          <w:color w:val="6B7280"/>
          <w:sz w:val="16"/>
          <w:szCs w:val="16"/>
        </w:rPr>
        <w:t xml:space="preserve">Stoffrecht · gilt ab 2028-02-12 · Rechtsquelle: Art. 9 PPWR · Rechtsstand 2026-10-17 · Version 5 · betrifft Rollen: erzeuger; importeur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Ab dem 12.02.2028 müssen bestimmte Formate industriell kompostierbar sein – vor allem durchlässige Tee- und Kaffeebeutel sowie Einzelportionseinheiten, auch wenn sie aus Papier bestehen. Bis eine neue harmonisierte Norm vorliegt, dient EN 13432 als Orientierung. Deutschland hat von der Möglichkeit, weitere Formate zur Kompostierbarkeit zu verpflichten, keinen Gebrauch gemacht. (!) (Art. 9 Abs. 1 PPWR)</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Art. 9 Abs. 1 PPWR verpflichtet ab dem 12.02.2028 die dort gelisteten Formate zur industriellen Kompostierbarkeit – materialneutral, also auch papierbasiert (Leitfaden Abschn. 9 – unverbindliche Auslegung der EU-Kommission). Erfasst sind unter anderem permeable Tee-/Kaffeebeutel und „soft after-use“-Einzelportionen (Art. 3 Abs. 1 Nr. 1 lit. f/g PPWR) sowie sehr leichte und leichte Tragetaschen, soweit Abs. 2 reicht. (!) V6: Ob Sticky Labels auf Obst und Gemüse erfasst sind, ist gegen den Volltext zu pinnen.</w:t>
      </w:r>
    </w:p>
    <w:p>
      <w:pPr>
        <w:spacing w:after="40" w:before="0"/>
      </w:pPr>
      <w:r>
        <w:rPr>
          <w:rFonts w:ascii="Arial" w:cs="Arial" w:eastAsia="Arial" w:hAnsi="Arial"/>
          <w:sz w:val="18"/>
          <w:szCs w:val="18"/>
        </w:rPr>
        <w:t xml:space="preserve">Deutschland hat von Art. 9 Abs. 2 PPWR (zusätzliche Kompostierbarkeits-Gebote) keinen Gebrauch gemacht – im VerpackDG findet sich keine entsprechende Anordnung. (!) V6: Dieser Negativbefund ist anwaltlich zu bestätigen. Übergang: EN 13432 dient als Orientierung, die Konformitätsvermutung einer neuen harmonisierten Norm greift erst mit OJ-Listung (Leitfaden Abschn. 8 – unverbindliche Auslegung der EU-Kommission, Radar R5). Betroffene Formate identifizieren und die Materialumstellung bis Anfang 2028 planen.</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die in Art. 9 Abs. 1 gelisteten Formate (u. a. permeable Tee-/Kaffeebeutel und „soft after-use"-Einzelportionen, auch papierbasiert) müssen ab 12.02.2028 kompostierbar (industriell) sein; Sticky Labels auf Obst/Gemüse (!) V6 gegen Volltext pinnen.</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betroffene Formate identifizieren; Materialumstellung bis Anfang 2028 planen.</w:t>
      </w:r>
    </w:p>
    <w:p>
      <w:pPr>
        <w:spacing w:after="20" w:before="60"/>
      </w:pPr>
      <w:r>
        <w:rPr>
          <w:rFonts w:ascii="Arial" w:cs="Arial" w:eastAsia="Arial" w:hAnsi="Arial"/>
          <w:b/>
          <w:bCs/>
          <w:sz w:val="18"/>
          <w:szCs w:val="18"/>
        </w:rPr>
        <w:t xml:space="preserve">Ausnahmen:</w:t>
      </w:r>
    </w:p>
    <w:p>
      <w:pPr>
        <w:spacing w:after="40" w:before="0"/>
      </w:pPr>
      <w:r>
        <w:rPr>
          <w:rFonts w:ascii="Arial" w:cs="Arial" w:eastAsia="Arial" w:hAnsi="Arial"/>
          <w:sz w:val="18"/>
          <w:szCs w:val="18"/>
        </w:rPr>
        <w:t xml:space="preserve">DE hat von Art. 9 Abs. 2 (zusätzliche Kompostierbarkeits-Gebote) keinen Gebrauch gemacht – im VerpackDG keine entsprechende Anordnung gefunden; als Negativbefund in Session bestätigen (!) V6.</w:t>
      </w:r>
    </w:p>
    <w:p>
      <w:pPr>
        <w:spacing w:after="20" w:before="60"/>
      </w:pPr>
      <w:r>
        <w:rPr>
          <w:rFonts w:ascii="Arial" w:cs="Arial" w:eastAsia="Arial" w:hAnsi="Arial"/>
          <w:b/>
          <w:bCs/>
          <w:sz w:val="18"/>
          <w:szCs w:val="18"/>
        </w:rPr>
        <w:t xml:space="preserve">Übergangsregeln:</w:t>
      </w:r>
    </w:p>
    <w:p>
      <w:pPr>
        <w:spacing w:after="40" w:before="0"/>
      </w:pPr>
      <w:r>
        <w:rPr>
          <w:rFonts w:ascii="Arial" w:cs="Arial" w:eastAsia="Arial" w:hAnsi="Arial"/>
          <w:sz w:val="18"/>
          <w:szCs w:val="18"/>
        </w:rPr>
        <w:t xml:space="preserve">EN 13432 als Orientierung bis neue harmonisierte Norm (Leitfaden Abschn. 8; Konformitätsvermutung erst mit OJ-Listung).</w:t>
      </w:r>
    </w:p>
    <w:p>
      <w:pPr>
        <w:spacing w:after="40" w:before="0"/>
      </w:pPr>
      <w:r>
        <w:rPr>
          <w:rFonts w:ascii="Arial" w:cs="Arial" w:eastAsia="Arial" w:hAnsi="Arial"/>
          <w:sz w:val="18"/>
          <w:szCs w:val="18"/>
        </w:rPr>
        <w:t xml:space="preserve">Radar-Beobachtung: R5 (Normungsauftrag Heimkompostierung, Auftragsfrist 12.02.2026; OJ-Listung offen).</w:t>
      </w:r>
    </w:p>
    <w:p>
      <w:pPr>
        <w:keepNext/>
        <w:pBdr>
          <w:top w:val="single" w:color="24A27F" w:sz="4" w:space="4"/>
        </w:pBdr>
        <w:spacing w:after="40" w:before="260"/>
      </w:pPr>
      <w:r>
        <w:rPr>
          <w:rFonts w:ascii="Arial" w:cs="Arial" w:eastAsia="Arial" w:hAnsi="Arial"/>
          <w:b/>
          <w:bCs/>
          <w:color w:val="004494"/>
          <w:sz w:val="22"/>
          <w:szCs w:val="22"/>
        </w:rPr>
        <w:t xml:space="preserve">#17  </w:t>
      </w:r>
      <w:r>
        <w:rPr>
          <w:rFonts w:ascii="Arial" w:cs="Arial" w:eastAsia="Arial" w:hAnsi="Arial"/>
          <w:b/>
          <w:bCs/>
          <w:sz w:val="22"/>
          <w:szCs w:val="22"/>
        </w:rPr>
        <w:t xml:space="preserve">Verpackungsminimierung</w:t>
      </w:r>
    </w:p>
    <w:p>
      <w:pPr>
        <w:spacing w:after="60" w:before="0"/>
      </w:pPr>
      <w:r>
        <w:rPr>
          <w:rFonts w:ascii="Arial" w:cs="Arial" w:eastAsia="Arial" w:hAnsi="Arial"/>
          <w:color w:val="6B7280"/>
          <w:sz w:val="16"/>
          <w:szCs w:val="16"/>
        </w:rPr>
        <w:t xml:space="preserve">Konformität · gilt ab 2030-01-01 · Rechtsquelle: Art. 10 PPWR; § 12 Abs. 3 VerpackDG; EN 13428 · Rechtsstand 2026-10-17 · Version 5 · betrifft Rollen: erzeuger; importeur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Ab dem 01.01.2030 müssen Gewicht und Volumen jeder Verpackung auf das für die Funktion nötige Minimum reduziert sein – Marketing und Verbraucherakzeptanz zählen dann nicht mehr als Argument, Schein-Volumen wie Doppelwände und falsche Böden sind verboten. Achtung: Eine deutsche Minimierungsklausel gilt schon heute. (Art. 10 Abs. 1 u. 2 i. V. m. Anhang IV PPWR · § 12 Abs. 3 VerpackDG)</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Art. 10 Abs. 1 und 2 i. V. m. Anhang IV PPWR verlangt ab dem 01.01.2030 die Reduktion von Gewicht und Volumen auf das für die Funktionalität nötige Minimum. Marketing und Verbraucherakzeptanz sind nach Anhang IV Teil A keine zulässigen Kriterien mehr, Schein-Volumen (Doppelwände, falsche Böden) ist verboten. Ausgenommen sind geschützte Designs und Formmarken mit Schutz vor dem 11.02.2025 sowie geografische Angaben und Qualitätsregelungen (Art. 10 Abs. 2 lit. a/b). Bis Ende 2029 gelten die Alt-Anforderungen mit EN 13428:2004 (Art. 70 Abs. 1 lit. b PPWR, Leitfaden Abschn. 10 – unverbindliche Auslegung der EU-Kommission), der Normungsauftrag für ein Update läuft bis zum 12.02.2027 (Radar R6).</w:t>
      </w:r>
    </w:p>
    <w:p>
      <w:pPr>
        <w:spacing w:after="40" w:before="0"/>
      </w:pPr>
      <w:r>
        <w:rPr>
          <w:rFonts w:ascii="Arial" w:cs="Arial" w:eastAsia="Arial" w:hAnsi="Arial"/>
          <w:sz w:val="18"/>
          <w:szCs w:val="18"/>
        </w:rPr>
        <w:t xml:space="preserve">Doppel-Layer Deutschland: § 12 Abs. 3 VerpackDG enthält die Minimierungsklausel bereits jetzt – noch mit Verbraucherakzeptanz als Kriterium, also mit einer Divergenz zur PPWR ab 2030. (!) V7: Die Kommunikationslinie zu dieser Divergenz wird noch abgestimmt. Empfehlung: ab 2027 Minimierungs-Assessments je Verpackungstyp nach EN 13428 dokumentieren und Redesigns Richtung 2030 einplanen.</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Gewicht/Volumen auf das für Funktionalität nötige Minimum reduziert (Kriterien Anhang IV Teil A – „Marketing/Consumer Acceptance" sind KEINE zulässigen Kriterien mehr); Verbot von Schein-Volumen (Doppelwände, falsche Böden).</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ab 2027 Minimierungs-Assessments je Typ nach EN 13428 dokumentieren; Redesigns Richtung 2030 einplanen.</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ab 2030 Vertriebsverbot; vorher DE-Generalklausel (geringe Vollzugspraxis).</w:t>
      </w:r>
    </w:p>
    <w:p>
      <w:pPr>
        <w:spacing w:after="20" w:before="60"/>
      </w:pPr>
      <w:r>
        <w:rPr>
          <w:rFonts w:ascii="Arial" w:cs="Arial" w:eastAsia="Arial" w:hAnsi="Arial"/>
          <w:b/>
          <w:bCs/>
          <w:sz w:val="18"/>
          <w:szCs w:val="18"/>
        </w:rPr>
        <w:t xml:space="preserve">Ausnahmen:</w:t>
      </w:r>
    </w:p>
    <w:p>
      <w:pPr>
        <w:spacing w:after="40" w:before="0"/>
      </w:pPr>
      <w:r>
        <w:rPr>
          <w:rFonts w:ascii="Arial" w:cs="Arial" w:eastAsia="Arial" w:hAnsi="Arial"/>
          <w:sz w:val="18"/>
          <w:szCs w:val="18"/>
        </w:rPr>
        <w:t xml:space="preserve">geschützte Designs/Formmarken (Schutz vor 11.02.2025) und geografische Angaben/Qualitätsregelungen (Art. 10 Abs. 2 lit. a/b).</w:t>
      </w:r>
    </w:p>
    <w:p>
      <w:pPr>
        <w:spacing w:after="20" w:before="60"/>
      </w:pPr>
      <w:r>
        <w:rPr>
          <w:rFonts w:ascii="Arial" w:cs="Arial" w:eastAsia="Arial" w:hAnsi="Arial"/>
          <w:b/>
          <w:bCs/>
          <w:sz w:val="18"/>
          <w:szCs w:val="18"/>
        </w:rPr>
        <w:t xml:space="preserve">Übergangsregeln:</w:t>
      </w:r>
    </w:p>
    <w:p>
      <w:pPr>
        <w:spacing w:after="40" w:before="0"/>
      </w:pPr>
      <w:r>
        <w:rPr>
          <w:rFonts w:ascii="Arial" w:cs="Arial" w:eastAsia="Arial" w:hAnsi="Arial"/>
          <w:sz w:val="18"/>
          <w:szCs w:val="18"/>
        </w:rPr>
        <w:t xml:space="preserve">Radar-Beobachtung: R6 (Normupdate EN 13428).</w:t>
      </w:r>
    </w:p>
    <w:p>
      <w:pPr>
        <w:spacing w:after="20" w:before="60"/>
      </w:pPr>
      <w:r>
        <w:rPr>
          <w:rFonts w:ascii="Arial" w:cs="Arial" w:eastAsia="Arial" w:hAnsi="Arial"/>
          <w:b/>
          <w:bCs/>
          <w:sz w:val="18"/>
          <w:szCs w:val="18"/>
        </w:rPr>
        <w:t xml:space="preserve">VerpackDG-Ebene:</w:t>
      </w:r>
    </w:p>
    <w:p>
      <w:pPr>
        <w:spacing w:after="40" w:before="0"/>
      </w:pPr>
      <w:r>
        <w:rPr>
          <w:rFonts w:ascii="Arial" w:cs="Arial" w:eastAsia="Arial" w:hAnsi="Arial"/>
          <w:sz w:val="18"/>
          <w:szCs w:val="18"/>
        </w:rPr>
        <w:t xml:space="preserve">§ 12 Abs. 3 VerpackDG enthält die Minimierungsklausel bereits jetzt (inkl. Verbraucherakzeptanz als Kriterium – Divergenz zur PPWR ab 2030, (!) V7 Kommunikationslinie abstimmen).</w:t>
      </w:r>
    </w:p>
    <w:p>
      <w:pPr>
        <w:keepNext/>
        <w:pBdr>
          <w:top w:val="single" w:color="24A27F" w:sz="4" w:space="4"/>
        </w:pBdr>
        <w:spacing w:after="40" w:before="260"/>
      </w:pPr>
      <w:r>
        <w:rPr>
          <w:rFonts w:ascii="Arial" w:cs="Arial" w:eastAsia="Arial" w:hAnsi="Arial"/>
          <w:b/>
          <w:bCs/>
          <w:color w:val="004494"/>
          <w:sz w:val="22"/>
          <w:szCs w:val="22"/>
        </w:rPr>
        <w:t xml:space="preserve">#18  </w:t>
      </w:r>
      <w:r>
        <w:rPr>
          <w:rFonts w:ascii="Arial" w:cs="Arial" w:eastAsia="Arial" w:hAnsi="Arial"/>
          <w:b/>
          <w:bCs/>
          <w:sz w:val="22"/>
          <w:szCs w:val="22"/>
        </w:rPr>
        <w:t xml:space="preserve">Leerraumquote 50 %</w:t>
      </w:r>
    </w:p>
    <w:p>
      <w:pPr>
        <w:spacing w:after="60" w:before="0"/>
      </w:pPr>
      <w:r>
        <w:rPr>
          <w:rFonts w:ascii="Arial" w:cs="Arial" w:eastAsia="Arial" w:hAnsi="Arial"/>
          <w:color w:val="6B7280"/>
          <w:sz w:val="16"/>
          <w:szCs w:val="16"/>
        </w:rPr>
        <w:t xml:space="preserve">Konformität · Rechtsakt ausstehend, geplant ab 2030-01-01 · Rechtsquelle: Art. 24 PPWR (Rechtsakt bis 12.02.2028) · Rechtsstand 2026-10-17 · Version 5 · betrifft Rollen: hersteller; vertreiber; fulfillment</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Künftig dürfen Umverpackungen, Transportverpackungen und E-Commerce-Versandverpackungen maximal 50 % Leerraum enthalten. Die Pflicht trifft den Befüller. Die Berechnungsmethodik legt die EU erst per Durchführungsrechtsakt fest – gelten wird die Quote ab dem 01.01.2030 oder drei Jahre nach dem Rechtsakt, je nachdem, was später ist. Verkaufsverpackungen fallen nicht darunter. (Art. 24 Abs. 1 u. 2 PPWR)</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Art. 24 Abs. 1 PPWR begrenzt den Leerraum von Umverpackungen, Transportverpackungen und E-Commerce-Versandverpackungen künftig auf maximal 50 %. Pflichtiger ist der Befüller – also der Wirtschaftsakteur, der die Verpackung befüllt (Rollenzuordnung im Profil). Die Methodik kommt per Durchführungsrechtsakt (Art. 24 Abs. 2, zu erlassen bis 12.02.2028), Geltungsbeginn ist der 01.01.2030 oder drei Jahre nach dem Rechtsakt (späterer Zeitpunkt, Radar R7). Verkaufsverpackungen fallen nicht unter Art. 24, sondern unter die Minimierung (Anforderung 17, Leitfaden Abschn. 11 – unverbindliche Auslegung der EU-Kommission).</w:t>
      </w:r>
    </w:p>
    <w:p>
      <w:pPr>
        <w:spacing w:after="40" w:before="0"/>
      </w:pPr>
      <w:r>
        <w:rPr>
          <w:rFonts w:ascii="Arial" w:cs="Arial" w:eastAsia="Arial" w:hAnsi="Arial"/>
          <w:sz w:val="18"/>
          <w:szCs w:val="18"/>
        </w:rPr>
        <w:t xml:space="preserve">Vorbereitung: Kartongrößen-Portfolio und Fill-Algorithmen im Versand prüfen. Polstermaterial zählt als Leerraum – (!) V8: diese Aussage beruht bislang nur auf Leitfaden- und Normbezug und ist gegen den Durchführungsrechtsakt zu prüfen, sobald er erlassen ist.</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max. 50 % Leerraum, Methodik per Durchführungsrechtsakt; Verkaufsverpackungen fallen NICHT unter Art. 24, sondern unter die Minimierung (#17).</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Kartongrößen-Portfolio/Fill-Algorithmen im Versand vorbereiten; Polster zählen als Leerraum (!) V8 gegen Rechtsakt prüfen, sobald erlassen.</w:t>
      </w:r>
    </w:p>
    <w:p>
      <w:pPr>
        <w:spacing w:after="20" w:before="60"/>
      </w:pPr>
      <w:r>
        <w:rPr>
          <w:rFonts w:ascii="Arial" w:cs="Arial" w:eastAsia="Arial" w:hAnsi="Arial"/>
          <w:b/>
          <w:bCs/>
          <w:sz w:val="18"/>
          <w:szCs w:val="18"/>
        </w:rPr>
        <w:t xml:space="preserve">Übergangsregeln:</w:t>
      </w:r>
    </w:p>
    <w:p>
      <w:pPr>
        <w:spacing w:after="40" w:before="0"/>
      </w:pPr>
      <w:r>
        <w:rPr>
          <w:rFonts w:ascii="Arial" w:cs="Arial" w:eastAsia="Arial" w:hAnsi="Arial"/>
          <w:sz w:val="18"/>
          <w:szCs w:val="18"/>
        </w:rPr>
        <w:t xml:space="preserve">Radar-Beobachtung: R7.</w:t>
      </w:r>
    </w:p>
    <w:p>
      <w:pPr>
        <w:spacing w:after="40" w:before="0"/>
      </w:pPr>
      <w:r>
        <w:rPr>
          <w:rFonts w:ascii="Arial" w:cs="Arial" w:eastAsia="Arial" w:hAnsi="Arial"/>
          <w:sz w:val="18"/>
          <w:szCs w:val="18"/>
        </w:rPr>
        <w:t xml:space="preserve">### Block III – Kennzeichnung &amp; Information (#19–#23)</w:t>
      </w:r>
    </w:p>
    <w:p>
      <w:pPr>
        <w:keepNext/>
        <w:pBdr>
          <w:top w:val="single" w:color="24A27F" w:sz="4" w:space="4"/>
        </w:pBdr>
        <w:spacing w:after="40" w:before="260"/>
      </w:pPr>
      <w:r>
        <w:rPr>
          <w:rFonts w:ascii="Arial" w:cs="Arial" w:eastAsia="Arial" w:hAnsi="Arial"/>
          <w:b/>
          <w:bCs/>
          <w:color w:val="004494"/>
          <w:sz w:val="22"/>
          <w:szCs w:val="22"/>
        </w:rPr>
        <w:t xml:space="preserve">#19  </w:t>
      </w:r>
      <w:r>
        <w:rPr>
          <w:rFonts w:ascii="Arial" w:cs="Arial" w:eastAsia="Arial" w:hAnsi="Arial"/>
          <w:b/>
          <w:bCs/>
          <w:sz w:val="22"/>
          <w:szCs w:val="22"/>
        </w:rPr>
        <w:t xml:space="preserve">Harmonisiertes Sortierlabel</w:t>
      </w:r>
    </w:p>
    <w:p>
      <w:pPr>
        <w:spacing w:after="60" w:before="0"/>
      </w:pPr>
      <w:r>
        <w:rPr>
          <w:rFonts w:ascii="Arial" w:cs="Arial" w:eastAsia="Arial" w:hAnsi="Arial"/>
          <w:color w:val="6B7280"/>
          <w:sz w:val="16"/>
          <w:szCs w:val="16"/>
        </w:rPr>
        <w:t xml:space="preserve">Kennzeichnung · Rechtsakt ausstehend, geplant ab 2028-08-12 · Rechtsquelle: Art. 12 Abs. 1/6 PPWR; § 4 VerpackDG · Rechtsstand 2026-10-26 · Version 9 · betrifft Rollen: erzeuger; importeur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Ein EU-weit einheitliches, piktogrammbasiertes Sortierlabel wird Pflicht – frühestens ab dem 12.08.2028, abhängig vom noch ausstehenden Durchführungsrechtsakt. Nationale Sortierhinweise werden dann verdrängt. Bis dahin gilt in Deutschland: Materialkennzeichnung ist freiwillig – wer kennzeichnet, muss aber das System der Anlage 2 nutzen. Jetzt nicht in nationale Label investieren. (Art. 12 Abs. 1 u. 6 PPWR)</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Art. 12 Abs. 1 und 6 PPWR führt ein verpflichtendes, piktogrammbasiertes EU-Sortierlabel ein – vollharmonisiert, nationale Sortierhinweise und Zusatzlabel werden verdrängt. Geltungsbeginn ist der 12.08.2028 oder 24 Monate nach dem Durchführungsrechtsakt (späterer Zeitpunkt). Die Rechtsakt-Frist lief am 12.08.2026 – der Erlass steht unmittelbar bevor und startet die Fristen-Uhr (Radar R8). Ausgenommen sind Transportverpackungen (E-Commerce-Versandverpackungen jedoch nicht) und Pfand-Verpackungen sowie rein professionelle Produkte wie Medizinprodukte. Vor der Frist produzierte oder importierte Ware darf drei Jahre nach Geltungsbeginn abverkauft werden (Art. 12 Abs. 12 PPWR).</w:t>
      </w:r>
    </w:p>
    <w:p>
      <w:pPr>
        <w:spacing w:after="40" w:before="0"/>
      </w:pPr>
      <w:r>
        <w:rPr>
          <w:rFonts w:ascii="Arial" w:cs="Arial" w:eastAsia="Arial" w:hAnsi="Arial"/>
          <w:sz w:val="18"/>
          <w:szCs w:val="18"/>
        </w:rPr>
        <w:t xml:space="preserve">Doppel-Layer Deutschland: Bis dahin gilt § 4 VerpackDG – die Materialkennzeichnung nach Anlage 2 (Nummern und Abkürzungen gemäß System 97/129/EG) ist freiwillig, aber exklusiv: Wer kennzeichnet, muss dieses System nutzen. Das Abkürzungs-System endet zum 12.08.2028 (Leitfaden Abschn. 13 – unverbindliche Auslegung der EU-Kommission). Empfehlung: keine Investition in nationale Label-Systeme, Artwork-Slots für das EU-Label reservieren.</w:t>
      </w:r>
    </w:p>
    <w:p>
      <w:pPr>
        <w:spacing w:after="40" w:before="0"/>
      </w:pPr>
      <w:r>
        <w:rPr>
          <w:rFonts w:ascii="Arial" w:cs="Arial" w:eastAsia="Arial" w:hAnsi="Arial"/>
          <w:sz w:val="18"/>
          <w:szCs w:val="18"/>
        </w:rPr>
        <w:t xml:space="preserve">Aktualisierung 17.10.2026: Die Durchführungsrechtsakte zu den harmonisierten Kennzeichnungen liegen noch nicht vor (vgl. Praxisfrage C14). Die Kommission plant die Annahme für das vierte Quartal 2026 (Initiative 19243). Der genannte Termin ist daher ein Mindestdatum: Die Pflicht gilt 24 bzw. 30 Monate nach Geltungsbeginn des Durchführungsakts, wenn dieser Zeitpunkt später liegt.</w:t>
      </w:r>
    </w:p>
    <w:p>
      <w:pPr>
        <w:spacing w:after="40" w:before="0"/>
      </w:pPr>
      <w:r>
        <w:rPr>
          <w:rFonts w:ascii="Arial" w:cs="Arial" w:eastAsia="Arial" w:hAnsi="Arial"/>
          <w:sz w:val="18"/>
          <w:szCs w:val="18"/>
        </w:rPr>
        <w:t xml:space="preserve">Aktualisierung 26.10.2026: Annahme des Durchfuehrungsakts (19243) jetzt fuer Q2 2027 geplant, Pflicht rechnerisch fruehestens Mitte 2029 (vgl. C14).</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piktogrammbasiertes EU-Sortierlabel verpflichtend; nationale Sortierhinweise werden verdrängt (Vollharmonisierung, keine Zusatzlabel).</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JETZT keine Label-Investition in nationale Systeme; Artwork-Slots für EU-Label reservieren; Radar R8 (Durchführungsrechtsakt ist überfällig-nah – Frist 12.08.2026).</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künftig formaler Massen-Verstoß; Druckvorlauf beachten.</w:t>
      </w:r>
    </w:p>
    <w:p>
      <w:pPr>
        <w:spacing w:after="20" w:before="60"/>
      </w:pPr>
      <w:r>
        <w:rPr>
          <w:rFonts w:ascii="Arial" w:cs="Arial" w:eastAsia="Arial" w:hAnsi="Arial"/>
          <w:b/>
          <w:bCs/>
          <w:sz w:val="18"/>
          <w:szCs w:val="18"/>
        </w:rPr>
        <w:t xml:space="preserve">Übergangsregeln:</w:t>
      </w:r>
    </w:p>
    <w:p>
      <w:pPr>
        <w:spacing w:after="40" w:before="0"/>
      </w:pPr>
      <w:r>
        <w:rPr>
          <w:rFonts w:ascii="Arial" w:cs="Arial" w:eastAsia="Arial" w:hAnsi="Arial"/>
          <w:sz w:val="18"/>
          <w:szCs w:val="18"/>
        </w:rPr>
        <w:t xml:space="preserve">vor Frist produzierte/importierte Ware: Abverkauf bis 3 Jahre nach Geltungsbeginn (Art. 12 Abs. 12). Terminverschiebung möglich, Durchführungsakt ausstehend (Stand 17.10.2026).</w:t>
      </w:r>
    </w:p>
    <w:p>
      <w:pPr>
        <w:spacing w:after="20" w:before="60"/>
      </w:pPr>
      <w:r>
        <w:rPr>
          <w:rFonts w:ascii="Arial" w:cs="Arial" w:eastAsia="Arial" w:hAnsi="Arial"/>
          <w:b/>
          <w:bCs/>
          <w:sz w:val="18"/>
          <w:szCs w:val="18"/>
        </w:rPr>
        <w:t xml:space="preserve">VerpackDG-Ebene:</w:t>
      </w:r>
    </w:p>
    <w:p>
      <w:pPr>
        <w:spacing w:after="40" w:before="0"/>
      </w:pPr>
      <w:r>
        <w:rPr>
          <w:rFonts w:ascii="Arial" w:cs="Arial" w:eastAsia="Arial" w:hAnsi="Arial"/>
          <w:sz w:val="18"/>
          <w:szCs w:val="18"/>
        </w:rPr>
        <w:t xml:space="preserve">bis dahin gilt § 4 VerpackDG: Materialkennzeichnung nach Anlage 2 (Nummern/Abkürzungen gem. System 97/129/EG) freiwillig, aber exklusiv – wer kennzeichnet, muss dieses System nutzen; Abkürzungs-System endet zum 12.08.2028 (Leitfaden Abschn. 13).</w:t>
      </w:r>
    </w:p>
    <w:p>
      <w:pPr>
        <w:keepNext/>
        <w:pBdr>
          <w:top w:val="single" w:color="24A27F" w:sz="4" w:space="4"/>
        </w:pBdr>
        <w:spacing w:after="40" w:before="260"/>
      </w:pPr>
      <w:r>
        <w:rPr>
          <w:rFonts w:ascii="Arial" w:cs="Arial" w:eastAsia="Arial" w:hAnsi="Arial"/>
          <w:b/>
          <w:bCs/>
          <w:color w:val="004494"/>
          <w:sz w:val="22"/>
          <w:szCs w:val="22"/>
        </w:rPr>
        <w:t xml:space="preserve">#20  </w:t>
      </w:r>
      <w:r>
        <w:rPr>
          <w:rFonts w:ascii="Arial" w:cs="Arial" w:eastAsia="Arial" w:hAnsi="Arial"/>
          <w:b/>
          <w:bCs/>
          <w:sz w:val="22"/>
          <w:szCs w:val="22"/>
        </w:rPr>
        <w:t xml:space="preserve">Mehrweg-Kennzeichnung + QR-Datenträger</w:t>
      </w:r>
    </w:p>
    <w:p>
      <w:pPr>
        <w:spacing w:after="60" w:before="0"/>
      </w:pPr>
      <w:r>
        <w:rPr>
          <w:rFonts w:ascii="Arial" w:cs="Arial" w:eastAsia="Arial" w:hAnsi="Arial"/>
          <w:color w:val="6B7280"/>
          <w:sz w:val="16"/>
          <w:szCs w:val="16"/>
        </w:rPr>
        <w:t xml:space="preserve">Kennzeichnung · Rechtsakt ausstehend, geplant ab 2029-02-12 · Rechtsquelle: Art. 12 Abs. 2/6 PPWR · Rechtsstand 2026-10-26 · Version 9 · betrifft Rollen: erzeuger; hersteller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Mehrwegverpackungen bekommen künftig ein eigenes Label plus QR-Code oder anderen Datenträger – mit Infos zum System, zu Sammelstellen und zur Umlaufzählung. Das gilt ab dem 12.02.2029 oder 30 Monate nach dem noch ausstehenden Durchführungsrechtsakt. Unabhängig davon gilt am Regal schon heute die deutsche MEHRWEG-Hinweispflicht. (Art. 12 Abs. 2 u. 3 PPWR)</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Art. 12 Abs. 2 und 3 PPWR verlangt künftig ein Mehrweg-Label plus QR-Code oder anderen Datenträger mit Angaben zu Systemverfügbarkeit, Sammelstellen und Trip-/Rotationszählung. Geltungsbeginn: 12.02.2029 oder 30 Monate nach dem Durchführungsrechtsakt (Radar R8). Ausnahmen: offene Systeme ohne Systembetreiber (Abs. 3). Für B2B-Transportmehrweg im geschlossenen System genügt die Information über Website oder Begleitdokumente (Abs. 5, Leitfaden Abschn. 14 – unverbindliche Auslegung der EU-Kommission).</w:t>
      </w:r>
    </w:p>
    <w:p>
      <w:pPr>
        <w:spacing w:after="40" w:before="0"/>
      </w:pPr>
      <w:r>
        <w:rPr>
          <w:rFonts w:ascii="Arial" w:cs="Arial" w:eastAsia="Arial" w:hAnsi="Arial"/>
          <w:sz w:val="18"/>
          <w:szCs w:val="18"/>
        </w:rPr>
        <w:t xml:space="preserve">Übergänge: Vor dem 11.02.2025 in Verkehr gebrachte Mehrwegverpackungen bleiben bis zum Ausscheiden im Umlauf. Zwischen dem 11.02.2025 und dem Geltungsbeginn in Verkehr Gebrachtes ist bis Februar 2032 nachzurüsten (Leitfaden Abschn. 14 – unverbindliche Auslegung der EU-Kommission). Doppel-Layer Deutschland: Unabhängig davon gilt jetzt das MEHRWEG-Schild am Regal (§ 47 Abs. 2 VerpackDG, siehe Anforderung 36). Praktischer nächster Schritt: Abstimmung mit Pool- und Systembetreibern zur Trip-Zählung und zum Datenmodell.</w:t>
      </w:r>
    </w:p>
    <w:p>
      <w:pPr>
        <w:spacing w:after="40" w:before="0"/>
      </w:pPr>
      <w:r>
        <w:rPr>
          <w:rFonts w:ascii="Arial" w:cs="Arial" w:eastAsia="Arial" w:hAnsi="Arial"/>
          <w:sz w:val="18"/>
          <w:szCs w:val="18"/>
        </w:rPr>
        <w:t xml:space="preserve">Aktualisierung 17.10.2026: Die Durchführungsrechtsakte zu den harmonisierten Kennzeichnungen liegen noch nicht vor (vgl. Praxisfrage C14). Die Kommission plant die Annahme für das vierte Quartal 2026 (Initiative 19243). Der genannte Termin ist daher ein Mindestdatum: Die Pflicht gilt 24 bzw. 30 Monate nach Geltungsbeginn des Durchführungsakts, wenn dieser Zeitpunkt später liegt.</w:t>
      </w:r>
    </w:p>
    <w:p>
      <w:pPr>
        <w:spacing w:after="40" w:before="0"/>
      </w:pPr>
      <w:r>
        <w:rPr>
          <w:rFonts w:ascii="Arial" w:cs="Arial" w:eastAsia="Arial" w:hAnsi="Arial"/>
          <w:sz w:val="18"/>
          <w:szCs w:val="18"/>
        </w:rPr>
        <w:t xml:space="preserve">Aktualisierung 26.10.2026: Annahme des Durchfuehrungsakts (19243) jetzt fuer Q2 2027 geplant, Pflicht rechnerisch fruehestens Ende 2029 (vgl. C14).</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Mehrweg-Label + QR/Datenträger (Systemverfügbarkeit, Sammelstellen, Trip-/Rotationszählung); Ausnahme: offene Systeme ohne Systembetreiber (Abs. 3); B2B-Transportmehrweg im geschlossenen System: Info via Website/Begleitdoku zulässig (Abs. 5; Leitfaden Abschn. 14).</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Pool-/Systembetreiber-Abstimmung zur Trip-Zählung starten (Datenmodell!); Radar R8.</w:t>
      </w:r>
    </w:p>
    <w:p>
      <w:pPr>
        <w:spacing w:after="20" w:before="60"/>
      </w:pPr>
      <w:r>
        <w:rPr>
          <w:rFonts w:ascii="Arial" w:cs="Arial" w:eastAsia="Arial" w:hAnsi="Arial"/>
          <w:b/>
          <w:bCs/>
          <w:sz w:val="18"/>
          <w:szCs w:val="18"/>
        </w:rPr>
        <w:t xml:space="preserve">Übergangsregeln:</w:t>
      </w:r>
    </w:p>
    <w:p>
      <w:pPr>
        <w:spacing w:after="40" w:before="0"/>
      </w:pPr>
      <w:r>
        <w:rPr>
          <w:rFonts w:ascii="Arial" w:cs="Arial" w:eastAsia="Arial" w:hAnsi="Arial"/>
          <w:sz w:val="18"/>
          <w:szCs w:val="18"/>
        </w:rPr>
        <w:t xml:space="preserve">vor 11.02.2025 in Verkehr: bleibt bis Ausscheiden im Umlauf; 11.02.2025–Geltungsbeginn: Nachrüstung bis Februar 2032 (Leitfaden Abschn. 14 – unverbindliche Auslegung). Terminverschiebung möglich, Durchführungsakt ausstehend (Stand 17.10.2026).</w:t>
      </w:r>
    </w:p>
    <w:p>
      <w:pPr>
        <w:spacing w:after="20" w:before="60"/>
      </w:pPr>
      <w:r>
        <w:rPr>
          <w:rFonts w:ascii="Arial" w:cs="Arial" w:eastAsia="Arial" w:hAnsi="Arial"/>
          <w:b/>
          <w:bCs/>
          <w:sz w:val="18"/>
          <w:szCs w:val="18"/>
        </w:rPr>
        <w:t xml:space="preserve">VerpackDG-Ebene:</w:t>
      </w:r>
    </w:p>
    <w:p>
      <w:pPr>
        <w:spacing w:after="40" w:before="0"/>
      </w:pPr>
      <w:r>
        <w:rPr>
          <w:rFonts w:ascii="Arial" w:cs="Arial" w:eastAsia="Arial" w:hAnsi="Arial"/>
          <w:sz w:val="18"/>
          <w:szCs w:val="18"/>
        </w:rPr>
        <w:t xml:space="preserve">unabhängig davon JETZT: MEHRWEG-Schild am Regal (§ 47 Abs. 2) → #36.</w:t>
      </w:r>
    </w:p>
    <w:p>
      <w:pPr>
        <w:keepNext/>
        <w:pBdr>
          <w:top w:val="single" w:color="24A27F" w:sz="4" w:space="4"/>
        </w:pBdr>
        <w:spacing w:after="40" w:before="260"/>
      </w:pPr>
      <w:r>
        <w:rPr>
          <w:rFonts w:ascii="Arial" w:cs="Arial" w:eastAsia="Arial" w:hAnsi="Arial"/>
          <w:b/>
          <w:bCs/>
          <w:color w:val="004494"/>
          <w:sz w:val="22"/>
          <w:szCs w:val="22"/>
        </w:rPr>
        <w:t xml:space="preserve">#21  </w:t>
      </w:r>
      <w:r>
        <w:rPr>
          <w:rFonts w:ascii="Arial" w:cs="Arial" w:eastAsia="Arial" w:hAnsi="Arial"/>
          <w:b/>
          <w:bCs/>
          <w:sz w:val="22"/>
          <w:szCs w:val="22"/>
        </w:rPr>
        <w:t xml:space="preserve">Freiwillige Labels Rezyklat-/Bioanteil</w:t>
      </w:r>
    </w:p>
    <w:p>
      <w:pPr>
        <w:spacing w:after="60" w:before="0"/>
      </w:pPr>
      <w:r>
        <w:rPr>
          <w:rFonts w:ascii="Arial" w:cs="Arial" w:eastAsia="Arial" w:hAnsi="Arial"/>
          <w:color w:val="6B7280"/>
          <w:sz w:val="16"/>
          <w:szCs w:val="16"/>
        </w:rPr>
        <w:t xml:space="preserve">Kennzeichnung · Rechtsakt ausstehend, geplant ab 2028-08-12 · Rechtsquelle: Art. 12 Abs. 4 PPWR · Rechtsstand 2026-10-26 · Version 9 · betrifft Rollen: erzeuger; hersteller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Angaben zum Rezyklatanteil oder zum biobasierten Anteil bleiben freiwillig. Aber: Wer sie macht, muss ab Geltung der Regelung die harmonisierten EU-Spezifikationen nutzen – voraussichtlich ab dem 12.08.2028 oder 24 Monate nach dem noch ausstehenden Rechtsakt. (Art. 12 Abs. 4 PPWR)</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Nach Art. 12 Abs. 4 PPWR bleibt die Angabe von Rezyklat- oder Bioanteil freiwillig. Wer angibt, muss ab Geltung jedoch die harmonisierten Spezifikationen verwenden – ab dem 12.08.2028 beziehungsweise 24 Monate nach dem Durchführungsrechtsakt (Leitfaden Abschn. 13 – unverbindliche Auslegung der EU-Kommission, Radar R8). Marketing-Claims zu diesen Angaben sollten gegen die Green-Claims-Anforderung (Anforderung 23) gespiegelt werden.</w:t>
      </w:r>
    </w:p>
    <w:p>
      <w:pPr>
        <w:spacing w:after="40" w:before="0"/>
      </w:pPr>
      <w:r>
        <w:rPr>
          <w:rFonts w:ascii="Arial" w:cs="Arial" w:eastAsia="Arial" w:hAnsi="Arial"/>
          <w:sz w:val="18"/>
          <w:szCs w:val="18"/>
        </w:rPr>
        <w:t xml:space="preserve">Aktualisierung 17.10.2026: Die Durchführungsrechtsakte zu den harmonisierten Kennzeichnungen liegen noch nicht vor (vgl. Praxisfrage C14). Die Kommission plant die Annahme für das vierte Quartal 2026 (Initiative 19243). Der genannte Termin ist daher ein Mindestdatum: Die Pflicht gilt 24 bzw. 30 Monate nach Geltungsbeginn des Durchführungsakts, wenn dieser Zeitpunkt später liegt.</w:t>
      </w:r>
    </w:p>
    <w:p>
      <w:pPr>
        <w:spacing w:after="40" w:before="0"/>
      </w:pPr>
      <w:r>
        <w:rPr>
          <w:rFonts w:ascii="Arial" w:cs="Arial" w:eastAsia="Arial" w:hAnsi="Arial"/>
          <w:sz w:val="18"/>
          <w:szCs w:val="18"/>
        </w:rPr>
        <w:t xml:space="preserve">Aktualisierung 26.10.2026: Annahme des Durchfuehrungsakts (19243) jetzt fuer Q2 2027 geplant, Pflicht rechnerisch fruehestens Mitte 2029 (vgl. C14).</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Angabe von Rezyklat-/Bioanteil bleibt freiwillig; WER angibt, muss ab Geltung die harmonisierten Spezifikationen nutzen.</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Marketing-Claims mit Rechtsabteilung/Cattwyk gegen #23 spiegeln; Radar R8.</w:t>
      </w:r>
    </w:p>
    <w:p>
      <w:pPr>
        <w:spacing w:after="20" w:before="60"/>
      </w:pPr>
      <w:r>
        <w:rPr>
          <w:rFonts w:ascii="Arial" w:cs="Arial" w:eastAsia="Arial" w:hAnsi="Arial"/>
          <w:b/>
          <w:bCs/>
          <w:sz w:val="18"/>
          <w:szCs w:val="18"/>
        </w:rPr>
        <w:t xml:space="preserve">Übergangsregeln:</w:t>
      </w:r>
    </w:p>
    <w:p>
      <w:pPr>
        <w:spacing w:after="40" w:before="0"/>
      </w:pPr>
      <w:r>
        <w:rPr>
          <w:rFonts w:ascii="Arial" w:cs="Arial" w:eastAsia="Arial" w:hAnsi="Arial"/>
          <w:sz w:val="18"/>
          <w:szCs w:val="18"/>
        </w:rPr>
        <w:t xml:space="preserve"> Terminverschiebung möglich, Durchführungsakt ausstehend (Stand 17.10.2026).</w:t>
      </w:r>
    </w:p>
    <w:p>
      <w:pPr>
        <w:keepNext/>
        <w:pBdr>
          <w:top w:val="single" w:color="24A27F" w:sz="4" w:space="4"/>
        </w:pBdr>
        <w:spacing w:after="40" w:before="260"/>
      </w:pPr>
      <w:r>
        <w:rPr>
          <w:rFonts w:ascii="Arial" w:cs="Arial" w:eastAsia="Arial" w:hAnsi="Arial"/>
          <w:b/>
          <w:bCs/>
          <w:color w:val="004494"/>
          <w:sz w:val="22"/>
          <w:szCs w:val="22"/>
        </w:rPr>
        <w:t xml:space="preserve">#22  </w:t>
      </w:r>
      <w:r>
        <w:rPr>
          <w:rFonts w:ascii="Arial" w:cs="Arial" w:eastAsia="Arial" w:hAnsi="Arial"/>
          <w:b/>
          <w:bCs/>
          <w:sz w:val="22"/>
          <w:szCs w:val="22"/>
        </w:rPr>
        <w:t xml:space="preserve">EPR-Kennzeichnung nur digital</w:t>
      </w:r>
    </w:p>
    <w:p>
      <w:pPr>
        <w:spacing w:after="60" w:before="0"/>
      </w:pPr>
      <w:r>
        <w:rPr>
          <w:rFonts w:ascii="Arial" w:cs="Arial" w:eastAsia="Arial" w:hAnsi="Arial"/>
          <w:color w:val="6B7280"/>
          <w:sz w:val="16"/>
          <w:szCs w:val="16"/>
        </w:rPr>
        <w:t xml:space="preserve">Kennzeichnung · gilt seit 2026-08-12 · Rechtsquelle: Art. 12 Abs. 9 PPWR · Rechtsstand 2026-10-17 · Version 6 · betrifft Rollen: hersteller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Hinweise und Labels zur erweiterten Herstellerverantwortung – etwa Systembeteiligungs-Logos – sollen künftig nur noch digital bereitgestellt werden dürfen. (!) Ab wann genau das gilt und wie bestehende freiwillige Logos zu behandeln sind, ist noch ungeklärt und wird derzeit anwaltlich geprüft. Bis dahin spielt der Radar diese Aussage nicht aus. (Art. 12 Abs. 9 PPWR)</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Art. 12 Abs. 9 PPWR betrifft Hinweise und Labels zur erweiterten Herstellerverantwortung, etwa Systembeteiligungs-Logos – nach dem Leitfaden sind physische EPR-Labels verboten und nur digitale Bereitstellung zulässig (Leitfaden Abschn. 13 – unverbindliche Auslegung der EU-Kommission).</w:t>
      </w:r>
    </w:p>
    <w:p>
      <w:pPr>
        <w:spacing w:after="40" w:before="0"/>
      </w:pPr>
      <w:r>
        <w:rPr>
          <w:rFonts w:ascii="Arial" w:cs="Arial" w:eastAsia="Arial" w:hAnsi="Arial"/>
          <w:sz w:val="18"/>
          <w:szCs w:val="18"/>
        </w:rPr>
        <w:t xml:space="preserve">(!) V9: Der Geltungszeitpunkt (sofort ab 12.08.2026 oder erst mit der Fristenkette des Art. 12) und das Verhältnis zu bestehenden freiwilligen Logos (etwa „Grüner Punkt“ als Marke gegenüber der EPR-Aussage) sind ungeklärt und werden in der Verifikationssession geprüft. Wegen der hohen Praxisrelevanz wird dieser Datensatz bis zur Klärung nicht ausgespielt (Flag nicht_ausspielen). Sinnvoll bis dahin: ein Artwork-Review, das EPR-Bezüge auf Verpackungen identifiziert.</w:t>
      </w:r>
    </w:p>
    <w:p>
      <w:pPr>
        <w:spacing w:after="40" w:before="0"/>
      </w:pPr>
      <w:r>
        <w:rPr>
          <w:rFonts w:ascii="Arial" w:cs="Arial" w:eastAsia="Arial" w:hAnsi="Arial"/>
          <w:sz w:val="18"/>
          <w:szCs w:val="18"/>
        </w:rPr>
        <w:t xml:space="preserve">Aktualisierung 17.10.2026: Delta-Check ohne neuen Befund (vgl. Praxisfrage C14).</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Hinweise/Labels zur erweiterten Herstellerverantwortung (z. B. Systembeteiligungs-Logos) dürfen nur noch digital bereitgestellt werden. (!) V9: Geltungszeitpunkt (sofort vs. Art.-12-Fristenkette) und Verhältnis zu bestehenden freiwilligen Logos (z. B. „Grüner Punkt" als Marke vs. EPR-Aussage) in Session klären – hohe Praxisrelevanz, Aussage bis dahin nicht ausspielen (Flag `nicht_ausspielen`).</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Artwork-Review: EPR-Bezüge identifizieren; Rechtsauskunft abwarten.</w:t>
      </w:r>
    </w:p>
    <w:p>
      <w:pPr>
        <w:keepNext/>
        <w:pBdr>
          <w:top w:val="single" w:color="24A27F" w:sz="4" w:space="4"/>
        </w:pBdr>
        <w:spacing w:after="40" w:before="260"/>
      </w:pPr>
      <w:r>
        <w:rPr>
          <w:rFonts w:ascii="Arial" w:cs="Arial" w:eastAsia="Arial" w:hAnsi="Arial"/>
          <w:b/>
          <w:bCs/>
          <w:color w:val="004494"/>
          <w:sz w:val="22"/>
          <w:szCs w:val="22"/>
        </w:rPr>
        <w:t xml:space="preserve">#23  </w:t>
      </w:r>
      <w:r>
        <w:rPr>
          <w:rFonts w:ascii="Arial" w:cs="Arial" w:eastAsia="Arial" w:hAnsi="Arial"/>
          <w:b/>
          <w:bCs/>
          <w:sz w:val="22"/>
          <w:szCs w:val="22"/>
        </w:rPr>
        <w:t xml:space="preserve">Umweltaussagen auf Verpackungen (Green Claims)</w:t>
      </w:r>
    </w:p>
    <w:p>
      <w:pPr>
        <w:spacing w:after="60" w:before="0"/>
      </w:pPr>
      <w:r>
        <w:rPr>
          <w:rFonts w:ascii="Arial" w:cs="Arial" w:eastAsia="Arial" w:hAnsi="Arial"/>
          <w:color w:val="6B7280"/>
          <w:sz w:val="16"/>
          <w:szCs w:val="16"/>
        </w:rPr>
        <w:t xml:space="preserve">Kennzeichnung · gilt seit 2026-08-12 · Rechtsquelle: Art. 14 &amp; Art. 12 Abs. 8 PPWR · Rechtsstand 2026-10-17 · Version 5 · betrifft Rollen: erzeuger; hersteller; vertreiber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Wer mit Umwelteigenschaften seiner Verpackung wirbt – „recycelbar“, „klimaneutral“, „bio“ – und damit über die gesetzlichen Anforderungen hinausgeht, braucht dafür Nachweise. Verboten sind außerdem Kennzeichnungen, die mit dem künftigen EU-Sortierlabel verwechselt werden können. (!) Die exakten Fundstellen werden derzeit final geprüft. (Art. 14 PPWR)</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Art. 14 PPWR regelt Umweltaussagen über Verpackungseigenschaften, die über die Anforderungen der Verordnung hinausgehen: Sie sind nur mit Substanziierung zulässig und dürfen nicht irreführen. Ergänzend verbietet Art. 12 Abs. 8 PPWR Kennzeichnungen, die mit dem harmonisierten EU-Sortierlabel verwechselt werden können. (!) V10: Die Artikel- und Absatz-Pins sind noch vollständig gegen den Volltext zu setzen – bis dahin bleibt es im Produkt bei diesem generischen Hinweis.</w:t>
      </w:r>
    </w:p>
    <w:p>
      <w:pPr>
        <w:spacing w:after="40" w:before="0"/>
      </w:pPr>
      <w:r>
        <w:rPr>
          <w:rFonts w:ascii="Arial" w:cs="Arial" w:eastAsia="Arial" w:hAnsi="Arial"/>
          <w:sz w:val="18"/>
          <w:szCs w:val="18"/>
        </w:rPr>
        <w:t xml:space="preserve">Praktischer Einstieg: eine Claim-Inventur („recycelbar“, „klimaneutral“, „bio“) je SKU. Daneben besteht ein Parallelrisiko aus dem Lauterkeitsrecht (UWG) – das ist ein Fall für individuelle anwaltliche Prüfung.</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Umweltbezogene Aussagen zu Verpackungseigenschaften, die über die gesetzlichen Anforderungen hinausgehen, nur mit Nachweis/Konformität mit den Vorgaben; keine Labels, die mit dem EU-Sortierlabel verwechselbar sind. (!) V10: Artikel-/Absatz-Pins vollständig gegen Volltext setzen; bis dahin nur generischer Hinweis im Produkt.</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Claim-Inventur („recycelbar", „klimaneutral", „bio") je SKU; UWG-Parallelrisiko benennen (Beratungs-Funnel).</w:t>
      </w:r>
    </w:p>
    <w:p>
      <w:pPr>
        <w:spacing w:after="40" w:before="0"/>
      </w:pPr>
      <w:r>
        <w:rPr>
          <w:rFonts w:ascii="Arial" w:cs="Arial" w:eastAsia="Arial" w:hAnsi="Arial"/>
          <w:sz w:val="18"/>
          <w:szCs w:val="18"/>
        </w:rPr>
        <w:t xml:space="preserve">### Block IV – Verbote &amp; Beschränkungen (#24–#26)</w:t>
      </w:r>
    </w:p>
    <w:p>
      <w:pPr>
        <w:keepNext/>
        <w:pBdr>
          <w:top w:val="single" w:color="24A27F" w:sz="4" w:space="4"/>
        </w:pBdr>
        <w:spacing w:after="40" w:before="260"/>
      </w:pPr>
      <w:r>
        <w:rPr>
          <w:rFonts w:ascii="Arial" w:cs="Arial" w:eastAsia="Arial" w:hAnsi="Arial"/>
          <w:b/>
          <w:bCs/>
          <w:color w:val="004494"/>
          <w:sz w:val="22"/>
          <w:szCs w:val="22"/>
        </w:rPr>
        <w:t xml:space="preserve">#24  </w:t>
      </w:r>
      <w:r>
        <w:rPr>
          <w:rFonts w:ascii="Arial" w:cs="Arial" w:eastAsia="Arial" w:hAnsi="Arial"/>
          <w:b/>
          <w:bCs/>
          <w:sz w:val="22"/>
          <w:szCs w:val="22"/>
        </w:rPr>
        <w:t xml:space="preserve">Verpackungsverbote ab 2030 (Anhang V)</w:t>
      </w:r>
    </w:p>
    <w:p>
      <w:pPr>
        <w:spacing w:after="60" w:before="0"/>
      </w:pPr>
      <w:r>
        <w:rPr>
          <w:rFonts w:ascii="Arial" w:cs="Arial" w:eastAsia="Arial" w:hAnsi="Arial"/>
          <w:color w:val="6B7280"/>
          <w:sz w:val="16"/>
          <w:szCs w:val="16"/>
        </w:rPr>
        <w:t xml:space="preserve">Verbote · gilt ab 2030-01-01 · Rechtsquelle: Art. 25 i. V. m. Anhang V PPWR · Rechtsstand 2026-10-17 · Version 5 · betrifft Rollen: erzeuger; hersteller; importeur; vertreiber; endvertreiber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Ab dem 01.01.2030 verbietet die EU bestimmte Verpackungsformate komplett – darunter Einwegkunststoff für frisches Obst und Gemüse unter 1,5 kg, Einwegverpackungen für den Verzehr im Restaurant, Einzelportionen und Hotel-Miniaturen. Erfasst sind auch Verbunde mit mehr als 5 % Kunststoffanteil. Wer betroffene Formate im Portfolio hat, sollte die Substitution bis Ende 2029 planen. (Art. 25 Abs. 1 i. V. m. Anhang V PPWR)</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Art. 25 Abs. 1 i. V. m. Anhang V PPWR verbietet ab dem 01.01.2030 das Inverkehrbringen der dort gelisteten Formate und Verwendungen – unter anderem Einwegkunststoff für frisches Obst und Gemüse unter 1,5 kg, HORECA-Verzehr vor Ort, Einzelportionen, Hotel-Miniaturen und sehr leichte Tragetaschen. (!) V11: Die vollständige Verbotsliste wird noch 1:1 aus dem Volltext übernommen. Das Verbot richtet sich an alle Wirtschaftsakteure.</w:t>
      </w:r>
    </w:p>
    <w:p>
      <w:pPr>
        <w:spacing w:after="40" w:before="0"/>
      </w:pPr>
      <w:r>
        <w:rPr>
          <w:rFonts w:ascii="Arial" w:cs="Arial" w:eastAsia="Arial" w:hAnsi="Arial"/>
          <w:sz w:val="18"/>
          <w:szCs w:val="18"/>
        </w:rPr>
        <w:t xml:space="preserve">Verbund-Verpackungen mit mehr als 5 % Kunststoffanteil sind erfasst, mit höchstens 5 % nicht (Leitfaden Abschn. 16/17 – unverbindliche Auslegung der EU-Kommission). Nationale Alt-Beschränkungen zu Anhang V Nr. 2/3 bleiben bis 2030 zulässig (Art. 70 Abs. 4 PPWR). Empfehlung: Portfolio-Screening gegen Anhang V und Substitutionsplanung bis Ende 2029 – Investitionsschutz gibt es nur über frühe Planung (Radar R9 zu möglichen Guidance-Updates).</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Inverkehrbringungsverbot der Formate/Verwendungen des Anhangs V; Verbund-Verpackungen mit &gt; 5 % Kunststoffanteil erfasst (≤ 5 % nicht) – Leitfaden Abschn. 17, unverbindliche Auslegung.</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Portfolio-Screening gegen Anhang V; Substitution bis Ende 2029 planen; Radar R9 (mögliche Guidance/Änderungen).</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Vertriebsverbot ab Stichtag; Investitionsschutz nur über frühe Planung.</w:t>
      </w:r>
    </w:p>
    <w:p>
      <w:pPr>
        <w:keepNext/>
        <w:pBdr>
          <w:top w:val="single" w:color="24A27F" w:sz="4" w:space="4"/>
        </w:pBdr>
        <w:spacing w:after="40" w:before="260"/>
      </w:pPr>
      <w:r>
        <w:rPr>
          <w:rFonts w:ascii="Arial" w:cs="Arial" w:eastAsia="Arial" w:hAnsi="Arial"/>
          <w:b/>
          <w:bCs/>
          <w:color w:val="004494"/>
          <w:sz w:val="22"/>
          <w:szCs w:val="22"/>
        </w:rPr>
        <w:t xml:space="preserve">#25  </w:t>
      </w:r>
      <w:r>
        <w:rPr>
          <w:rFonts w:ascii="Arial" w:cs="Arial" w:eastAsia="Arial" w:hAnsi="Arial"/>
          <w:b/>
          <w:bCs/>
          <w:sz w:val="22"/>
          <w:szCs w:val="22"/>
        </w:rPr>
        <w:t xml:space="preserve">Leichte Kunststofftragetaschen (DE-Verbot)</w:t>
      </w:r>
    </w:p>
    <w:p>
      <w:pPr>
        <w:spacing w:after="60" w:before="0"/>
      </w:pPr>
      <w:r>
        <w:rPr>
          <w:rFonts w:ascii="Arial" w:cs="Arial" w:eastAsia="Arial" w:hAnsi="Arial"/>
          <w:color w:val="6B7280"/>
          <w:sz w:val="16"/>
          <w:szCs w:val="16"/>
        </w:rPr>
        <w:t xml:space="preserve">Verbote · gilt seit 2026-08-12 · Rechtsquelle: § 12 Abs. 1 VerpackDG · Rechtsstand 2026-10-17 · Version 5 · betrifft Rollen: endvertreiber; vertreiber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Das deutsche Verbot leichter Kunststofftragetaschen gilt weiter: An der Verkaufsstelle dürfen sie nicht zur Befüllung bereitgestellt werden. Ausgenommen sind sehr leichte Tragetaschen aus Hygienegründen oder als Verkaufsverpackung loser Lebensmittel. Betroffen sind Endvertreiber – prüfen Sie Kassen- und Servicebereiche, gerade im Non-Food-Handel. (§ 12 Abs. 1 VerpackDG)</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 12 Abs. 1 VerpackDG führt das Bereitstellungsverbot leichter Kunststofftragetaschen zur Befüllung an der Verkaufsstelle fort (zuvor § 5 Abs. 2 VerpackG a. F.). Ausgenommen sind sehr leichte Tragetaschen aus Hygienegründen oder als Verkaufsverpackung loser Lebensmittel. (!) V12: Die Wandstärken-Definition in § 3 VerpackDG und die zugehörige Bußgeld-Nummer in § 66 sind noch zu pinnen.</w:t>
      </w:r>
    </w:p>
    <w:p>
      <w:pPr>
        <w:spacing w:after="40" w:before="0"/>
      </w:pPr>
      <w:r>
        <w:rPr>
          <w:rFonts w:ascii="Arial" w:cs="Arial" w:eastAsia="Arial" w:hAnsi="Arial"/>
          <w:sz w:val="18"/>
          <w:szCs w:val="18"/>
        </w:rPr>
        <w:t xml:space="preserve">Ausblick: Ab 2030 gilt EU-weit das Anhang-V-Verbot (Anforderung 24) – dann sind auch sehr leichte Tragetaschen betroffen ((!) V11: Listen-Pin offen). Die vorprogrammierte Neufassung des § 12 zum 01.01.2030 (Mantelgesetz Art. 4) wird als Radar-Ereignis überwacht (R10). Risiko: Bußgeld nach § 66 VerpackDG und Abmahnungen.</w:t>
      </w:r>
    </w:p>
    <w:p>
      <w:pPr>
        <w:spacing w:after="20" w:before="60"/>
      </w:pPr>
      <w:r>
        <w:rPr>
          <w:rFonts w:ascii="Arial" w:cs="Arial" w:eastAsia="Arial" w:hAnsi="Arial"/>
          <w:b/>
          <w:bCs/>
          <w:sz w:val="18"/>
          <w:szCs w:val="18"/>
        </w:rPr>
        <w:t xml:space="preserve">Erklärung (Rechtstext):</w:t>
      </w:r>
    </w:p>
    <w:p>
      <w:pPr>
        <w:spacing w:after="40" w:before="0"/>
      </w:pPr>
      <w:r>
        <w:rPr>
          <w:rFonts w:ascii="Arial" w:cs="Arial" w:eastAsia="Arial" w:hAnsi="Arial"/>
          <w:sz w:val="18"/>
          <w:szCs w:val="18"/>
        </w:rPr>
        <w:t xml:space="preserve">§ 12 Abs. 1 VerpackDG untersagt es, leichte Kunststofftragetaschen zur Befüllung mit Waren an der Verkaufsstelle bereitzustellen. Ausgenommen sind sehr leichte Kunststofftragetaschen, die aus Hygienegründen erforderlich sind oder als Verkaufsverpackung für lose Lebensmittel angeboten werden.</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Bereitstellungsverbot leichter Kunststofftragetaschen zur Befüllung an der Verkaufsstelle; Ausnahme: sehr leichte Tragetaschen aus Hygienegründen oder als Verkaufsverpackung loser Lebensmittel.</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Kassen-/Servicebereiche prüfen (v. a. Non-Food-Handel).</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Bußgeld § 66 (!) V12 (Nr. pinnen), Abmahnung.</w:t>
      </w:r>
    </w:p>
    <w:p>
      <w:pPr>
        <w:spacing w:after="20" w:before="60"/>
      </w:pPr>
      <w:r>
        <w:rPr>
          <w:rFonts w:ascii="Arial" w:cs="Arial" w:eastAsia="Arial" w:hAnsi="Arial"/>
          <w:b/>
          <w:bCs/>
          <w:sz w:val="18"/>
          <w:szCs w:val="18"/>
        </w:rPr>
        <w:t xml:space="preserve">VerpackDG-Ebene:</w:t>
      </w:r>
    </w:p>
    <w:p>
      <w:pPr>
        <w:spacing w:after="40" w:before="0"/>
      </w:pPr>
      <w:r>
        <w:rPr>
          <w:rFonts w:ascii="Arial" w:cs="Arial" w:eastAsia="Arial" w:hAnsi="Arial"/>
          <w:sz w:val="18"/>
          <w:szCs w:val="18"/>
        </w:rPr>
        <w:t xml:space="preserve">ab 2030 EU-weit über Anhang V (#24; dann auch sehr leichte Taschen betroffen (!) V11); vorprogrammierte §-Neufassung als Radar-Datensatz R10.</w:t>
      </w:r>
    </w:p>
    <w:p>
      <w:pPr>
        <w:keepNext/>
        <w:pBdr>
          <w:top w:val="single" w:color="24A27F" w:sz="4" w:space="4"/>
        </w:pBdr>
        <w:spacing w:after="40" w:before="260"/>
      </w:pPr>
      <w:r>
        <w:rPr>
          <w:rFonts w:ascii="Arial" w:cs="Arial" w:eastAsia="Arial" w:hAnsi="Arial"/>
          <w:b/>
          <w:bCs/>
          <w:color w:val="004494"/>
          <w:sz w:val="22"/>
          <w:szCs w:val="22"/>
        </w:rPr>
        <w:t xml:space="preserve">#26  </w:t>
      </w:r>
      <w:r>
        <w:rPr>
          <w:rFonts w:ascii="Arial" w:cs="Arial" w:eastAsia="Arial" w:hAnsi="Arial"/>
          <w:b/>
          <w:bCs/>
          <w:sz w:val="22"/>
          <w:szCs w:val="22"/>
        </w:rPr>
        <w:t xml:space="preserve">SUPD-Schnittstelle: EPS-/XPS-Verbote &amp; EWKVerbotsV</w:t>
      </w:r>
    </w:p>
    <w:p>
      <w:pPr>
        <w:spacing w:after="60" w:before="0"/>
      </w:pPr>
      <w:r>
        <w:rPr>
          <w:rFonts w:ascii="Arial" w:cs="Arial" w:eastAsia="Arial" w:hAnsi="Arial"/>
          <w:color w:val="6B7280"/>
          <w:sz w:val="16"/>
          <w:szCs w:val="16"/>
        </w:rPr>
        <w:t xml:space="preserve">Verbote · gilt seit 2026-08-12 · Rechtsquelle: EWKVerbotsV; Art. 67 Abs. 5 PPWR (XPS ab 2030) · Rechtsstand 2026-10-17 · Version 5 · betrifft Rollen: erzeuger; hersteller; importeur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Die bestehenden Verbote für Lebensmittelbehälter und Becher aus expandiertem Polystyrol (EPS) gelten weiter. Ab dem 01.01.2030 kommen die entsprechenden Formate aus extrudiertem Polystyrol (XPS) hinzu – unmittelbar über EU-Recht, ohne dass Deutschland etwas umsetzen muss. Prüfen Sie bei To-Go-Formaten die Materialdaten und unterscheiden Sie EPS und XPS. (§ 12 Abs. 2 VerpackDG · Art. 67 Abs. 5 PPWR)</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Die EPS-Verbote der EWKVerbotsV bleiben nach § 12 Abs. 2 VerpackDG unberührt und gelten fort. Ab dem 01.01.2030 erweitert Art. 67 Abs. 5 PPWR die SUPD-Verbotslinie auf XPS-Formate – unmittelbar geltend, eine nationale Umsetzung ist nicht nötig (Leitfaden Abschn. 16 – unverbindliche Auslegung der EU-Kommission). Bei Überschneidungen mit Anhang-V-Formaten greift die Vorrangregel des Art. 67 Abs. 1 PPWR.</w:t>
      </w:r>
    </w:p>
    <w:p>
      <w:pPr>
        <w:spacing w:after="40" w:before="0"/>
      </w:pPr>
      <w:r>
        <w:rPr>
          <w:rFonts w:ascii="Arial" w:cs="Arial" w:eastAsia="Arial" w:hAnsi="Arial"/>
          <w:sz w:val="18"/>
          <w:szCs w:val="18"/>
        </w:rPr>
        <w:t xml:space="preserve">Betroffen sind Hersteller beziehungsweise Erstinverkehrbringer und Endvertreiber von EPS-/XPS-Lebensmittelbehältern, -Getränkebechern und -behältern. Die Marktüberwachung ist in diesem Bereich etabliert, Rechtsfolge ist das Vertriebsverbot.</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EPS-Verbote der EWKVerbotsV gelten fort; ab 2030 zusätzlich XPS-Formate; im Übrigen PPWR-Vorrang bei Anhang-V-Formaten.</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Materialdaten der To-Go-Formate prüfen (EPS vs. XPS unterscheiden!).</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Vertriebsverbot; Marktüberwachung etabliert.</w:t>
      </w:r>
    </w:p>
    <w:p>
      <w:pPr>
        <w:spacing w:after="40" w:before="0"/>
      </w:pPr>
      <w:r>
        <w:rPr>
          <w:rFonts w:ascii="Arial" w:cs="Arial" w:eastAsia="Arial" w:hAnsi="Arial"/>
          <w:sz w:val="18"/>
          <w:szCs w:val="18"/>
        </w:rPr>
        <w:t xml:space="preserve">### Block V – Mehrweg &amp; Wiederverwendung (#27–#30)</w:t>
      </w:r>
    </w:p>
    <w:p>
      <w:pPr>
        <w:keepNext/>
        <w:pBdr>
          <w:top w:val="single" w:color="24A27F" w:sz="4" w:space="4"/>
        </w:pBdr>
        <w:spacing w:after="40" w:before="260"/>
      </w:pPr>
      <w:r>
        <w:rPr>
          <w:rFonts w:ascii="Arial" w:cs="Arial" w:eastAsia="Arial" w:hAnsi="Arial"/>
          <w:b/>
          <w:bCs/>
          <w:color w:val="004494"/>
          <w:sz w:val="22"/>
          <w:szCs w:val="22"/>
        </w:rPr>
        <w:t xml:space="preserve">#27  </w:t>
      </w:r>
      <w:r>
        <w:rPr>
          <w:rFonts w:ascii="Arial" w:cs="Arial" w:eastAsia="Arial" w:hAnsi="Arial"/>
          <w:b/>
          <w:bCs/>
          <w:sz w:val="22"/>
          <w:szCs w:val="22"/>
        </w:rPr>
        <w:t xml:space="preserve">Mehrwegquoten Transportverpackung 2030</w:t>
      </w:r>
    </w:p>
    <w:p>
      <w:pPr>
        <w:spacing w:after="60" w:before="0"/>
      </w:pPr>
      <w:r>
        <w:rPr>
          <w:rFonts w:ascii="Arial" w:cs="Arial" w:eastAsia="Arial" w:hAnsi="Arial"/>
          <w:color w:val="6B7280"/>
          <w:sz w:val="16"/>
          <w:szCs w:val="16"/>
        </w:rPr>
        <w:t xml:space="preserve">Mehrweg · gilt ab 2030-01-01 · Rechtsquelle: Art. 29 Abs. 1–4 PPWR · Rechtsstand 2026-10-17 · Version 5 · betrifft Rollen: hersteller; importeur; vertreiber; fulfillment</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Ab dem 01.01.2030 gelten Mehrwegquoten für Transportverpackungen: 40 % der genutzten Transportverpackung müssen in einem Wiederverwendungssystem laufen – und zwischen eigenen Standorten sowie bei Lieferungen an andere Unternehmen im selben Mitgliedstaat sogar 100 %. Pflichtig ist, wer die Verpackung nutzt beziehungsweise befüllt. Kartons sind ausdrücklich ausgenommen. (Art. 29 Abs. 1–4 PPWR)</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Art. 29 Abs. 1–4 PPWR verlangt ab dem 01.01.2030: (a) 40 % der genutzten Transportverpackung in einem Wiederverwendungssystem (Abs. 1), (b) 100 % zwischen eigenen Standorten und verbundenen Unternehmen (Abs. 2), (c) 100 % bei Lieferungen an andere Wirtschaftsakteure im selben Mitgliedstaat (Abs. 3). Der Zielwert 2040 ist eine Bemühensklausel. Pflichtig ist der Nutzer beziehungsweise Befüller der Verpackung – nach dem Leitfaden auch für Verkaufsverpackungen mit Transportfunktion und bei Drittlandsimporten ab dem „ersten Lager“ (Leitfaden Abschn. 18–21 – unverbindliche Auslegung der EU-Kommission). Erfasste Formate: Paletten, Faltkisten, Kisten, Trays, Kunststoffkästen, IBC, Eimer, Fässer, Kanister, Wickelfolien und Bänder.</w:t>
      </w:r>
    </w:p>
    <w:p>
      <w:pPr>
        <w:spacing w:after="40" w:before="0"/>
      </w:pPr>
      <w:r>
        <w:rPr>
          <w:rFonts w:ascii="Arial" w:cs="Arial" w:eastAsia="Arial" w:hAnsi="Arial"/>
          <w:sz w:val="18"/>
          <w:szCs w:val="18"/>
        </w:rPr>
        <w:t xml:space="preserve">Ausnahmen: Gefahrgut (RL 2008/68/EG), maßgefertigte Verpackungen für Großmaschinen (mit Dokumentationspflicht, Leitfaden Abschn. 21) und – ausdrücklich – Kartons ((!) V13: Absatz-Fundstelle wird noch gepinnt, Leitfaden Abschn. 27 lit. c bestätigt die Ausnahme). Eine füllgutbedingte Unmöglichkeit erkennt der Leitfaden in Abschn. 18 an (unverbindliche Auslegung der EU-Kommission). Doppel-Layer: § 59 VerpackDG fördert Mehrweg-Infrastruktur über die Vermeidungsmaßnahmen-Finanzierung.</w:t>
      </w:r>
    </w:p>
    <w:p>
      <w:pPr>
        <w:spacing w:after="40" w:before="0"/>
      </w:pPr>
      <w:r>
        <w:rPr>
          <w:rFonts w:ascii="Arial" w:cs="Arial" w:eastAsia="Arial" w:hAnsi="Arial"/>
          <w:sz w:val="18"/>
          <w:szCs w:val="18"/>
        </w:rPr>
        <w:t xml:space="preserve">Praxis-Hinweis aus dem Datensatz: Die 100-%-Pflichten der Abs. 2 und 3 sind der eigentliche Hebel, nicht die 40 %. Empfehlung: Ist-Quote je Verkehr (intern, Inland-B2B, grenzüberschreitend) erheben. Das Reporting folgt aus Art. 31 PPWR ((!) V13), die Berechnungsmethodik aus einem noch ausstehenden Durchführungsrechtsakt (Art. 30, Radar R11).</w:t>
      </w:r>
    </w:p>
    <w:p>
      <w:pPr>
        <w:spacing w:after="40" w:before="0"/>
      </w:pPr>
      <w:r>
        <w:rPr>
          <w:rFonts w:ascii="Arial" w:cs="Arial" w:eastAsia="Arial" w:hAnsi="Arial"/>
          <w:sz w:val="18"/>
          <w:szCs w:val="18"/>
        </w:rPr>
        <w:t xml:space="preserve">Aktualisierung 17.10.2026: Die deutsche Sprachfassung des Art. 29 Abs. 4 lit. b PPWR wurde mit Berichtigung vom 04.08.2026 (ABl. L 2026/90654) korrigiert: Die Ausnahme gilt für Transportverpackungen für große Maschinen, Ausrüstungen und Waren (nicht nur Rohstoffe), die nach individuellen Anforderungen des Auftraggebers konzipiert sind (vgl. Praxisfrage C13).</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(a) 40 % der genutzten Transportverpackung in Wiederverwendungssystem (Abs. 1); (b) 100 % zwischen eigenen Standorten/verbundenen Unternehmen (Abs. 2); (c) 100 % bei Lieferungen an andere Wirtschaftsakteure im selben Mitgliedstaat (Abs. 3).</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Ist-Quote je Verkehr (intern / Inland-B2B / grenzüberschreitend) erheben – die 100-%-Pflichten Abs. 2/3 sind der eigentliche Hammer, nicht die 40 %.</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ab 2030; Reporting Art. 31 (!) V13.</w:t>
      </w:r>
    </w:p>
    <w:p>
      <w:pPr>
        <w:spacing w:after="20" w:before="60"/>
      </w:pPr>
      <w:r>
        <w:rPr>
          <w:rFonts w:ascii="Arial" w:cs="Arial" w:eastAsia="Arial" w:hAnsi="Arial"/>
          <w:b/>
          <w:bCs/>
          <w:sz w:val="18"/>
          <w:szCs w:val="18"/>
        </w:rPr>
        <w:t xml:space="preserve">Ausnahmen:</w:t>
      </w:r>
    </w:p>
    <w:p>
      <w:pPr>
        <w:spacing w:after="40" w:before="0"/>
      </w:pPr>
      <w:r>
        <w:rPr>
          <w:rFonts w:ascii="Arial" w:cs="Arial" w:eastAsia="Arial" w:hAnsi="Arial"/>
          <w:sz w:val="18"/>
          <w:szCs w:val="18"/>
        </w:rPr>
        <w:t xml:space="preserve">Gefahrgut (RL 2008/68/EG), maßgefertigte Verpackung für Großmaschinen (Doku-Pflicht!, Leitfaden Abschn. 21); Kartons ausdrücklich ausgenommen (Fundstelle Absatz (!) V13 pinnen; Leitfaden Abschn. 27 lit. c bestätigt Ausnahme); Füllgut-bedingte Unmöglichkeit nach Leitfaden Abschn. 18 (viskose Füllgüter etc. – unverbindliche Auslegung).</w:t>
      </w:r>
    </w:p>
    <w:p>
      <w:pPr>
        <w:spacing w:after="20" w:before="60"/>
      </w:pPr>
      <w:r>
        <w:rPr>
          <w:rFonts w:ascii="Arial" w:cs="Arial" w:eastAsia="Arial" w:hAnsi="Arial"/>
          <w:b/>
          <w:bCs/>
          <w:sz w:val="18"/>
          <w:szCs w:val="18"/>
        </w:rPr>
        <w:t xml:space="preserve">Übergangsregeln:</w:t>
      </w:r>
    </w:p>
    <w:p>
      <w:pPr>
        <w:spacing w:after="40" w:before="0"/>
      </w:pPr>
      <w:r>
        <w:rPr>
          <w:rFonts w:ascii="Arial" w:cs="Arial" w:eastAsia="Arial" w:hAnsi="Arial"/>
          <w:sz w:val="18"/>
          <w:szCs w:val="18"/>
        </w:rPr>
        <w:t xml:space="preserve">Radar-Beobachtung: R11 (Berechnungs-Durchführungsrechtsakt Art. 30 (!)).</w:t>
      </w:r>
    </w:p>
    <w:p>
      <w:pPr>
        <w:spacing w:after="20" w:before="60"/>
      </w:pPr>
      <w:r>
        <w:rPr>
          <w:rFonts w:ascii="Arial" w:cs="Arial" w:eastAsia="Arial" w:hAnsi="Arial"/>
          <w:b/>
          <w:bCs/>
          <w:sz w:val="18"/>
          <w:szCs w:val="18"/>
        </w:rPr>
        <w:t xml:space="preserve">VerpackDG-Ebene:</w:t>
      </w:r>
    </w:p>
    <w:p>
      <w:pPr>
        <w:spacing w:after="40" w:before="0"/>
      </w:pPr>
      <w:r>
        <w:rPr>
          <w:rFonts w:ascii="Arial" w:cs="Arial" w:eastAsia="Arial" w:hAnsi="Arial"/>
          <w:sz w:val="18"/>
          <w:szCs w:val="18"/>
        </w:rPr>
        <w:t xml:space="preserve">§ 59 (Vermeidungsmaßnahmen-Finanzierung fördert Mehrweg-Infrastruktur).</w:t>
      </w:r>
    </w:p>
    <w:p>
      <w:pPr>
        <w:keepNext/>
        <w:pBdr>
          <w:top w:val="single" w:color="24A27F" w:sz="4" w:space="4"/>
        </w:pBdr>
        <w:spacing w:after="40" w:before="260"/>
      </w:pPr>
      <w:r>
        <w:rPr>
          <w:rFonts w:ascii="Arial" w:cs="Arial" w:eastAsia="Arial" w:hAnsi="Arial"/>
          <w:b/>
          <w:bCs/>
          <w:color w:val="004494"/>
          <w:sz w:val="22"/>
          <w:szCs w:val="22"/>
        </w:rPr>
        <w:t xml:space="preserve">#28  </w:t>
      </w:r>
      <w:r>
        <w:rPr>
          <w:rFonts w:ascii="Arial" w:cs="Arial" w:eastAsia="Arial" w:hAnsi="Arial"/>
          <w:b/>
          <w:bCs/>
          <w:sz w:val="22"/>
          <w:szCs w:val="22"/>
        </w:rPr>
        <w:t xml:space="preserve">Mehrwegquote Getränke (10 % ab 2030)</w:t>
      </w:r>
    </w:p>
    <w:p>
      <w:pPr>
        <w:spacing w:after="60" w:before="0"/>
      </w:pPr>
      <w:r>
        <w:rPr>
          <w:rFonts w:ascii="Arial" w:cs="Arial" w:eastAsia="Arial" w:hAnsi="Arial"/>
          <w:color w:val="6B7280"/>
          <w:sz w:val="16"/>
          <w:szCs w:val="16"/>
        </w:rPr>
        <w:t xml:space="preserve">Mehrweg · gilt ab 2030-01-01 · Rechtsquelle: Art. 29 Abs. 6 PPWR · Rechtsstand 2026-10-17 · Version 5 · betrifft Rollen: endvertreiber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Ab dem 01.01.2030 müssen Endvertreiber – Handel, Gastronomie, Online – mindestens 10 % ihrer Getränke in Mehrweg-Verkaufsverpackungen anbieten. Es zählt das Angebot, keine Verkaufsquote. Unabhängig davon gelten die deutschen EINWEG/MEHRWEG-Hinweispflichten am Regal schon heute. (Art. 29 Abs. 6 PPWR)</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Art. 29 Abs. 6 PPWR verpflichtet Endvertreiber ab dem 01.01.2030, mindestens 10 % der Getränke in Mehrweg-Verkaufsverpackung innerhalb eines Wiederverwendungssystems anzubieten – ein Angebots-Soll, kein Abverkaufs-Soll. Fässer und KEGs im HORECA-B2B zählen nicht (Leitfaden Abschn. 22/23 – unverbindliche Auslegung der EU-Kommission). Nationale Spielräume ergeben sich aus Art. 29 Abs. 14–16 i. V. m. Art. 51 PPWR (Leitfaden Abschn. 24/27 – unverbindliche Auslegung der EU-Kommission).</w:t>
      </w:r>
    </w:p>
    <w:p>
      <w:pPr>
        <w:spacing w:after="40" w:before="0"/>
      </w:pPr>
      <w:r>
        <w:rPr>
          <w:rFonts w:ascii="Arial" w:cs="Arial" w:eastAsia="Arial" w:hAnsi="Arial"/>
          <w:sz w:val="18"/>
          <w:szCs w:val="18"/>
        </w:rPr>
        <w:t xml:space="preserve">Doppel-Layer Deutschland: Die 70-%-Mehrwegzielmarke bleibt programmatisch (§ 44 VerpackDG), die EINWEG/MEHRWEG-Hinweispflichten nach § 47 VerpackDG gelten jetzt (siehe Anforderung 36). Empfehlung: Mehrweg-Sortimentsanteil je Filiale beziehungsweise Shop messen und die Listungs-Strategie bis 2029 aufsetzen. Der Vollzug liegt bei den Ländern.</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mind. 10 % der Getränke in Mehrweg-Verkaufsverpackung innerhalb eines Wiederverwendungssystems ANBIETEN (kein Abverkaufs-Soll).</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Sortimentsanteil Mehrweg je Filiale/Shop messen; Listungs-Strategie bis 2029.</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ab 2030; Landesvollzug.</w:t>
      </w:r>
    </w:p>
    <w:p>
      <w:pPr>
        <w:spacing w:after="20" w:before="60"/>
      </w:pPr>
      <w:r>
        <w:rPr>
          <w:rFonts w:ascii="Arial" w:cs="Arial" w:eastAsia="Arial" w:hAnsi="Arial"/>
          <w:b/>
          <w:bCs/>
          <w:sz w:val="18"/>
          <w:szCs w:val="18"/>
        </w:rPr>
        <w:t xml:space="preserve">VerpackDG-Ebene:</w:t>
      </w:r>
    </w:p>
    <w:p>
      <w:pPr>
        <w:spacing w:after="40" w:before="0"/>
      </w:pPr>
      <w:r>
        <w:rPr>
          <w:rFonts w:ascii="Arial" w:cs="Arial" w:eastAsia="Arial" w:hAnsi="Arial"/>
          <w:sz w:val="18"/>
          <w:szCs w:val="18"/>
        </w:rPr>
        <w:t xml:space="preserve">DE-70-%-Mehrwegzielmarke bleibt programmatisch (§ 44); MEHRWEG/EINWEG-Hinweispflichten § 47 gelten JETZT (#36).</w:t>
      </w:r>
    </w:p>
    <w:p>
      <w:pPr>
        <w:keepNext/>
        <w:pBdr>
          <w:top w:val="single" w:color="24A27F" w:sz="4" w:space="4"/>
        </w:pBdr>
        <w:spacing w:after="40" w:before="260"/>
      </w:pPr>
      <w:r>
        <w:rPr>
          <w:rFonts w:ascii="Arial" w:cs="Arial" w:eastAsia="Arial" w:hAnsi="Arial"/>
          <w:b/>
          <w:bCs/>
          <w:color w:val="004494"/>
          <w:sz w:val="22"/>
          <w:szCs w:val="22"/>
        </w:rPr>
        <w:t xml:space="preserve">#29  </w:t>
      </w:r>
      <w:r>
        <w:rPr>
          <w:rFonts w:ascii="Arial" w:cs="Arial" w:eastAsia="Arial" w:hAnsi="Arial"/>
          <w:b/>
          <w:bCs/>
          <w:sz w:val="22"/>
          <w:szCs w:val="22"/>
        </w:rPr>
        <w:t xml:space="preserve">Take-away: Mehrwegangebotspflicht (DE) &amp; EU-Ziel</w:t>
      </w:r>
    </w:p>
    <w:p>
      <w:pPr>
        <w:spacing w:after="60" w:before="0"/>
      </w:pPr>
      <w:r>
        <w:rPr>
          <w:rFonts w:ascii="Arial" w:cs="Arial" w:eastAsia="Arial" w:hAnsi="Arial"/>
          <w:color w:val="6B7280"/>
          <w:sz w:val="16"/>
          <w:szCs w:val="16"/>
        </w:rPr>
        <w:t xml:space="preserve">Mehrweg · gilt seit 2026-08-12 · Rechtsquelle: §§ 60/61 VerpackDG; Art. 32/33 PPWR · Rechtsstand 2026-10-17 · Version 5 · betrifft Rollen: endvertreiber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Wer Essen oder Getränke in Einwegkunststoff-Verpackungen oder Einwegbechern erst vor Ort abfüllt – Gastronomie, To-Go, Lieferdienste – muss die Ware auch in Mehrweg anbieten, und zwar nicht teurer und nicht schlechter. Kleinbetriebe mit höchstens fünf Beschäftigten und höchstens 80 m² dürfen stattdessen mitgebrachte Kundenbehältnisse befüllen. Am Verkaufsort und im Onlineshop muss darauf hingewiesen werden. Das gilt jetzt. (§§ 60, 61 VerpackDG)</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 60 und 61 VerpackDG führen die deutsche Mehrwegangebotspflicht fort (zuvor §§ 33/34 VerpackG a. F.): Wer Einwegkunststoff-Lebensmittelverpackungen oder Einweggetränkebecher (alle Materialien) erst beim Endvertreiber befüllt, muss die Ware auch in Mehrweg anbieten – nicht teurer und nicht zu schlechteren Bedingungen, einschließlich Deckeln und Verschlüssen. Hinzu kommen Hinweispflichten am POS und im Fernabsatz (§ 60 Abs. 2). Erleichterung für Kleinbetriebe (höchstens 5 Beschäftigte, höchstens 80 m² Verkaufsfläche) und Automaten: Die Befüllung mitgebrachter Kundenbehältnisse genügt, dazu gilt ein Haftungsprivileg (§ 61). (!) V12: Die zugehörige Bußgeld-Nummer in § 66 wird noch gepinnt – der kommunale Vollzug ist etabliert, dazu kommt das Abmahnrisiko.</w:t>
      </w:r>
    </w:p>
    <w:p>
      <w:pPr>
        <w:spacing w:after="40" w:before="0"/>
      </w:pPr>
      <w:r>
        <w:rPr>
          <w:rFonts w:ascii="Arial" w:cs="Arial" w:eastAsia="Arial" w:hAnsi="Arial"/>
          <w:sz w:val="18"/>
          <w:szCs w:val="18"/>
        </w:rPr>
        <w:t xml:space="preserve">EU-Ebene: Art. 32 PPWR (Wiederbefüllung) und Art. 33 PPWR (Mehrwegangebot Take-away mit indikativem 10-%-Ziel 2030, Abs. 5/6, Leitfaden Abschn. 27 – unverbindliche Auslegung der EU-Kommission). (!) V14: Der genaue Zuschnitt der Art. 32/33 wird noch gepinnt. Radar-Hinweis: § 60 wird zum 12.02.2028 auf „Einwegkunststoffgetränkebecher“ umgefasst (Mantelgesetz Art. 4, Radar R10).</w:t>
      </w:r>
    </w:p>
    <w:p>
      <w:pPr>
        <w:spacing w:after="20" w:before="60"/>
      </w:pPr>
      <w:r>
        <w:rPr>
          <w:rFonts w:ascii="Arial" w:cs="Arial" w:eastAsia="Arial" w:hAnsi="Arial"/>
          <w:b/>
          <w:bCs/>
          <w:sz w:val="18"/>
          <w:szCs w:val="18"/>
        </w:rPr>
        <w:t xml:space="preserve">Erklärung (Rechtstext):</w:t>
      </w:r>
    </w:p>
    <w:p>
      <w:pPr>
        <w:spacing w:after="40" w:before="0"/>
      </w:pPr>
      <w:r>
        <w:rPr>
          <w:rFonts w:ascii="Arial" w:cs="Arial" w:eastAsia="Arial" w:hAnsi="Arial"/>
          <w:sz w:val="18"/>
          <w:szCs w:val="18"/>
        </w:rPr>
        <w:t xml:space="preserve">§ 60 VerpackDG verpflichtet Endvertreiber, die Einwegkunststoff-Lebensmittelverpackungen oder Einweggetränkebecher erstmals mit Waren befüllen, die Waren auch in Mehrwegverpackungen anzubieten, ohne dass dies zu einem höheren Preis oder zu schlechteren Bedingungen erfolgen darf, und ordnet Hinweispflichten am Ort des Verkaufs und im Fernabsatz an (§ 60 Abs. 2). § 61 VerpackDG lässt für Endvertreiber mit höchstens fünf Beschäftigten und höchstens 80 m² Verkaufsfläche sowie für Automaten die Befüllung vom Endverbraucher mitgebrachter Behältnisse genügen und enthält ein Haftungsprivileg.</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wer Einwegkunststoff-Lebensmittelverpackungen oder Einweggetränkebecher erst beim Endvertreiber befüllt, MUSS die Ware auch in Mehrweg anbieten – nicht teurer/schlechter; inkl. Deckel/Verschlüsse; Hinweispflicht am POS und im Fernabsatz (§ 60 Abs. 2). Erleichterung Kleinbetriebe (≤ 5 Beschäftigte, ≤ 80 m²) und Automaten: Kundenbehältnis-Befüllung genügt; Haftungsprivileg (§ 61).</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Mehrweg-Option + POS-Hinweise auditieren; Preisgleichheit prüfen.</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Bußgeld § 66 (!) V12, Abmahnrisiko; Vollzug kommunal etabliert.</w:t>
      </w:r>
    </w:p>
    <w:p>
      <w:pPr>
        <w:spacing w:after="20" w:before="60"/>
      </w:pPr>
      <w:r>
        <w:rPr>
          <w:rFonts w:ascii="Arial" w:cs="Arial" w:eastAsia="Arial" w:hAnsi="Arial"/>
          <w:b/>
          <w:bCs/>
          <w:sz w:val="18"/>
          <w:szCs w:val="18"/>
        </w:rPr>
        <w:t xml:space="preserve">Übergangsregeln:</w:t>
      </w:r>
    </w:p>
    <w:p>
      <w:pPr>
        <w:spacing w:after="40" w:before="0"/>
      </w:pPr>
      <w:r>
        <w:rPr>
          <w:rFonts w:ascii="Arial" w:cs="Arial" w:eastAsia="Arial" w:hAnsi="Arial"/>
          <w:sz w:val="18"/>
          <w:szCs w:val="18"/>
        </w:rPr>
        <w:t xml:space="preserve">Radar-Beobachtung: § 60 wird zum 12.02.2028 auf „Einwegkunststoffgetränkebecher" umgefasst (Mantelgesetz Art. 4) → R10.</w:t>
      </w:r>
    </w:p>
    <w:p>
      <w:pPr>
        <w:keepNext/>
        <w:pBdr>
          <w:top w:val="single" w:color="24A27F" w:sz="4" w:space="4"/>
        </w:pBdr>
        <w:spacing w:after="40" w:before="260"/>
      </w:pPr>
      <w:r>
        <w:rPr>
          <w:rFonts w:ascii="Arial" w:cs="Arial" w:eastAsia="Arial" w:hAnsi="Arial"/>
          <w:b/>
          <w:bCs/>
          <w:color w:val="004494"/>
          <w:sz w:val="22"/>
          <w:szCs w:val="22"/>
        </w:rPr>
        <w:t xml:space="preserve">#30  </w:t>
      </w:r>
      <w:r>
        <w:rPr>
          <w:rFonts w:ascii="Arial" w:cs="Arial" w:eastAsia="Arial" w:hAnsi="Arial"/>
          <w:b/>
          <w:bCs/>
          <w:sz w:val="22"/>
          <w:szCs w:val="22"/>
        </w:rPr>
        <w:t xml:space="preserve">Wiederverwendungssysteme &amp; Wiederbefüllungs-Info</w:t>
      </w:r>
    </w:p>
    <w:p>
      <w:pPr>
        <w:spacing w:after="60" w:before="0"/>
      </w:pPr>
      <w:r>
        <w:rPr>
          <w:rFonts w:ascii="Arial" w:cs="Arial" w:eastAsia="Arial" w:hAnsi="Arial"/>
          <w:color w:val="6B7280"/>
          <w:sz w:val="16"/>
          <w:szCs w:val="16"/>
        </w:rPr>
        <w:t xml:space="preserve">Mehrweg · gilt seit 2026-08-12 · Rechtsquelle: Art. 27/28 i. V. m. Anhang VI PPWR · Rechtsstand 2026-10-17 · Version 5 · betrifft Rollen: hersteller; endvertreiber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Wer Mehrwegverpackungen verwendet, muss einem Wiederverwendungssystem angehören, das die Kriterien des Anhangs VI erfüllt – oder selbst eines betreiben. Endvertreiber, die Wiederbefüllung anbieten, müssen zusätzlich Informations- und Hygieneanforderungen einhalten. Gilt seit dem 12.08.2026. (Art. 27 u. 28 i. V. m. Anhang VI PPWR)</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Nach Art. 27 und 28 i. V. m. Anhang VI PPWR ((!) V14: Absatz-Pins offen) müssen Wirtschaftsakteure, die Mehrwegverpackungen verwenden, einem konformen Wiederverwendungssystem nach Anhang VI angehören oder ein solches betreiben (Systemkriterien: Anhang VI Teil A/B). Endvertreiber, die Wiederbefüllung anbieten, treffen Informations- und Hygieneanforderungen (Art. 28 PPWR).</w:t>
      </w:r>
    </w:p>
    <w:p>
      <w:pPr>
        <w:spacing w:after="40" w:before="0"/>
      </w:pPr>
      <w:r>
        <w:rPr>
          <w:rFonts w:ascii="Arial" w:cs="Arial" w:eastAsia="Arial" w:hAnsi="Arial"/>
          <w:sz w:val="18"/>
          <w:szCs w:val="18"/>
        </w:rPr>
        <w:t xml:space="preserve">Praktisch: Die Systemzugehörigkeit je Mehrweg-SKU dokumentieren – das zahlt direkt auf den Kriterien-Check der Anforderung 3 ein. Das Risiko folgt derselben Einstufungs-Kaskade: Ohne System droht die Behandlung als Einweg.</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wer Mehrwegverpackungen verwendet, muss einem konformen Wiederverwendungssystem nach Anhang VI angehören/ein solches betreiben; Endvertreiber, die Wiederbefüllung anbieten, treffen Informations- und Hygieneanforderungen (Art. 28).</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Systemzugehörigkeit je Mehrweg-SKU dokumentieren (zahlt auf #3 ein).</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Einstufungs-Kaskade wie #3.</w:t>
      </w:r>
    </w:p>
    <w:p>
      <w:pPr>
        <w:spacing w:after="40" w:before="0"/>
      </w:pPr>
      <w:r>
        <w:rPr>
          <w:rFonts w:ascii="Arial" w:cs="Arial" w:eastAsia="Arial" w:hAnsi="Arial"/>
          <w:sz w:val="18"/>
          <w:szCs w:val="18"/>
        </w:rPr>
        <w:t xml:space="preserve">### Block VI – Deutsche EPR-Pflichten (Doppel-Layer-Kern, alle JETZT) (#31–#36)</w:t>
      </w:r>
    </w:p>
    <w:p>
      <w:pPr>
        <w:keepNext/>
        <w:pBdr>
          <w:top w:val="single" w:color="24A27F" w:sz="4" w:space="4"/>
        </w:pBdr>
        <w:spacing w:after="40" w:before="260"/>
      </w:pPr>
      <w:r>
        <w:rPr>
          <w:rFonts w:ascii="Arial" w:cs="Arial" w:eastAsia="Arial" w:hAnsi="Arial"/>
          <w:b/>
          <w:bCs/>
          <w:color w:val="004494"/>
          <w:sz w:val="22"/>
          <w:szCs w:val="22"/>
        </w:rPr>
        <w:t xml:space="preserve">#31  </w:t>
      </w:r>
      <w:r>
        <w:rPr>
          <w:rFonts w:ascii="Arial" w:cs="Arial" w:eastAsia="Arial" w:hAnsi="Arial"/>
          <w:b/>
          <w:bCs/>
          <w:sz w:val="22"/>
          <w:szCs w:val="22"/>
        </w:rPr>
        <w:t xml:space="preserve">Registrierung im Herstellerregister (LUCID)</w:t>
      </w:r>
    </w:p>
    <w:p>
      <w:pPr>
        <w:spacing w:after="60" w:before="0"/>
      </w:pPr>
      <w:r>
        <w:rPr>
          <w:rFonts w:ascii="Arial" w:cs="Arial" w:eastAsia="Arial" w:hAnsi="Arial"/>
          <w:color w:val="6B7280"/>
          <w:sz w:val="16"/>
          <w:szCs w:val="16"/>
        </w:rPr>
        <w:t xml:space="preserve">Rollen / EPR · gilt seit 2026-08-12 · Rechtsquelle: § 6 VerpackDG; Art. 44 PPWR · Rechtsstand 2026-10-17 · Version 5 · betrifft Rollen: hersteller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Wer als Hersteller Verpackungen in Deutschland erstmals bereitstellt – oder als gewerblicher Auspacker tätig wird – muss sich vorher bei der ZSVR im Register LUCID registrieren. Bestehende Registrierungen gelten fort, Änderungen sind bis zum 12.11.2026 mitzuteilen, erstmals Verpflichtete müssen sich bis zum 12.09.2026 registrieren. Ohne Registrierung gilt ein Tätigkeitsverbot, Bußgelder greifen seit dem 12.08.2026. (§ 6 VerpackDG)</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 6 VerpackDG i. V. m. Art. 44 PPWR verlangt die Registrierung bei der ZSVR (Registerbehörde, § 6 Abs. 6) vor der erstmaligen Bereitstellung in Deutschland – beim Auspacker-Tatbestand (Art. 3 Abs. 1 Nr. 15 lit. e PPWR) vor dem Auspacken. Zu melden sind die Daten des § 6 Abs. 2, einschließlich Markennamen, Verpackungsarten und gegebenenfalls des Bevollmächtigten. Die Pflicht gilt für alle Herstellertatbestände (Nr. 15 lit. a–e) und für alle Verpackungen, auch nicht systembeteiligungspflichtige. Die Registrierung ist nicht auf den Bevollmächtigten delegierbar (§ 5 Abs. 1 Satz 2 VerpackDG).</w:t>
      </w:r>
    </w:p>
    <w:p>
      <w:pPr>
        <w:spacing w:after="40" w:before="0"/>
      </w:pPr>
      <w:r>
        <w:rPr>
          <w:rFonts w:ascii="Arial" w:cs="Arial" w:eastAsia="Arial" w:hAnsi="Arial"/>
          <w:sz w:val="18"/>
          <w:szCs w:val="18"/>
        </w:rPr>
        <w:t xml:space="preserve">Übergänge (§ 68 Abs. 2 VerpackDG): Alt-LUCID-Registrierungen gelten fort (Satz 1), die Änderungsmitteilung ist bis zum 12.11.2026 abzugeben (Satz 2), erstmals Verpflichtete – etwa neue Auspacker-Fälle – müssen sich bis zum 12.09.2026 registrieren (Satz 3). Risiko: Tätigkeits- und Vertriebsverbot (§ 13 Abs. 1) sowie Bußgeld nach § 66 Abs. 1 Nr. 1/2 VerpackDG – bereits seit dem 12.08.2026.</w:t>
      </w:r>
    </w:p>
    <w:p>
      <w:pPr>
        <w:spacing w:after="40" w:before="0"/>
      </w:pPr>
      <w:r>
        <w:rPr>
          <w:rFonts w:ascii="Arial" w:cs="Arial" w:eastAsia="Arial" w:hAnsi="Arial"/>
          <w:sz w:val="18"/>
          <w:szCs w:val="18"/>
        </w:rPr>
        <w:t xml:space="preserve">Aktualisierung 17.10.2026: Entwurf einer Durchführungsverordnung zum harmonisierten Registerformat nach Art. 44 Abs. 14 lag bis 10.09.2026 zur Rückmeldung aus (vgl. Praxisfrage C19).</w:t>
      </w:r>
    </w:p>
    <w:p>
      <w:pPr>
        <w:spacing w:after="20" w:before="60"/>
      </w:pPr>
      <w:r>
        <w:rPr>
          <w:rFonts w:ascii="Arial" w:cs="Arial" w:eastAsia="Arial" w:hAnsi="Arial"/>
          <w:b/>
          <w:bCs/>
          <w:sz w:val="18"/>
          <w:szCs w:val="18"/>
        </w:rPr>
        <w:t xml:space="preserve">Erklärung (Rechtstext):</w:t>
      </w:r>
    </w:p>
    <w:p>
      <w:pPr>
        <w:spacing w:after="40" w:before="0"/>
      </w:pPr>
      <w:r>
        <w:rPr>
          <w:rFonts w:ascii="Arial" w:cs="Arial" w:eastAsia="Arial" w:hAnsi="Arial"/>
          <w:sz w:val="18"/>
          <w:szCs w:val="18"/>
        </w:rPr>
        <w:t xml:space="preserve">§ 6 VerpackDG verpflichtet Hersteller, sich vor der erstmaligen Bereitstellung von Verpackungen – im Fall des gewerblichen Auspackens vor dem Auspacken – mit den Angaben des § 6 Abs. 2 bei der Zentralen Stelle Verpackungsregister registrieren zu lassen. § 13 Abs. 1 VerpackDG untersagt die Tätigkeit ohne Registrierung. § 68 Abs. 2 VerpackDG lässt bestehende Registrierungen fortgelten, verlangt die Mitteilung von Änderungen bis zum 12.11.2026 und setzt erstmals Verpflichteten eine Registrierungsfrist bis zum 12.09.2026.</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VOR erstmaliger Bereitstellung in DE – bzw. beim Auspacker-Tatbestand (Nr. 15 lit. e) VOR dem Auspacken – Registrierung bei der ZSVR mit Daten § 6 Abs. 2 (inkl. Markennamen, Verpackungsarten, ggf. Bevollmächtigter).</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Rollen-Output des Wizards → Registrierstatus je Rechtsträger prüfen; Fristen-Dashboard.</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Tätigkeits-/Vertriebsverbot (§ 13 Abs. 1), Bußgeld § 66 Abs. 1 Nr. 1/2 (ab 12.08.2026!).</w:t>
      </w:r>
    </w:p>
    <w:p>
      <w:pPr>
        <w:spacing w:after="20" w:before="60"/>
      </w:pPr>
      <w:r>
        <w:rPr>
          <w:rFonts w:ascii="Arial" w:cs="Arial" w:eastAsia="Arial" w:hAnsi="Arial"/>
          <w:b/>
          <w:bCs/>
          <w:sz w:val="18"/>
          <w:szCs w:val="18"/>
        </w:rPr>
        <w:t xml:space="preserve">Übergangsregeln:</w:t>
      </w:r>
    </w:p>
    <w:p>
      <w:pPr>
        <w:spacing w:after="40" w:before="0"/>
      </w:pPr>
      <w:r>
        <w:rPr>
          <w:rFonts w:ascii="Arial" w:cs="Arial" w:eastAsia="Arial" w:hAnsi="Arial"/>
          <w:sz w:val="18"/>
          <w:szCs w:val="18"/>
        </w:rPr>
        <w:t xml:space="preserve">Alt-LUCID-Registrierungen gelten fort (§ 68 Abs. 2 S. 1); Änderungsmitteilung bis 12.11.2026 (S. 2); erstmals Verpflichtete (z. B. neue Auspacker-Fälle): Registrierung bis 12.09.2026 (S. 3).</w:t>
      </w:r>
    </w:p>
    <w:p>
      <w:pPr>
        <w:keepNext/>
        <w:pBdr>
          <w:top w:val="single" w:color="24A27F" w:sz="4" w:space="4"/>
        </w:pBdr>
        <w:spacing w:after="40" w:before="260"/>
      </w:pPr>
      <w:r>
        <w:rPr>
          <w:rFonts w:ascii="Arial" w:cs="Arial" w:eastAsia="Arial" w:hAnsi="Arial"/>
          <w:b/>
          <w:bCs/>
          <w:color w:val="004494"/>
          <w:sz w:val="22"/>
          <w:szCs w:val="22"/>
        </w:rPr>
        <w:t xml:space="preserve">#32  </w:t>
      </w:r>
      <w:r>
        <w:rPr>
          <w:rFonts w:ascii="Arial" w:cs="Arial" w:eastAsia="Arial" w:hAnsi="Arial"/>
          <w:b/>
          <w:bCs/>
          <w:sz w:val="22"/>
          <w:szCs w:val="22"/>
        </w:rPr>
        <w:t xml:space="preserve">Systembeteiligungspflicht</w:t>
      </w:r>
    </w:p>
    <w:p>
      <w:pPr>
        <w:spacing w:after="60" w:before="0"/>
      </w:pPr>
      <w:r>
        <w:rPr>
          <w:rFonts w:ascii="Arial" w:cs="Arial" w:eastAsia="Arial" w:hAnsi="Arial"/>
          <w:color w:val="6B7280"/>
          <w:sz w:val="16"/>
          <w:szCs w:val="16"/>
        </w:rPr>
        <w:t xml:space="preserve">Rollen / EPR · gilt seit 2026-08-12 · Rechtsquelle: § 7 VerpackDG · Rechtsstand 2026-10-17 · Version 5 · betrifft Rollen: hersteller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Hersteller müssen sich vor der ersten Bereitstellung systembeteiligungspflichtiger Verpackungen an mindestens einem dualen System beteiligen – mit Mengen und Materialart. Ausgenommen sind unter anderem Mehrweg im funktionierenden System und pfandpflichtige Einweggetränke. Achtung Frist: Alt-Systemverträge nach altem Recht laufen längstens bis zum 31.12.2026 – rechtzeitig neu abschließen. (§ 7 VerpackDG)</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 7 VerpackDG i. V. m. Art. 45 Abs. 1 PPWR verlangt vor der erstmaligen Bereitstellung systembeteiligungspflichtiger Verpackungen (Begriff: § 3 Abs. 6 VerpackDG) die Beteiligung an mindestens einem dualen System nach Mengen und Materialart. Erfasst sind Verkaufs-, Um-, Service-, Primärproduktions- und Transportverpackungen, soweit sie typischerweise bei privaten Endverbrauchern oder vergleichbaren Anfallstellen anfallen. Sonderfall Serviceverpackungen: Die Beteiligungspflicht kann auf Vorvertreiber übertragen werden (§ 7 Abs. 2 – die Anwendungsbereichsfrage ist als U2 im Rollen-Engine-Paket noch offen und wird in der Session geklärt).</w:t>
      </w:r>
    </w:p>
    <w:p>
      <w:pPr>
        <w:spacing w:after="40" w:before="0"/>
      </w:pPr>
      <w:r>
        <w:rPr>
          <w:rFonts w:ascii="Arial" w:cs="Arial" w:eastAsia="Arial" w:hAnsi="Arial"/>
          <w:sz w:val="18"/>
          <w:szCs w:val="18"/>
        </w:rPr>
        <w:t xml:space="preserve">Ausnahmen nach § 11 VerpackDG: Mehrweg im funktionierenden System (Nr. 1), pfandpflichtige Einweggetränkeverpackungen (Nr. 2), schadstoffhaltige Füllgüter (Nr. 3) und nachweislich nicht an Endabnehmer in Deutschland abgegebene Verpackungen (Nr. 4). Übergang: Alt-Systemverträge nach § 7 VerpackG gelten längstens bis zum 31.12.2026 (§ 68 Abs. 1 VerpackDG) – der Neuabschluss unter dem VerpackDG ist rechtzeitig zu terminieren. Risiko: Bereitstellungs- und Auspackverbot (§ 13 Abs. 1 Satz 2), Bußgeld nach § 66 Abs. 1 Nr. 3 sowie Nachmeldungen und Abschöpfung.</w:t>
      </w:r>
    </w:p>
    <w:p>
      <w:pPr>
        <w:spacing w:after="40" w:before="0"/>
      </w:pPr>
      <w:r>
        <w:rPr>
          <w:rFonts w:ascii="Arial" w:cs="Arial" w:eastAsia="Arial" w:hAnsi="Arial"/>
          <w:sz w:val="18"/>
          <w:szCs w:val="18"/>
        </w:rPr>
        <w:t xml:space="preserve">Aktualisierung 17.10.2026: BVerwG 23.07.2026 (10 C 6.25) zu Permanenttragetaschen und neuer Katalog Allgemeiner Teil 08/2026 (vgl. Praxisfragen B20, B21).</w:t>
      </w:r>
    </w:p>
    <w:p>
      <w:pPr>
        <w:spacing w:after="20" w:before="60"/>
      </w:pPr>
      <w:r>
        <w:rPr>
          <w:rFonts w:ascii="Arial" w:cs="Arial" w:eastAsia="Arial" w:hAnsi="Arial"/>
          <w:b/>
          <w:bCs/>
          <w:sz w:val="18"/>
          <w:szCs w:val="18"/>
        </w:rPr>
        <w:t xml:space="preserve">Erklärung (Rechtstext):</w:t>
      </w:r>
    </w:p>
    <w:p>
      <w:pPr>
        <w:spacing w:after="40" w:before="0"/>
      </w:pPr>
      <w:r>
        <w:rPr>
          <w:rFonts w:ascii="Arial" w:cs="Arial" w:eastAsia="Arial" w:hAnsi="Arial"/>
          <w:sz w:val="18"/>
          <w:szCs w:val="18"/>
        </w:rPr>
        <w:t xml:space="preserve">§ 7 VerpackDG verpflichtet Hersteller, sich vor der erstmaligen Bereitstellung systembeteiligungspflichtiger Verpackungen im Sinne des § 3 Abs. 6 mit diesen Verpackungen nach Mengen und Materialart an einem oder mehreren Systemen zu beteiligen. § 11 VerpackDG nimmt insbesondere Mehrwegverpackungen in einem funktionierenden System, pfandpflichtige Einweggetränkeverpackungen, Verpackungen schadstoffhaltiger Füllgüter und nachweislich nicht an Endabnehmer in Deutschland abgegebene Verpackungen aus. Nach § 68 Abs. 1 VerpackDG gelten Beteiligungsverträge nach § 7 VerpackG längstens bis zum 31.12.2026 fort.</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vor erstmaliger Bereitstellung systembeteiligungspflichtiger Verpackungen Beteiligung an mindestens einem dualen System (Mengen/Materialart). Sonderfall Serviceverpackungen: Übertragung auf Vorvertreiber möglich (§ 7 Abs. 2 – Anwendungsbereichsfrage → U2 Rollen-Engine, in Session).</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Mengenplanung je Materialfraktion; Systemvertrag-Migration bis Q4/2026 terminieren.</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Bereitstellungs-/Auspackverbot (§ 13 Abs. 1 S. 2), Bußgeld § 66 Abs. 1 Nr. 3; Nachmeldungen/Abschöpfung.</w:t>
      </w:r>
    </w:p>
    <w:p>
      <w:pPr>
        <w:spacing w:after="20" w:before="60"/>
      </w:pPr>
      <w:r>
        <w:rPr>
          <w:rFonts w:ascii="Arial" w:cs="Arial" w:eastAsia="Arial" w:hAnsi="Arial"/>
          <w:b/>
          <w:bCs/>
          <w:sz w:val="18"/>
          <w:szCs w:val="18"/>
        </w:rPr>
        <w:t xml:space="preserve">Ausnahmen:</w:t>
      </w:r>
    </w:p>
    <w:p>
      <w:pPr>
        <w:spacing w:after="40" w:before="0"/>
      </w:pPr>
      <w:r>
        <w:rPr>
          <w:rFonts w:ascii="Arial" w:cs="Arial" w:eastAsia="Arial" w:hAnsi="Arial"/>
          <w:sz w:val="18"/>
          <w:szCs w:val="18"/>
        </w:rPr>
        <w:t xml:space="preserve">Mehrweg im funktionierenden System (Nr. 1), pfandpflichtige Einweggetränke (Nr. 2), schadstoffhaltige Füllgüter (Nr. 3), nachweislich nicht an Endabnehmer in DE (Nr. 4).</w:t>
      </w:r>
    </w:p>
    <w:p>
      <w:pPr>
        <w:spacing w:after="20" w:before="60"/>
      </w:pPr>
      <w:r>
        <w:rPr>
          <w:rFonts w:ascii="Arial" w:cs="Arial" w:eastAsia="Arial" w:hAnsi="Arial"/>
          <w:b/>
          <w:bCs/>
          <w:sz w:val="18"/>
          <w:szCs w:val="18"/>
        </w:rPr>
        <w:t xml:space="preserve">Übergangsregeln:</w:t>
      </w:r>
    </w:p>
    <w:p>
      <w:pPr>
        <w:spacing w:after="40" w:before="0"/>
      </w:pPr>
      <w:r>
        <w:rPr>
          <w:rFonts w:ascii="Arial" w:cs="Arial" w:eastAsia="Arial" w:hAnsi="Arial"/>
          <w:sz w:val="18"/>
          <w:szCs w:val="18"/>
        </w:rPr>
        <w:t xml:space="preserve">Alt-Systemverträge nach § 7 VerpackG längstens bis 31.12.2026 (§ 68 Abs. 1) → Neuabschluss unter VerpackDG rechtzeitig!</w:t>
      </w:r>
    </w:p>
    <w:p>
      <w:pPr>
        <w:keepNext/>
        <w:pBdr>
          <w:top w:val="single" w:color="24A27F" w:sz="4" w:space="4"/>
        </w:pBdr>
        <w:spacing w:after="40" w:before="260"/>
      </w:pPr>
      <w:r>
        <w:rPr>
          <w:rFonts w:ascii="Arial" w:cs="Arial" w:eastAsia="Arial" w:hAnsi="Arial"/>
          <w:b/>
          <w:bCs/>
          <w:color w:val="004494"/>
          <w:sz w:val="22"/>
          <w:szCs w:val="22"/>
        </w:rPr>
        <w:t xml:space="preserve">#33  </w:t>
      </w:r>
      <w:r>
        <w:rPr>
          <w:rFonts w:ascii="Arial" w:cs="Arial" w:eastAsia="Arial" w:hAnsi="Arial"/>
          <w:b/>
          <w:bCs/>
          <w:sz w:val="22"/>
          <w:szCs w:val="22"/>
        </w:rPr>
        <w:t xml:space="preserve">Datenmeldungen &amp; Vollständigkeitserklärung</w:t>
      </w:r>
    </w:p>
    <w:p>
      <w:pPr>
        <w:spacing w:after="60" w:before="0"/>
      </w:pPr>
      <w:r>
        <w:rPr>
          <w:rFonts w:ascii="Arial" w:cs="Arial" w:eastAsia="Arial" w:hAnsi="Arial"/>
          <w:color w:val="6B7280"/>
          <w:sz w:val="16"/>
          <w:szCs w:val="16"/>
        </w:rPr>
        <w:t xml:space="preserve">Rollen / EPR · gilt seit 2026-08-12 · Rechtsquelle: §§ 9/10 VerpackDG · Rechtsstand 2026-10-17 · Version 5 · betrifft Rollen: hersteller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Hersteller müssen ihre Verpackungsmengen unverzüglich an die ZSVR melden – spiegelbildlich zur Meldung beim dualen System. Wer bestimmte Mengenschwellen überschreitet, muss zusätzlich bis zum 15. Mai des Folgejahres eine geprüfte Vollständigkeitserklärung abgeben. (!) Die genauen Schwellenwerte werden derzeit final geprüft. Beides ist nicht auf Dritte übertragbar. (§§ 9, 10 VerpackDG)</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 9 VerpackDG verlangt die unverzügliche Datenmeldung an die ZSVR spiegelbildlich zur Systemmeldung – mit Registrierungsnummer, Materialart und Masse, System und Zeitraum. Bei Überschreiten der Schwellenwerte des § 10 ist bis zum 15. Mai des Folgejahres eine Vollständigkeitserklärung über die Prüfer-Plattform abzugeben. (!) V15: Die Schwellenwerte und der Inhalt der Übergangsregel für das Altjahr (§ 68 Abs. 3 VerpackDG) werden noch gepinnt. Meldungen sind nicht delegierbar (§ 5 Abs. 1 Satz 2 VerpackDG).</w:t>
      </w:r>
    </w:p>
    <w:p>
      <w:pPr>
        <w:spacing w:after="40" w:before="0"/>
      </w:pPr>
      <w:r>
        <w:rPr>
          <w:rFonts w:ascii="Arial" w:cs="Arial" w:eastAsia="Arial" w:hAnsi="Arial"/>
          <w:sz w:val="18"/>
          <w:szCs w:val="18"/>
        </w:rPr>
        <w:t xml:space="preserve">Praktisch: den Meldeprozess je Rechtsträger dokumentieren (wer meldet wann aus welcher Quelle) und den Prüfer- beziehungsweise Sachverständigen-Slot (§ 56 VerpackDG) für die Vollständigkeitserklärung früh sichern. Risiko: Bußgeld nach § 66 Abs. 1 Nr. 6/7 VerpackDG – und die Register-Sichtbarkeit ermöglicht Wettbewerber-Monitoring.</w:t>
      </w:r>
    </w:p>
    <w:p>
      <w:pPr>
        <w:spacing w:after="40" w:before="0"/>
      </w:pPr>
      <w:r>
        <w:rPr>
          <w:rFonts w:ascii="Arial" w:cs="Arial" w:eastAsia="Arial" w:hAnsi="Arial"/>
          <w:sz w:val="18"/>
          <w:szCs w:val="18"/>
        </w:rPr>
        <w:t xml:space="preserve">Aktualisierung 17.10.2026: ZSVR-Hinweise zur Vollständigkeitserklärung 2026 (vgl. Praxisfrage B18).</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unverzügliche Datenmeldung an die ZSVR spiegelbildlich zur Systemmeldung (Registrierungsnummer, Materialart/Masse, System, Zeitraum); Vollständigkeitserklärung bei Überschreiten der Schwellen (§ 10, Schwellenwerte (!) V15 pinnen) bis 15. Mai des Folgejahres über die Prüfer-Plattform.</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Meldeprozess (wer, wann, welche Quelle) je Rechtsträger dokumentieren; Prüfer-/Sachverständigen-Slot (§ 56) für VE früh sichern.</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Bußgeld § 66 Abs. 1 Nr. 6/7; Register-Sichtbarkeit (Wettbewerber-Monitoring).</w:t>
      </w:r>
    </w:p>
    <w:p>
      <w:pPr>
        <w:keepNext/>
        <w:pBdr>
          <w:top w:val="single" w:color="24A27F" w:sz="4" w:space="4"/>
        </w:pBdr>
        <w:spacing w:after="40" w:before="260"/>
      </w:pPr>
      <w:r>
        <w:rPr>
          <w:rFonts w:ascii="Arial" w:cs="Arial" w:eastAsia="Arial" w:hAnsi="Arial"/>
          <w:b/>
          <w:bCs/>
          <w:color w:val="004494"/>
          <w:sz w:val="22"/>
          <w:szCs w:val="22"/>
        </w:rPr>
        <w:t xml:space="preserve">#34  </w:t>
      </w:r>
      <w:r>
        <w:rPr>
          <w:rFonts w:ascii="Arial" w:cs="Arial" w:eastAsia="Arial" w:hAnsi="Arial"/>
          <w:b/>
          <w:bCs/>
          <w:sz w:val="22"/>
          <w:szCs w:val="22"/>
        </w:rPr>
        <w:t xml:space="preserve">Rücknahme &amp; Verwertung nicht systembeteiligungspflichtiger Verpackungen</w:t>
      </w:r>
    </w:p>
    <w:p>
      <w:pPr>
        <w:spacing w:after="60" w:before="0"/>
      </w:pPr>
      <w:r>
        <w:rPr>
          <w:rFonts w:ascii="Arial" w:cs="Arial" w:eastAsia="Arial" w:hAnsi="Arial"/>
          <w:color w:val="6B7280"/>
          <w:sz w:val="16"/>
          <w:szCs w:val="16"/>
        </w:rPr>
        <w:t xml:space="preserve">Rollen / EPR · gilt seit 2026-08-12 · Rechtsquelle: §§ 39–43 &amp; § 19 VerpackDG · Rechtsstand 2026-10-17 · Version 5 · betrifft Rollen: hersteller; vertreiber; endvertreiber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Für Transport-, B2B- und weitere nicht systembeteiligungspflichtige Verpackungen gilt: Sie sind am Übergabeort unentgeltlich zurückzunehmen – gebraucht und restentleert, gleiche Art, Form und Größe – und anschließend zu verwerten, mit Mengenstromnachweis. Wer für die Rücknahme eine Zulassung braucht, sollte sie rechtzeitig beantragen – die Übergangsfrist endet Ende 2027. (§§ 39–43 VerpackDG)</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 39–43 VerpackDG verpflichten zur unentgeltlichen Rücknahme gebrauchter, restentleerter Verpackungen gleicher Art, Form und Größe am Übergabeort, zur Verwertung nach § 42 und zum Mengenstromnachweis nach § 43. Für Endvertreiber gilt die Beschränkung des § 39 Abs. 1 Satz 2. Betroffen sind Transportverpackungen, B2B-Verkaufs- und Umverpackungen, Primärproduktionsverpackungen, Verpackungen schadstoffhaltiger Füllgüter und Mehrweg.</w:t>
      </w:r>
    </w:p>
    <w:p>
      <w:pPr>
        <w:spacing w:after="40" w:before="0"/>
      </w:pPr>
      <w:r>
        <w:rPr>
          <w:rFonts w:ascii="Arial" w:cs="Arial" w:eastAsia="Arial" w:hAnsi="Arial"/>
          <w:sz w:val="18"/>
          <w:szCs w:val="18"/>
        </w:rPr>
        <w:t xml:space="preserve">Übergänge: Die Zulassung nach § 19 VerpackDG ist bis zum 31.12.2027 nachzuholen (§ 68 Abs. 9), Branchenlösungen nach § 8 laufen mit Übergang bis zum 31.10.2027 (§ 68 Abs. 6/7). (!) V15: Die zugehörige Bußgeld-Nummer in § 66 Abs. 1 wird noch gepinnt. Praktisch: Rücknahmelogistik und Nachweisprozess je B2B-Strom aufsetzen – Konfliktpotenzial liegt erfahrungsgemäß im B2B-Kundenverhältnis.</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unentgeltliche Rücknahme gebrauchter, restentleerter Verpackungen gleicher Art/Form/Größe am Übergabeort + Verwertung nach § 42; Mengenstromnachweis § 43; Endvertreiber-Beschränkung § 39 Abs. 1 S. 2.</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Rücknahmelogistik + Nachweisprozess je B2B-Strom; Zulassung § 19 rechtzeitig beantragen (Frist Ende 2027).</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Bußgeld § 66 Abs. 1 (Nr. (!) V15); Kundenkonflikte im B2B.</w:t>
      </w:r>
    </w:p>
    <w:p>
      <w:pPr>
        <w:keepNext/>
        <w:pBdr>
          <w:top w:val="single" w:color="24A27F" w:sz="4" w:space="4"/>
        </w:pBdr>
        <w:spacing w:after="40" w:before="260"/>
      </w:pPr>
      <w:r>
        <w:rPr>
          <w:rFonts w:ascii="Arial" w:cs="Arial" w:eastAsia="Arial" w:hAnsi="Arial"/>
          <w:b/>
          <w:bCs/>
          <w:color w:val="004494"/>
          <w:sz w:val="22"/>
          <w:szCs w:val="22"/>
        </w:rPr>
        <w:t xml:space="preserve">#35  </w:t>
      </w:r>
      <w:r>
        <w:rPr>
          <w:rFonts w:ascii="Arial" w:cs="Arial" w:eastAsia="Arial" w:hAnsi="Arial"/>
          <w:b/>
          <w:bCs/>
          <w:sz w:val="22"/>
          <w:szCs w:val="22"/>
        </w:rPr>
        <w:t xml:space="preserve">Ökomodulation der Beteiligungsentgelte</w:t>
      </w:r>
    </w:p>
    <w:p>
      <w:pPr>
        <w:spacing w:after="60" w:before="0"/>
      </w:pPr>
      <w:r>
        <w:rPr>
          <w:rFonts w:ascii="Arial" w:cs="Arial" w:eastAsia="Arial" w:hAnsi="Arial"/>
          <w:color w:val="6B7280"/>
          <w:sz w:val="16"/>
          <w:szCs w:val="16"/>
        </w:rPr>
        <w:t xml:space="preserve">Rollen / EPR · gilt seit 2026-08-12 · Rechtsquelle: §§ 26/26a VerpackDG · Rechtsstand 2026-10-17 · Version 5 · betrifft Rollen: hersteller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Die dualen Systeme müssen ihre Beteiligungsentgelte ökologisch staffeln: Recyclingfähige Verpackungen und Rezyklateinsatz werden günstiger, schlecht recycelbare teurer. Die Detail-Vorgaben kommen erst per Rechtsverordnung – bis dahin gilt das Mindeststandard-Regime der ZSVR. Für Hersteller heißt das: Das Recycling-Rating jeder Verpackung wird direkt zum Kostenhebel. (§§ 26, 26a VerpackDG)</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 26 und 26a VerpackDG verpflichten die Systeme, ihre Beteiligungsentgelte ökologisch zu modulieren – nach Recyclingfähigkeit und Rezyklateinsatz. EU-Rahmen ist Art. 45 PPWR i. V. m. Art. 8/8a der Abfallrahmenrichtlinie ((!) V16: Zitierweise wird noch sauber gepinnt). Die Detail-Vorgaben folgen per Rechtsverordnung nach § 26a (ausstehend, Radar R12). Bis zu den Design-for-Recycling-Rechtsakten bleibt der ZSVR-Mindeststandard Bemessungsmaßstab (§ 26a Abs. 2 Nr. 1 lit. a VerpackDG).</w:t>
      </w:r>
    </w:p>
    <w:p>
      <w:pPr>
        <w:spacing w:after="40" w:before="0"/>
      </w:pPr>
      <w:r>
        <w:rPr>
          <w:rFonts w:ascii="Arial" w:cs="Arial" w:eastAsia="Arial" w:hAnsi="Arial"/>
          <w:sz w:val="18"/>
          <w:szCs w:val="18"/>
        </w:rPr>
        <w:t xml:space="preserve">Die Pflicht trifft Hersteller mittelbar über die Systeme. Es gibt keinen Bußgeld-Kern, aber einen direkten Euro-Effekt auf die Entgelte – das Recyclingfähigkeits-Rating je SKU ist als Kostenhebel zu begreifen.</w:t>
      </w:r>
    </w:p>
    <w:p>
      <w:pPr>
        <w:spacing w:after="40" w:before="0"/>
      </w:pPr>
      <w:r>
        <w:rPr>
          <w:rFonts w:ascii="Arial" w:cs="Arial" w:eastAsia="Arial" w:hAnsi="Arial"/>
          <w:sz w:val="18"/>
          <w:szCs w:val="18"/>
        </w:rPr>
        <w:t xml:space="preserve">Aktualisierung 17.10.2026: Mindeststandard 2026 nach § 26 Abs. 3 VerpackDG am 31.08.2026 veröffentlicht, gilt für 2027 (vgl. Praxisfrage B19).</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Systeme müssen Beteiligungsentgelte ökologisch modulieren (Recyclingfähigkeit, Rezyklateinsatz); Detail-Vorgaben kommen per Rechtsverordnung (§ 26a) – bis dahin Mindeststandard-Regime.</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Recyclingfähigkeits-Rating je SKU als Kostenhebel begreifen; Radar R12 (RVO).</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kein Bußgeld-Kern, aber direkter €-Effekt auf Entgelte.</w:t>
      </w:r>
    </w:p>
    <w:p>
      <w:pPr>
        <w:keepNext/>
        <w:pBdr>
          <w:top w:val="single" w:color="24A27F" w:sz="4" w:space="4"/>
        </w:pBdr>
        <w:spacing w:after="40" w:before="260"/>
      </w:pPr>
      <w:r>
        <w:rPr>
          <w:rFonts w:ascii="Arial" w:cs="Arial" w:eastAsia="Arial" w:hAnsi="Arial"/>
          <w:b/>
          <w:bCs/>
          <w:color w:val="004494"/>
          <w:sz w:val="22"/>
          <w:szCs w:val="22"/>
        </w:rPr>
        <w:t xml:space="preserve">#36  </w:t>
      </w:r>
      <w:r>
        <w:rPr>
          <w:rFonts w:ascii="Arial" w:cs="Arial" w:eastAsia="Arial" w:hAnsi="Arial"/>
          <w:b/>
          <w:bCs/>
          <w:sz w:val="22"/>
          <w:szCs w:val="22"/>
        </w:rPr>
        <w:t xml:space="preserve">Pfandpflicht Einweggetränke &amp; EINWEG/MEHRWEG-Hinweise</w:t>
      </w:r>
    </w:p>
    <w:p>
      <w:pPr>
        <w:spacing w:after="60" w:before="0"/>
      </w:pPr>
      <w:r>
        <w:rPr>
          <w:rFonts w:ascii="Arial" w:cs="Arial" w:eastAsia="Arial" w:hAnsi="Arial"/>
          <w:color w:val="6B7280"/>
          <w:sz w:val="16"/>
          <w:szCs w:val="16"/>
        </w:rPr>
        <w:t xml:space="preserve">Rollen / EPR · gilt seit 2026-08-12 · Rechtsquelle: §§ 46/47 VerpackDG; Art. 50 PPWR · Rechtsstand 2026-10-17 · Version 5 · betrifft Rollen: hersteller; vertreiber; endvertreiber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Einweggetränkeverpackungen kosten mindestens 0,25 € Pfand, müssen vor der Bereitstellung als pfandpflichtig gekennzeichnet sein und laufen über das bundesweite Pfandsystem (DPG) – mit Rücknahme- und Erstattungspflichten. Am Regal und im Onlineshop sind EINWEG und MEHRWEG gut sichtbar auszuweisen, in der Größe der Preisauszeichnung. Der Ausnahmenkatalog wird derzeit final geprüft. (!) (§§ 46, 47 VerpackDG)</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 46 VerpackDG ordnet ein Mindestpfand von 0,25 € je Einweggetränkeverpackung an, verlangt die Kennzeichnung als pfandpflichtig vor der Bereitstellung, die Teilnahme am bundesweiten Pfandsystem (DPG) sowie Rücknahme- und Erstattungspflichten (§ 46 Abs. 2/3). (!) V17: Der Ausnahmenkatalog des § 46 Abs. 4 (unter anderem Milch-Sonderfall, diätetische Getränke) wird noch vollständig übernommen. § 47 VerpackDG verlangt POS-Hinweise EINWEG/MEHRWEG in der Größe der Preisauszeichnung – auch im Fernabsatz, dem häufigsten Abmahnfall.</w:t>
      </w:r>
    </w:p>
    <w:p>
      <w:pPr>
        <w:spacing w:after="40" w:before="0"/>
      </w:pPr>
      <w:r>
        <w:rPr>
          <w:rFonts w:ascii="Arial" w:cs="Arial" w:eastAsia="Arial" w:hAnsi="Arial"/>
          <w:sz w:val="18"/>
          <w:szCs w:val="18"/>
        </w:rPr>
        <w:t xml:space="preserve">EU-Rahmen: Art. 50 PPWR (90-%-Sammelziel 2029, Pflicht zu Pfand- und Rücknahmesystemen) wird durch das deutsche Pfandsystem adressiert, zur Anwendung des Anhangs X: Leitfaden Abschn. 29/30 – unverbindliche Auslegung der EU-Kommission. Risiko: Bußgeld nach § 66 VerpackDG, Abmahnungen und das Vertriebsverbot unkenntlich gemachter Ware. Empfehlung: Sortiments-Check gegen den Ausnahmenkatalog und Prüfung der Fernabsatz-Darstellung.</w:t>
      </w:r>
    </w:p>
    <w:p>
      <w:pPr>
        <w:spacing w:after="20" w:before="60"/>
      </w:pPr>
      <w:r>
        <w:rPr>
          <w:rFonts w:ascii="Arial" w:cs="Arial" w:eastAsia="Arial" w:hAnsi="Arial"/>
          <w:b/>
          <w:bCs/>
          <w:sz w:val="18"/>
          <w:szCs w:val="18"/>
        </w:rPr>
        <w:t xml:space="preserve">Erklärung (Rechtstext):</w:t>
      </w:r>
    </w:p>
    <w:p>
      <w:pPr>
        <w:spacing w:after="40" w:before="0"/>
      </w:pPr>
      <w:r>
        <w:rPr>
          <w:rFonts w:ascii="Arial" w:cs="Arial" w:eastAsia="Arial" w:hAnsi="Arial"/>
          <w:sz w:val="18"/>
          <w:szCs w:val="18"/>
        </w:rPr>
        <w:t xml:space="preserve">§ 46 VerpackDG verpflichtet zur Erhebung eines Pfands von mindestens 0,25 € je Einweggetränkeverpackung, zur Kennzeichnung der Pfandpflicht vor der Bereitstellung, zur Teilnahme am bundesweiten einheitlichen Pfandsystem sowie zur Rücknahme und Pfanderstattung (§ 46 Abs. 2 und 3). § 46 Abs. 4 VerpackDG enthält den Ausnahmenkatalog. § 47 VerpackDG ordnet gut sichtbare Hinweise EINWEG beziehungsweise MEHRWEG in der Schriftgröße der Preisauszeichnung an, auch im Fernabsatz (§ 47 Abs. 2 zum Mehrweg-Hinweis).</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0,25 € Mindestpfand je Einweggetränkeverpackung, Kennzeichnung „pfandpflichtig" vor Bereitstellung, Teilnahme am bundesweiten Pfandsystem (DPG), Rücknahme- und Erstattungspflichten (§ 46 Abs. 2/3); POS-Hinweise EINWEG/MEHRWEG in Preisauszeichnungs-Größe, auch im Fernabsatz (§ 47).</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Sortiments-Check gegen Ausnahmenkatalog; Fernabsatz-Darstellung prüfen (häufigster Abmahnfall).</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Bußgeld § 66, Abmahnungen; Vertriebsverbot unkenntlich gemachter Ware.</w:t>
      </w:r>
    </w:p>
    <w:p>
      <w:pPr>
        <w:spacing w:after="40" w:before="0"/>
      </w:pPr>
      <w:r>
        <w:rPr>
          <w:rFonts w:ascii="Arial" w:cs="Arial" w:eastAsia="Arial" w:hAnsi="Arial"/>
          <w:sz w:val="18"/>
          <w:szCs w:val="18"/>
        </w:rPr>
        <w:t xml:space="preserve">### Block VII – Pflichten der Lieferkette &amp; Vollzug (#37–#40)</w:t>
      </w:r>
    </w:p>
    <w:p>
      <w:pPr>
        <w:keepNext/>
        <w:pBdr>
          <w:top w:val="single" w:color="24A27F" w:sz="4" w:space="4"/>
        </w:pBdr>
        <w:spacing w:after="40" w:before="260"/>
      </w:pPr>
      <w:r>
        <w:rPr>
          <w:rFonts w:ascii="Arial" w:cs="Arial" w:eastAsia="Arial" w:hAnsi="Arial"/>
          <w:b/>
          <w:bCs/>
          <w:color w:val="004494"/>
          <w:sz w:val="22"/>
          <w:szCs w:val="22"/>
        </w:rPr>
        <w:t xml:space="preserve">#37  </w:t>
      </w:r>
      <w:r>
        <w:rPr>
          <w:rFonts w:ascii="Arial" w:cs="Arial" w:eastAsia="Arial" w:hAnsi="Arial"/>
          <w:b/>
          <w:bCs/>
          <w:sz w:val="22"/>
          <w:szCs w:val="22"/>
        </w:rPr>
        <w:t xml:space="preserve">Importeurspflichten</w:t>
      </w:r>
    </w:p>
    <w:p>
      <w:pPr>
        <w:spacing w:after="60" w:before="0"/>
      </w:pPr>
      <w:r>
        <w:rPr>
          <w:rFonts w:ascii="Arial" w:cs="Arial" w:eastAsia="Arial" w:hAnsi="Arial"/>
          <w:color w:val="6B7280"/>
          <w:sz w:val="16"/>
          <w:szCs w:val="16"/>
        </w:rPr>
        <w:t xml:space="preserve">Konformität · gilt seit 2026-08-12 · Rechtsquelle: Art. 18 PPWR · Rechtsstand 2026-10-17 · Version 5 · betrifft Rollen: importeur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Importeure dürfen nur konforme Verpackungen in Verkehr bringen: Sie müssen prüfen, dass der Erzeuger Konformitätsbewertung, technische Dokumentation und Kennzeichnung erledigt hat, eigene Kontaktangaben anbringen und bei Nichtkonformität melden und mitwirken. Auch Lagerung und Transport dürfen die Konformität nicht gefährden. Wichtig: Importeure sind häufig zugleich Hersteller im EPR-Sinn – mit LUCID- und Systembeteiligungspflichten. (Art. 18 PPWR)</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Art. 18 PPWR bündelt die Importeurspflichten: Prüfung, dass der Erzeuger Konformitätsbewertung, technische Dokumentation und Kennzeichnung nach Art. 15 Abs. 5/6 erledigt hat, Anbringung der eigenen Kontaktangaben (Abs. 3), Melde- und Korrekturpflichten bei Nichtkonformität sowie die Vorgabe, dass Lager- und Transportbedingungen die Konformität nicht gefährden dürfen ((!) V1: Absatz-Pins offen). Zum Niederlassungs-Erfordernis: Eine Zweigniederlassung genügt nicht (Leitfaden Abschn. 4 – unverbindliche Auslegung der EU-Kommission).</w:t>
      </w:r>
    </w:p>
    <w:p>
      <w:pPr>
        <w:spacing w:after="40" w:before="0"/>
      </w:pPr>
      <w:r>
        <w:rPr>
          <w:rFonts w:ascii="Arial" w:cs="Arial" w:eastAsia="Arial" w:hAnsi="Arial"/>
          <w:sz w:val="18"/>
          <w:szCs w:val="18"/>
        </w:rPr>
        <w:t xml:space="preserve">Doppel-Layer: Importeure sind häufig zugleich Hersteller in Deutschland (Art. 3 Abs. 1 Nr. 15 lit. b PPWR, siehe Anforderungen 31/32), bei Eigenmarke gelten sie als Erzeuger (Art. 21 PPWR). Risiko: eigene Verantwortlichkeit wie der Erzeuger bei Verstößen – die Marktüberwachung setzt am Import-Nadelöhr an. Praktisch: je Drittlands-SKU ein Lieferanten-Dossier mit Kopie der Konformitätserklärung, Doku-Zugriff und Kennzeichnungs-Check.</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Importeur darf nur konforme Verpackungen in Verkehr bringen: Prüfung, dass Erzeuger Konformitätsbewertung + Doku + Kennzeichnung (Art. 15 Abs. 5/6) erledigt hat; eigene Kontaktangaben (Abs. 3); Melde-/Korrekturpflichten bei Nichtkonformität; Lager-/Transportbedingungen dürfen Konformität nicht gefährden (Absatz-Pins (!) V1).</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Lieferanten-Dossier je Drittlands-SKU (DoC-Kopie, Doku-Zugriff, Kennzeichnungs-Check).</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eigene Verantwortlichkeit wie Erzeuger bei Verstößen; Marktüberwachung am Import-Nadelöhr.</w:t>
      </w:r>
    </w:p>
    <w:p>
      <w:pPr>
        <w:spacing w:after="20" w:before="60"/>
      </w:pPr>
      <w:r>
        <w:rPr>
          <w:rFonts w:ascii="Arial" w:cs="Arial" w:eastAsia="Arial" w:hAnsi="Arial"/>
          <w:b/>
          <w:bCs/>
          <w:sz w:val="18"/>
          <w:szCs w:val="18"/>
        </w:rPr>
        <w:t xml:space="preserve">VerpackDG-Ebene:</w:t>
      </w:r>
    </w:p>
    <w:p>
      <w:pPr>
        <w:spacing w:after="40" w:before="0"/>
      </w:pPr>
      <w:r>
        <w:rPr>
          <w:rFonts w:ascii="Arial" w:cs="Arial" w:eastAsia="Arial" w:hAnsi="Arial"/>
          <w:sz w:val="18"/>
          <w:szCs w:val="18"/>
        </w:rPr>
        <w:t xml:space="preserve">häufig zugleich Hersteller in DE (Nr. 15 lit. b) → #31/#32; bei Eigenmarke gilt als Erzeuger (Art. 21).</w:t>
      </w:r>
    </w:p>
    <w:p>
      <w:pPr>
        <w:keepNext/>
        <w:pBdr>
          <w:top w:val="single" w:color="24A27F" w:sz="4" w:space="4"/>
        </w:pBdr>
        <w:spacing w:after="40" w:before="260"/>
      </w:pPr>
      <w:r>
        <w:rPr>
          <w:rFonts w:ascii="Arial" w:cs="Arial" w:eastAsia="Arial" w:hAnsi="Arial"/>
          <w:b/>
          <w:bCs/>
          <w:color w:val="004494"/>
          <w:sz w:val="22"/>
          <w:szCs w:val="22"/>
        </w:rPr>
        <w:t xml:space="preserve">#38  </w:t>
      </w:r>
      <w:r>
        <w:rPr>
          <w:rFonts w:ascii="Arial" w:cs="Arial" w:eastAsia="Arial" w:hAnsi="Arial"/>
          <w:b/>
          <w:bCs/>
          <w:sz w:val="22"/>
          <w:szCs w:val="22"/>
        </w:rPr>
        <w:t xml:space="preserve">Vertreiber-Sorgfaltspflichten</w:t>
      </w:r>
    </w:p>
    <w:p>
      <w:pPr>
        <w:spacing w:after="60" w:before="0"/>
      </w:pPr>
      <w:r>
        <w:rPr>
          <w:rFonts w:ascii="Arial" w:cs="Arial" w:eastAsia="Arial" w:hAnsi="Arial"/>
          <w:color w:val="6B7280"/>
          <w:sz w:val="16"/>
          <w:szCs w:val="16"/>
        </w:rPr>
        <w:t xml:space="preserve">Konformität · gilt seit 2026-08-12 · Rechtsquelle: Art. 19 PPWR; Art. 44 · Rechtsstand 2026-10-17 · Version 5 · betrifft Rollen: vertreiber; endvertreiber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Händler müssen vor der Bereitstellung zweierlei prüfen: Trägt die Verpackung die Pflichtkennzeichnungen – und ist der Hersteller im Register des jeweiligen Landes registriert? In Deutschland ist das LUCID, öffentlich einsehbar. Bei Zweifeln gilt: nicht bereitstellen und melden. Praktisch wird die LUCID-Nummer damit zur Listungs-Voraussetzung im Handel. (Art. 19 PPWR)</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Art. 19 PPWR verpflichtet Vertreiber und Endvertreiber, vor der Bereitstellung zu prüfen, ob (a) die Kennzeichnungen nach Art. 15 Abs. 5/6 beziehungsweise Art. 18 Abs. 3 PPWR vorhanden sind und (b) der Hersteller im Register des jeweiligen Mitgliedstaats nach Art. 44 PPWR registriert ist. Bei Zweifeln darf nicht bereitgestellt werden, dazu kommt eine Meldepflicht.</w:t>
      </w:r>
    </w:p>
    <w:p>
      <w:pPr>
        <w:spacing w:after="40" w:before="0"/>
      </w:pPr>
      <w:r>
        <w:rPr>
          <w:rFonts w:ascii="Arial" w:cs="Arial" w:eastAsia="Arial" w:hAnsi="Arial"/>
          <w:sz w:val="18"/>
          <w:szCs w:val="18"/>
        </w:rPr>
        <w:t xml:space="preserve">Doppel-Layer Deutschland: Das Register ist LUCID und öffentlich einsehbar – praktisch wird die Registrierung damit zur Listungs-Voraussetzung im Handel. Empfehlung: eine Onboarding-Checkliste für Lieferanten mit Abfrage der LUCID-Nummer. Risiko: eigene Bußgeld- und Untersagungsrisiken sowie der Delisting-Hebel des Handels.</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vor Bereitstellung prüfen: (a) Kennzeichnungen nach Art. 15 Abs. 5/6 bzw. Art. 18 Abs. 3 vorhanden, (b) Hersteller im Register des jeweiligen Mitgliedstaats registriert; bei Zweifel: nicht bereitstellen, Meldung.</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Onboarding-Checkliste für Lieferanten (LUCID-Nr. abfragen!) – Generator-Template.</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eigene Bußgeld-/Untersagungsrisiken; Handels-Delisting-Hebel.</w:t>
      </w:r>
    </w:p>
    <w:p>
      <w:pPr>
        <w:spacing w:after="20" w:before="60"/>
      </w:pPr>
      <w:r>
        <w:rPr>
          <w:rFonts w:ascii="Arial" w:cs="Arial" w:eastAsia="Arial" w:hAnsi="Arial"/>
          <w:b/>
          <w:bCs/>
          <w:sz w:val="18"/>
          <w:szCs w:val="18"/>
        </w:rPr>
        <w:t xml:space="preserve">VerpackDG-Ebene:</w:t>
      </w:r>
    </w:p>
    <w:p>
      <w:pPr>
        <w:spacing w:after="40" w:before="0"/>
      </w:pPr>
      <w:r>
        <w:rPr>
          <w:rFonts w:ascii="Arial" w:cs="Arial" w:eastAsia="Arial" w:hAnsi="Arial"/>
          <w:sz w:val="18"/>
          <w:szCs w:val="18"/>
        </w:rPr>
        <w:t xml:space="preserve">DE-Register = LUCID (öffentlich einsehbar) – praktisch: Listungs-Voraussetzung im Handel.</w:t>
      </w:r>
    </w:p>
    <w:p>
      <w:pPr>
        <w:keepNext/>
        <w:pBdr>
          <w:top w:val="single" w:color="24A27F" w:sz="4" w:space="4"/>
        </w:pBdr>
        <w:spacing w:after="40" w:before="260"/>
      </w:pPr>
      <w:r>
        <w:rPr>
          <w:rFonts w:ascii="Arial" w:cs="Arial" w:eastAsia="Arial" w:hAnsi="Arial"/>
          <w:b/>
          <w:bCs/>
          <w:color w:val="004494"/>
          <w:sz w:val="22"/>
          <w:szCs w:val="22"/>
        </w:rPr>
        <w:t xml:space="preserve">#39  </w:t>
      </w:r>
      <w:r>
        <w:rPr>
          <w:rFonts w:ascii="Arial" w:cs="Arial" w:eastAsia="Arial" w:hAnsi="Arial"/>
          <w:b/>
          <w:bCs/>
          <w:sz w:val="22"/>
          <w:szCs w:val="22"/>
        </w:rPr>
        <w:t xml:space="preserve">Fulfillment-Dienstleister</w:t>
      </w:r>
    </w:p>
    <w:p>
      <w:pPr>
        <w:spacing w:after="60" w:before="0"/>
      </w:pPr>
      <w:r>
        <w:rPr>
          <w:rFonts w:ascii="Arial" w:cs="Arial" w:eastAsia="Arial" w:hAnsi="Arial"/>
          <w:color w:val="6B7280"/>
          <w:sz w:val="16"/>
          <w:szCs w:val="16"/>
        </w:rPr>
        <w:t xml:space="preserve">Rollen / EPR · gilt seit 2026-08-12 · Rechtsquelle: Art. 20 PPWR; § 13 Abs. 4 VerpackDG · Rechtsstand 2026-10-17 · Version 5 · betrifft Rollen: fulfillment; hersteller</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Fulfillment-Dienstleister dürfen nur für Hersteller arbeiten, die ordnungsgemäß registriert sind – dafür gelten Prüf- und Abgleichpflichten gegen das Register. Und Vorsicht: Wer Drittlandsware umpackt, ohne Endabnehmer zu sein, kann selbst zum Hersteller mit eigenen Pflichten werden. (Art. 20 PPWR · § 13 Abs. 4 VerpackDG)</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Art. 20 PPWR i. V. m. Art. 3 UAbs. 3 PPWR (Definition über Art. 3 Nr. 11 der Verordnung (EU) 2019/1020 – (!) U5: der Wortlaut-Pin ist im Rollen-Engine-Paket noch offen) erlaubt Fulfillment-Dienstleistern die Tätigkeit nur für ordnungsgemäß registrierte Hersteller. § 13 Abs. 4 VerpackDG flankiert mit Tätigkeitsverboten für nicht registrierte Hersteller-Kunden und dem ZSVR-Datenabgleich.</w:t>
      </w:r>
    </w:p>
    <w:p>
      <w:pPr>
        <w:spacing w:after="40" w:before="0"/>
      </w:pPr>
      <w:r>
        <w:rPr>
          <w:rFonts w:ascii="Arial" w:cs="Arial" w:eastAsia="Arial" w:hAnsi="Arial"/>
          <w:sz w:val="18"/>
          <w:szCs w:val="18"/>
        </w:rPr>
        <w:t xml:space="preserve">Doppelrolle: Beim Umpacken von Drittlandsware ohne Endabnehmer-Stellung kann der Dienstleister selbst Hersteller werden (Art. 3 Abs. 1 Nr. 15 lit. e PPWR, Leitfaden Abschn. 3 – unverbindliche Auslegung der EU-Kommission). Praktisch: den Kundenstamm gegen LUCID abgleichen (API oder Export) und Vertragsklauseln zur Registrierungsnummer aufnehmen. Risiko: Tätigkeitsverbot, Bußgeld und faktische Plattform-Haftung.</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Fulfillment-Dienstleister dürfen nur für ordnungsgemäß registrierte Hersteller tätig werden; Prüf-/Abgleichpflichten; beim Umpacken ohne Endabnehmer-Stellung eigene Herstellerrolle möglich.</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Kundenstamm gegen LUCID abgleichen (API/Export); Vertragsklauseln zur Registriernummer.</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Tätigkeitsverbot, Bußgeld; faktische Plattform-Haftung.</w:t>
      </w:r>
    </w:p>
    <w:p>
      <w:pPr>
        <w:keepNext/>
        <w:pBdr>
          <w:top w:val="single" w:color="24A27F" w:sz="4" w:space="4"/>
        </w:pBdr>
        <w:spacing w:after="40" w:before="260"/>
      </w:pPr>
      <w:r>
        <w:rPr>
          <w:rFonts w:ascii="Arial" w:cs="Arial" w:eastAsia="Arial" w:hAnsi="Arial"/>
          <w:b/>
          <w:bCs/>
          <w:color w:val="004494"/>
          <w:sz w:val="22"/>
          <w:szCs w:val="22"/>
        </w:rPr>
        <w:t xml:space="preserve">#40  </w:t>
      </w:r>
      <w:r>
        <w:rPr>
          <w:rFonts w:ascii="Arial" w:cs="Arial" w:eastAsia="Arial" w:hAnsi="Arial"/>
          <w:b/>
          <w:bCs/>
          <w:sz w:val="22"/>
          <w:szCs w:val="22"/>
        </w:rPr>
        <w:t xml:space="preserve">Lieferanten-Informationspflichten</w:t>
      </w:r>
    </w:p>
    <w:p>
      <w:pPr>
        <w:spacing w:after="60" w:before="0"/>
      </w:pPr>
      <w:r>
        <w:rPr>
          <w:rFonts w:ascii="Arial" w:cs="Arial" w:eastAsia="Arial" w:hAnsi="Arial"/>
          <w:color w:val="6B7280"/>
          <w:sz w:val="16"/>
          <w:szCs w:val="16"/>
        </w:rPr>
        <w:t xml:space="preserve">Konformität · gilt seit 2026-08-12 · Rechtsquelle: Art. 16 Abs. 1 PPWR · Rechtsstand 2026-10-17 · Version 5 · betrifft Rollen: lieferant</w:t>
      </w:r>
    </w:p>
    <w:p>
      <w:pPr>
        <w:spacing w:after="20" w:before="60"/>
      </w:pPr>
      <w:r>
        <w:rPr>
          <w:rFonts w:ascii="Arial" w:cs="Arial" w:eastAsia="Arial" w:hAnsi="Arial"/>
          <w:b/>
          <w:bCs/>
          <w:sz w:val="18"/>
          <w:szCs w:val="18"/>
        </w:rPr>
        <w:t xml:space="preserve">Kurzerklärung (einfach):</w:t>
      </w:r>
    </w:p>
    <w:p>
      <w:pPr>
        <w:spacing w:after="40" w:before="0"/>
      </w:pPr>
      <w:r>
        <w:rPr>
          <w:rFonts w:ascii="Arial" w:cs="Arial" w:eastAsia="Arial" w:hAnsi="Arial"/>
          <w:sz w:val="18"/>
          <w:szCs w:val="18"/>
        </w:rPr>
        <w:t xml:space="preserve">Wer Verpackungen oder Verpackungsmaterial an einen Erzeuger liefert, muss ihm alle Informationen und Unterlagen geben, die er für den Konformitätsnachweis braucht – von der Zusammensetzung inklusive Schwermetallen und PFAS bis zu Prüfberichten. Wer nicht liefert, riskiert die Haftungskette und den Listungsverlust. (Art. 16 Abs. 1 PPWR)</w:t>
      </w:r>
    </w:p>
    <w:p>
      <w:pPr>
        <w:spacing w:after="20" w:before="60"/>
      </w:pPr>
      <w:r>
        <w:rPr>
          <w:rFonts w:ascii="Arial" w:cs="Arial" w:eastAsia="Arial" w:hAnsi="Arial"/>
          <w:b/>
          <w:bCs/>
          <w:sz w:val="18"/>
          <w:szCs w:val="18"/>
        </w:rPr>
        <w:t xml:space="preserve">Erklärung (fachlich):</w:t>
      </w:r>
    </w:p>
    <w:p>
      <w:pPr>
        <w:spacing w:after="40" w:before="0"/>
      </w:pPr>
      <w:r>
        <w:rPr>
          <w:rFonts w:ascii="Arial" w:cs="Arial" w:eastAsia="Arial" w:hAnsi="Arial"/>
          <w:sz w:val="18"/>
          <w:szCs w:val="18"/>
        </w:rPr>
        <w:t xml:space="preserve">Art. 16 Abs. 1 PPWR verpflichtet Lieferanten von Verpackungen und Verpackungsmaterial, dem Erzeuger alle Informationen und Dokumente bereitzustellen, die dieser für den Konformitätsnachweis nach Anhang VII benötigt – Zusammensetzung einschließlich Schwermetallen und PFAS sowie Prüfberichte.</w:t>
      </w:r>
    </w:p>
    <w:p>
      <w:pPr>
        <w:spacing w:after="40" w:before="0"/>
      </w:pPr>
      <w:r>
        <w:rPr>
          <w:rFonts w:ascii="Arial" w:cs="Arial" w:eastAsia="Arial" w:hAnsi="Arial"/>
          <w:sz w:val="18"/>
          <w:szCs w:val="18"/>
        </w:rPr>
        <w:t xml:space="preserve">Doppel-Layer-Hinweis: Im Kleinstunternehmen-Fall kann der Lieferant selbst Erzeuger sein (Art. 3 Abs. 1 Nr. 13 lit. b PPWR, Rollen-Engine A3). Praktisch lässt sich die Standard-Lieferantenerklärung aus dem Generator beidseitig nutzen – als Anforderer und als Lieferant. Risiko: zivilrechtliche Haftungskette und Listungsverlust.</w:t>
      </w:r>
    </w:p>
    <w:p>
      <w:pPr>
        <w:spacing w:after="20" w:before="60"/>
      </w:pPr>
      <w:r>
        <w:rPr>
          <w:rFonts w:ascii="Arial" w:cs="Arial" w:eastAsia="Arial" w:hAnsi="Arial"/>
          <w:b/>
          <w:bCs/>
          <w:sz w:val="18"/>
          <w:szCs w:val="18"/>
        </w:rPr>
        <w:t xml:space="preserve">Tatbestand:</w:t>
      </w:r>
    </w:p>
    <w:p>
      <w:pPr>
        <w:spacing w:after="40" w:before="0"/>
      </w:pPr>
      <w:r>
        <w:rPr>
          <w:rFonts w:ascii="Arial" w:cs="Arial" w:eastAsia="Arial" w:hAnsi="Arial"/>
          <w:sz w:val="18"/>
          <w:szCs w:val="18"/>
        </w:rPr>
        <w:t xml:space="preserve">wer Verpackungen oder Verpackungsmaterial an einen Erzeuger liefert, muss alle Informationen/Dokumente bereitstellen, die der Erzeuger für den Konformitätsnachweis benötigt (Zusammensetzung inkl. Schwermetalle/PFAS, Prüfberichte).</w:t>
      </w:r>
    </w:p>
    <w:p>
      <w:pPr>
        <w:spacing w:after="20" w:before="60"/>
      </w:pPr>
      <w:r>
        <w:rPr>
          <w:rFonts w:ascii="Arial" w:cs="Arial" w:eastAsia="Arial" w:hAnsi="Arial"/>
          <w:b/>
          <w:bCs/>
          <w:sz w:val="18"/>
          <w:szCs w:val="18"/>
        </w:rPr>
        <w:t xml:space="preserve">Was zu tun ist:</w:t>
      </w:r>
    </w:p>
    <w:p>
      <w:pPr>
        <w:spacing w:after="40" w:before="0"/>
      </w:pPr>
      <w:r>
        <w:rPr>
          <w:rFonts w:ascii="Arial" w:cs="Arial" w:eastAsia="Arial" w:hAnsi="Arial"/>
          <w:sz w:val="18"/>
          <w:szCs w:val="18"/>
        </w:rPr>
        <w:t xml:space="preserve">Standard-Lieferantenerklärung (Generator) beidseitig nutzen: als Anforderer UND als Lieferant.</w:t>
      </w:r>
    </w:p>
    <w:p>
      <w:pPr>
        <w:spacing w:after="20" w:before="60"/>
      </w:pPr>
      <w:r>
        <w:rPr>
          <w:rFonts w:ascii="Arial" w:cs="Arial" w:eastAsia="Arial" w:hAnsi="Arial"/>
          <w:b/>
          <w:bCs/>
          <w:sz w:val="18"/>
          <w:szCs w:val="18"/>
        </w:rPr>
        <w:t xml:space="preserve">Risiko bei Verstoß:</w:t>
      </w:r>
    </w:p>
    <w:p>
      <w:pPr>
        <w:spacing w:after="40" w:before="0"/>
      </w:pPr>
      <w:r>
        <w:rPr>
          <w:rFonts w:ascii="Arial" w:cs="Arial" w:eastAsia="Arial" w:hAnsi="Arial"/>
          <w:sz w:val="18"/>
          <w:szCs w:val="18"/>
        </w:rPr>
        <w:t xml:space="preserve">zivilrechtliche Haftungskette; Listungsverlust.</w:t>
      </w:r>
    </w:p>
    <w:p>
      <w:pPr>
        <w:spacing w:after="40" w:before="0"/>
      </w:pPr>
      <w:r>
        <w:rPr>
          <w:rFonts w:ascii="Arial" w:cs="Arial" w:eastAsia="Arial" w:hAnsi="Arial"/>
          <w:sz w:val="18"/>
          <w:szCs w:val="18"/>
        </w:rPr>
        <w:t xml:space="preserve">---</w:t>
      </w:r>
    </w:p>
    <w:p>
      <w:pPr>
        <w:spacing w:after="40" w:before="0"/>
      </w:pPr>
      <w:r>
        <w:rPr>
          <w:rFonts w:ascii="Arial" w:cs="Arial" w:eastAsia="Arial" w:hAnsi="Arial"/>
          <w:sz w:val="18"/>
          <w:szCs w:val="18"/>
        </w:rPr>
        <w:t xml:space="preserve">## Teil C – Cattwyk-Review-Tabelle (Freigabe-Format wie Rollen-Engine-Paket)</w:t>
      </w:r>
    </w:p>
    <w:p>
      <w:pPr>
        <w:spacing w:after="40" w:before="0"/>
      </w:pPr>
      <w:r>
        <w:rPr>
          <w:rFonts w:ascii="Arial" w:cs="Arial" w:eastAsia="Arial" w:hAnsi="Arial"/>
          <w:sz w:val="18"/>
          <w:szCs w:val="18"/>
        </w:rPr>
        <w:t xml:space="preserve">*Bitte je Position: Freigabe ☐ JA ☐ NEIN ☐ mit Auflagen. Fundstellen sind im jeweiligen Datensatz (Teil B) verlinkt bzw. exakt zitiert. Risiko-Skala: HOCH = falsche Aussage könnte beim Nutzer zu Rechtsverstoß oder unnötigen Kosten führen; MITTEL = Präzisierung nötig; NIEDRIG = redaktionell.*</w:t>
      </w:r>
    </w:p>
    <w:p>
      <w:pPr>
        <w:spacing w:after="40" w:before="0"/>
      </w:pPr>
      <w:r>
        <w:rPr>
          <w:rFonts w:ascii="Arial" w:cs="Arial" w:eastAsia="Arial" w:hAnsi="Arial"/>
          <w:sz w:val="18"/>
          <w:szCs w:val="18"/>
        </w:rPr>
        <w:t xml:space="preserve">### C.1 – Prüfpositionen je Datensatz</w:t>
      </w:r>
    </w:p>
    <w:p>
      <w:pPr>
        <w:spacing w:after="40" w:before="0"/>
      </w:pPr>
      <w:r>
        <w:rPr>
          <w:rFonts w:ascii="Arial" w:cs="Arial" w:eastAsia="Arial" w:hAnsi="Arial"/>
          <w:sz w:val="18"/>
          <w:szCs w:val="18"/>
        </w:rPr>
        <w:t xml:space="preserve">| Nr | Prüfgegenstand | Fundstellen | Risiko | Freigabe | Anmerkung |</w:t>
      </w:r>
    </w:p>
    <w:p>
      <w:pPr>
        <w:spacing w:after="40" w:before="0"/>
      </w:pPr>
      <w:r>
        <w:rPr>
          <w:rFonts w:ascii="Arial" w:cs="Arial" w:eastAsia="Arial" w:hAnsi="Arial"/>
          <w:sz w:val="18"/>
          <w:szCs w:val="18"/>
        </w:rPr>
        <w:t xml:space="preserve">|---|---|---|---|---|---|</w:t>
      </w:r>
    </w:p>
    <w:p>
      <w:pPr>
        <w:spacing w:after="40" w:before="0"/>
      </w:pPr>
      <w:r>
        <w:rPr>
          <w:rFonts w:ascii="Arial" w:cs="Arial" w:eastAsia="Arial" w:hAnsi="Arial"/>
          <w:sz w:val="18"/>
          <w:szCs w:val="18"/>
        </w:rPr>
        <w:t xml:space="preserve">| P1 | #1 Schwermetall-Summengrenzwert 100 mg/kg inkl. Fortgeltung der Ausnahmen §§ 14–18 VerpackDG (Kästen/Paletten, Glas) | Art. 5 Abs. 4 PPWR; §§ 14–18 VerpackDG | MITTEL | ☐ | Fortgeltungs-Konstruktion (V2) bestätigen |</w:t>
      </w:r>
    </w:p>
    <w:p>
      <w:pPr>
        <w:spacing w:after="40" w:before="0"/>
      </w:pPr>
      <w:r>
        <w:rPr>
          <w:rFonts w:ascii="Arial" w:cs="Arial" w:eastAsia="Arial" w:hAnsi="Arial"/>
          <w:sz w:val="18"/>
          <w:szCs w:val="18"/>
        </w:rPr>
        <w:t xml:space="preserve">| P2 | #2 PFAS-Grenzwerte LMK (25 ppb / 250 ppb / 50 ppm), keine Abverkaufsfrist für nach 12.08.2026 in Verkehr gebrachte Ware, Prüfkaskade nur als unverbindliche Leitfaden-Empfehlung | Art. 5 Abs. 5 PPWR; Leitfaden Abschn. 5 | HOCH | ☐ | Kommunikation „keine Abverkaufsfrist" freigeben |</w:t>
      </w:r>
    </w:p>
    <w:p>
      <w:pPr>
        <w:spacing w:after="40" w:before="0"/>
      </w:pPr>
      <w:r>
        <w:rPr>
          <w:rFonts w:ascii="Arial" w:cs="Arial" w:eastAsia="Arial" w:hAnsi="Arial"/>
          <w:sz w:val="18"/>
          <w:szCs w:val="18"/>
        </w:rPr>
        <w:t xml:space="preserve">| P3 | #3 Mehrweg-Kriterien Art. 11, kein Bestandsschutz für ab 11.02.2025 in Verkehr gebrachte Mehrwegverpackungen, Alt-Mehrweg vor 11.02.2025 geschützt | Art. 11 Abs. 1, Art. 15 Abs. 9 PPWR; Leitfaden Abschn. 12 | HOCH | ☐ | Stichtags-Logik 11.02.2025 vs. 12.08.2026 |</w:t>
      </w:r>
    </w:p>
    <w:p>
      <w:pPr>
        <w:spacing w:after="40" w:before="0"/>
      </w:pPr>
      <w:r>
        <w:rPr>
          <w:rFonts w:ascii="Arial" w:cs="Arial" w:eastAsia="Arial" w:hAnsi="Arial"/>
          <w:sz w:val="18"/>
          <w:szCs w:val="18"/>
        </w:rPr>
        <w:t xml:space="preserve">| P4 | #4 Konformitätsbewertung: Korrektur von „Art. 35 ff." auf Art. 38 + Anhang VII; Umfang „jeweils geltende Anforderungen" (2026: v. a. Art. 5, 11) | Art. 38, Art. 15 Abs. 1/2 PPWR; Leitfaden Abschn. 6 (keine Recyclingfähigkeits-Bewertung vor DfR-DA) | HOCH | ☐ | Kernaussage des Produkts – bitte Wortlaut prüfen |</w:t>
      </w:r>
    </w:p>
    <w:p>
      <w:pPr>
        <w:spacing w:after="40" w:before="0"/>
      </w:pPr>
      <w:r>
        <w:rPr>
          <w:rFonts w:ascii="Arial" w:cs="Arial" w:eastAsia="Arial" w:hAnsi="Arial"/>
          <w:sz w:val="18"/>
          <w:szCs w:val="18"/>
        </w:rPr>
        <w:t xml:space="preserve">| P5 | #5 Technische Dokumentation Anhang VII; Aufbewahrungsfristen 5 J (Einweg) / 10 J (Mehrweg) – Absatz-Pin (!) V1 | Anhang VII PPWR; Art. 15 Abs. 8 (Pin offen) | MITTEL | ☐ | Fundstelle Aufbewahrung final pinnen |</w:t>
      </w:r>
    </w:p>
    <w:p>
      <w:pPr>
        <w:spacing w:after="40" w:before="0"/>
      </w:pPr>
      <w:r>
        <w:rPr>
          <w:rFonts w:ascii="Arial" w:cs="Arial" w:eastAsia="Arial" w:hAnsi="Arial"/>
          <w:sz w:val="18"/>
          <w:szCs w:val="18"/>
        </w:rPr>
        <w:t xml:space="preserve">| P6 | #6 EU-Konformitätserklärung: Muster Anhang VIII, Sprachregelung DE oder EN nach § 62 VerpackDG | Art. 39 PPWR; Anhang VIII; § 62 VerpackDG | MITTEL | ☐ | § 62-Auslegung (EN genügt) bestätigen |</w:t>
      </w:r>
    </w:p>
    <w:p>
      <w:pPr>
        <w:spacing w:after="40" w:before="0"/>
      </w:pPr>
      <w:r>
        <w:rPr>
          <w:rFonts w:ascii="Arial" w:cs="Arial" w:eastAsia="Arial" w:hAnsi="Arial"/>
          <w:sz w:val="18"/>
          <w:szCs w:val="18"/>
        </w:rPr>
        <w:t xml:space="preserve">| P7 | #7 Kennzeichnung: Typen-/Chargen-/Seriennummer (Art. 15 Abs. 5), Name/Marke + Postanschrift + digitaler Kontakt (Art. 15 Abs. 6), Importeursangaben (Art. 18 Abs. 3) – Abgrenzung zum Sortierlabel Art. 12 | Art. 15 Abs. 5/6, Art. 18 Abs. 3 PPWR | MITTEL | ☐ | v0.1 zitierte fälschlich Art. 12 – Korrektur ok? |</w:t>
      </w:r>
    </w:p>
    <w:p>
      <w:pPr>
        <w:spacing w:after="40" w:before="0"/>
      </w:pPr>
      <w:r>
        <w:rPr>
          <w:rFonts w:ascii="Arial" w:cs="Arial" w:eastAsia="Arial" w:hAnsi="Arial"/>
          <w:sz w:val="18"/>
          <w:szCs w:val="18"/>
        </w:rPr>
        <w:t xml:space="preserve">| P8 | #8 Rollen-Doppellogik Erzeuger/Hersteller inkl. Eigenmarken- und Auspacker-Fälle + Sanktionszeitschiene (nationale Bußgelder ab 12.08.2026, PPWR-Bußgelder § 66 Abs. 2 erst ab 12.02.2027) | Art. 3 Nr. 13/15, Art. 21 PPWR; §§ 6, 7, 13, 66, 68 Abs. 17 VerpackDG | HOCH | ☐ | identisch mit Rollen-Engine A1/A2 – Konsistenz |</w:t>
      </w:r>
    </w:p>
    <w:p>
      <w:pPr>
        <w:spacing w:after="40" w:before="0"/>
      </w:pPr>
      <w:r>
        <w:rPr>
          <w:rFonts w:ascii="Arial" w:cs="Arial" w:eastAsia="Arial" w:hAnsi="Arial"/>
          <w:sz w:val="18"/>
          <w:szCs w:val="18"/>
        </w:rPr>
        <w:t xml:space="preserve">| P9 | #9 EHV-Bevollmächtigter je Zielland; DE-Eingangsfall § 5 Abs. 2–6 VerpackDG | Art. 45 Abs. 3 PPWR; Art. 3 Nr. 20; § 5 VerpackDG | HOCH | ☐ | identisch Rollen-Engine A7 |</w:t>
      </w:r>
    </w:p>
    <w:p>
      <w:pPr>
        <w:spacing w:after="40" w:before="0"/>
      </w:pPr>
      <w:r>
        <w:rPr>
          <w:rFonts w:ascii="Arial" w:cs="Arial" w:eastAsia="Arial" w:hAnsi="Arial"/>
          <w:sz w:val="18"/>
          <w:szCs w:val="18"/>
        </w:rPr>
        <w:t xml:space="preserve">| P10 | #10 Entwarnungs-Datensatz: Liste „gilt noch nicht" + korrigierte Lagerbestands-Aussage (unverkaufte Lagerware des Erzeugers ist nicht in Verkehr gebracht → kein Bestandsschutz über „Lagerbestände"-Formulierung) | Art. 3 Nr. 10/11 PPWR; Leitfaden Abschn. 5 (placing on the market) | HOCH | ☐ | wichtigste Korrektur ggü. v0.1 |</w:t>
      </w:r>
    </w:p>
    <w:p>
      <w:pPr>
        <w:spacing w:after="40" w:before="0"/>
      </w:pPr>
      <w:r>
        <w:rPr>
          <w:rFonts w:ascii="Arial" w:cs="Arial" w:eastAsia="Arial" w:hAnsi="Arial"/>
          <w:sz w:val="18"/>
          <w:szCs w:val="18"/>
        </w:rPr>
        <w:t xml:space="preserve">| P11 | #11–#13 Recyclingfähigkeit: Art. 6 Abs. 1 gilt ab 12.08.2026, aber Maßstab bis DfR-Geltung = PPWD/EN 13430; DfR-Stufen ab DA+24 Mon (frühestens 2030); recycled-at-scale 2035 | Art. 6 Abs. 1/2/4 PPWR; Art. 70; Leitfaden Abschn. 6 | HOCH | ☐ | „gilt, aber Alt-Maßstab"-Kommunikation |</w:t>
      </w:r>
    </w:p>
    <w:p>
      <w:pPr>
        <w:spacing w:after="40" w:before="0"/>
      </w:pPr>
      <w:r>
        <w:rPr>
          <w:rFonts w:ascii="Arial" w:cs="Arial" w:eastAsia="Arial" w:hAnsi="Arial"/>
          <w:sz w:val="18"/>
          <w:szCs w:val="18"/>
        </w:rPr>
        <w:t xml:space="preserve">| P12 | #14/#15 Rezyklat: EU-Quoten 2030 (Art. 7, Zahlen-Pins (!) V4) + nationaler PET-Layer § 45 VerpackDG (25 % jetzt / 30 % ab 2030) als Doppel-Layer | Art. 7 PPWR; § 45 VerpackDG | HOCH | ☐ | Konkurrenzverhältnis § 45/Art. 7 (V5) |</w:t>
      </w:r>
    </w:p>
    <w:p>
      <w:pPr>
        <w:spacing w:after="40" w:before="0"/>
      </w:pPr>
      <w:r>
        <w:rPr>
          <w:rFonts w:ascii="Arial" w:cs="Arial" w:eastAsia="Arial" w:hAnsi="Arial"/>
          <w:sz w:val="18"/>
          <w:szCs w:val="18"/>
        </w:rPr>
        <w:t xml:space="preserve">| P13 | #16 Kompostierbarkeit Art. 9 (12.02.2028) inkl. DE-Negativbefund: kein Gebrauchmachen von Art. 9 Abs. 2 ersichtlich (!) V6 | Art. 9 PPWR; VerpackDG (Negativbefund) | MITTEL | ☐ | Negativbefund bitte anwaltlich bestätigen |</w:t>
      </w:r>
    </w:p>
    <w:p>
      <w:pPr>
        <w:spacing w:after="40" w:before="0"/>
      </w:pPr>
      <w:r>
        <w:rPr>
          <w:rFonts w:ascii="Arial" w:cs="Arial" w:eastAsia="Arial" w:hAnsi="Arial"/>
          <w:sz w:val="18"/>
          <w:szCs w:val="18"/>
        </w:rPr>
        <w:t xml:space="preserve">| P14 | #17/#18 Minimierung (Art. 10, 2030; bis dahin EN 13428 + § 12 Abs. 3 VerpackDG) und Leerraum (Art. 24, 2030/DA+3J) | Art. 10, 24, 70 Abs. 1 lit. b PPWR; § 12 Abs. 3 VerpackDG | MITTEL | ☐ | Divergenz § 12 Abs. 3 vs. Art. 10 (V7) |</w:t>
      </w:r>
    </w:p>
    <w:p>
      <w:pPr>
        <w:spacing w:after="40" w:before="0"/>
      </w:pPr>
      <w:r>
        <w:rPr>
          <w:rFonts w:ascii="Arial" w:cs="Arial" w:eastAsia="Arial" w:hAnsi="Arial"/>
          <w:sz w:val="18"/>
          <w:szCs w:val="18"/>
        </w:rPr>
        <w:t xml:space="preserve">| P15 | #19–#23 Kennzeichnungs-Cluster: Sortierlabel ab 12.08.2028/DA+24M; Mehrweglabel 12.02.2029/DA+30M; Alt-Transportmehrweg bis Feb 2032; Abverkauf 3 J (Art. 12 Abs. 12); EPR-Label nur digital; § 4 VerpackDG Materialkennzeichnung freiwillig-exklusiv | Art. 12 PPWR; § 4 VerpackDG; Leitfaden Abschn. 13/14 | HOCH | ☐ | Fristen-Matrix bitte komplett gegenprüfen |</w:t>
      </w:r>
    </w:p>
    <w:p>
      <w:pPr>
        <w:spacing w:after="40" w:before="0"/>
      </w:pPr>
      <w:r>
        <w:rPr>
          <w:rFonts w:ascii="Arial" w:cs="Arial" w:eastAsia="Arial" w:hAnsi="Arial"/>
          <w:sz w:val="18"/>
          <w:szCs w:val="18"/>
        </w:rPr>
        <w:t xml:space="preserve">| P16 | #24–#26 Verbote: Anhang V ab 2030 (&gt;5 % Kunststoff erfasst), Tragetaschenverbot § 12 Abs. 1 VerpackDG, EPS-/XPS-Linie (SUPD/EWKVerbotsV; XPS über Art. 67 Abs. 5 PPWR ab 2030) | Art. 25, Anhang V, Art. 67 Abs. 5 PPWR; § 12 Abs. 1 VerpackDG | MITTEL | ☐ | 5-%-Auslegung nur im Leitfaden (unverbindlich) |</w:t>
      </w:r>
    </w:p>
    <w:p>
      <w:pPr>
        <w:spacing w:after="40" w:before="0"/>
      </w:pPr>
      <w:r>
        <w:rPr>
          <w:rFonts w:ascii="Arial" w:cs="Arial" w:eastAsia="Arial" w:hAnsi="Arial"/>
          <w:sz w:val="18"/>
          <w:szCs w:val="18"/>
        </w:rPr>
        <w:t xml:space="preserve">| P17 | #27/#28 Mehrwegquoten 2030: Transport 40 % (Ausnahmen Karton, Gefahrgut, Maßanfertigung; Pflichtiger = Nutzer; erste-Lager-Logik bei Import) und Getränke 10 % (Endvertreiber; „Bereitstellen" genügt) | Art. 29 PPWR; Leitfaden Abschn. 18–23 | HOCH | ☐ | Karton-Ausnahme-Pin (V13) |</w:t>
      </w:r>
    </w:p>
    <w:p>
      <w:pPr>
        <w:spacing w:after="40" w:before="0"/>
      </w:pPr>
      <w:r>
        <w:rPr>
          <w:rFonts w:ascii="Arial" w:cs="Arial" w:eastAsia="Arial" w:hAnsi="Arial"/>
          <w:sz w:val="18"/>
          <w:szCs w:val="18"/>
        </w:rPr>
        <w:t xml:space="preserve">| P18 | #29/#30 Take-away/Refill (Art. 32/33 + §§ 60/61 VerpackDG-Fortführung; Mehrwegangebotspflicht heute) und Wiederverwendungssysteme Anhang VI | Art. 32/33, Anhang VI PPWR; §§ 60, 61 VerpackDG | MITTEL | ☐ | Zuschnitt Art. 32/33 (V14) |</w:t>
      </w:r>
    </w:p>
    <w:p>
      <w:pPr>
        <w:spacing w:after="40" w:before="0"/>
      </w:pPr>
      <w:r>
        <w:rPr>
          <w:rFonts w:ascii="Arial" w:cs="Arial" w:eastAsia="Arial" w:hAnsi="Arial"/>
          <w:sz w:val="18"/>
          <w:szCs w:val="18"/>
        </w:rPr>
        <w:t xml:space="preserve">| P19 | #31–#36 Deutscher EPR-Block: LUCID § 6 (Neuregistrierung bis 12.09.2026, Änderungsmitteilung bis 12.11.2026), Systembeteiligung § 7 (Alt-Verträge bis 31.12.2026), Vollständigkeitserklärung §§ 9/10 (Schwellen (!) V15), Rücknahme/Branchenlösungen §§ 39–43 (31.10.2027/31.12.2027), Ökomodulation §§ 26/26a (RVO ausstehend), Pfand §§ 46/47 | §§ 6, 7, 9, 10, 19, 26, 26a, 39–43, 46, 47, 66, 68 VerpackDG | HOCH | ☐ | Übergangsfristen § 68 = Kern-Dashboard-Termine |</w:t>
      </w:r>
    </w:p>
    <w:p>
      <w:pPr>
        <w:spacing w:after="40" w:before="0"/>
      </w:pPr>
      <w:r>
        <w:rPr>
          <w:rFonts w:ascii="Arial" w:cs="Arial" w:eastAsia="Arial" w:hAnsi="Arial"/>
          <w:sz w:val="18"/>
          <w:szCs w:val="18"/>
        </w:rPr>
        <w:t xml:space="preserve">| P20 | #37–#40 Lieferketten-Pflichten: Importeur Art. 18, Vertreiber Art. 19 (Registerprüfung Art. 44!), Fulfillment Art. 20 + § 13 Abs. 4, Lieferant Art. 16 | Art. 16, 18, 19, 20, 44 PPWR; § 13 VerpackDG | MITTEL | ☐ | konsistent mit Rollen-Engine A4–A6 |</w:t>
      </w:r>
    </w:p>
    <w:p>
      <w:pPr>
        <w:spacing w:after="40" w:before="0"/>
      </w:pPr>
      <w:r>
        <w:rPr>
          <w:rFonts w:ascii="Arial" w:cs="Arial" w:eastAsia="Arial" w:hAnsi="Arial"/>
          <w:sz w:val="18"/>
          <w:szCs w:val="18"/>
        </w:rPr>
        <w:t xml:space="preserve">### C.2 – Querschnitts-Prüfpositionen</w:t>
      </w:r>
    </w:p>
    <w:p>
      <w:pPr>
        <w:spacing w:after="40" w:before="0"/>
      </w:pPr>
      <w:r>
        <w:rPr>
          <w:rFonts w:ascii="Arial" w:cs="Arial" w:eastAsia="Arial" w:hAnsi="Arial"/>
          <w:sz w:val="18"/>
          <w:szCs w:val="18"/>
        </w:rPr>
        <w:t xml:space="preserve">| Nr | Prüfgegenstand | Fundstellen | Risiko | Freigabe | Anmerkung |</w:t>
      </w:r>
    </w:p>
    <w:p>
      <w:pPr>
        <w:spacing w:after="40" w:before="0"/>
      </w:pPr>
      <w:r>
        <w:rPr>
          <w:rFonts w:ascii="Arial" w:cs="Arial" w:eastAsia="Arial" w:hAnsi="Arial"/>
          <w:sz w:val="18"/>
          <w:szCs w:val="18"/>
        </w:rPr>
        <w:t xml:space="preserve">|---|---|---|---|---|---|</w:t>
      </w:r>
    </w:p>
    <w:p>
      <w:pPr>
        <w:spacing w:after="40" w:before="0"/>
      </w:pPr>
      <w:r>
        <w:rPr>
          <w:rFonts w:ascii="Arial" w:cs="Arial" w:eastAsia="Arial" w:hAnsi="Arial"/>
          <w:sz w:val="18"/>
          <w:szCs w:val="18"/>
        </w:rPr>
        <w:t xml:space="preserve">| Q1 | Kennzeichnung des Kommissions-Leitfadens C(2026)3702 in allen Datensätzen als „unverbindliche Auslegungshilfe" (Formulierung im Frontend + Handouts) | Leitfaden, Vorbemerkung (verbindliche Auslegung nur EuGH) | HOCH | ☐ | Standard-Disclaimer-Text freigeben |</w:t>
      </w:r>
    </w:p>
    <w:p>
      <w:pPr>
        <w:spacing w:after="40" w:before="0"/>
      </w:pPr>
      <w:r>
        <w:rPr>
          <w:rFonts w:ascii="Arial" w:cs="Arial" w:eastAsia="Arial" w:hAnsi="Arial"/>
          <w:sz w:val="18"/>
          <w:szCs w:val="18"/>
        </w:rPr>
        <w:t xml:space="preserve">| Q2 | EUR-Lex-Deep-Link-Konvention (…#art_N / #anx_N) – Anker-Klicktest aller 40 Datensätze vor Go-Live | Konvention S. 1 dieses Dokuments | NIEDRIG | ☐ | technischer Test, Redaktion |</w:t>
      </w:r>
    </w:p>
    <w:p>
      <w:pPr>
        <w:spacing w:after="40" w:before="0"/>
      </w:pPr>
      <w:r>
        <w:rPr>
          <w:rFonts w:ascii="Arial" w:cs="Arial" w:eastAsia="Arial" w:hAnsi="Arial"/>
          <w:sz w:val="18"/>
          <w:szCs w:val="18"/>
        </w:rPr>
        <w:t xml:space="preserve">| Q3 | Sanktionszeitschiene als produktweite Kommunikationslinie: nationale Bußgelder ab 12.08.2026; Bußgelder für PPWR-Verstöße nach § 66 Abs. 2 erst ab 12.02.2027; zivil-/marktseitige Risiken (Vertriebsverbot, Abmahnung) ab sofort | § 66 Abs. 2, § 68 Abs. 17 VerpackDG | HOCH | ☐ | darf nicht als „Schonfrist" missverstanden werden |</w:t>
      </w:r>
    </w:p>
    <w:p>
      <w:pPr>
        <w:spacing w:after="40" w:before="0"/>
      </w:pPr>
      <w:r>
        <w:rPr>
          <w:rFonts w:ascii="Arial" w:cs="Arial" w:eastAsia="Arial" w:hAnsi="Arial"/>
          <w:sz w:val="18"/>
          <w:szCs w:val="18"/>
        </w:rPr>
        <w:t xml:space="preserve">| Q4 | Entwarnungs-/Bestandsschutz-Kommunikation: „in Verkehr gebracht" = erste Bereitstellung; unverkaufte Lagerbestände beim Erzeuger fallen NICHT darunter | Art. 3 Nr. 10/11 PPWR; Leitfaden Abschn. 5 | HOCH | ☐ | betrifft #2, #10 und Assistant-Antworten |</w:t>
      </w:r>
    </w:p>
    <w:p>
      <w:pPr>
        <w:spacing w:after="40" w:before="0"/>
      </w:pPr>
      <w:r>
        <w:rPr>
          <w:rFonts w:ascii="Arial" w:cs="Arial" w:eastAsia="Arial" w:hAnsi="Arial"/>
          <w:sz w:val="18"/>
          <w:szCs w:val="18"/>
        </w:rPr>
        <w:t xml:space="preserve">| Q5 | Schema-Erweiterungen: Rollen-Enum + `lieferant`, `bevollmaechtigter_ehv`; neue Felder tatbestand/rechtsfolgen_je_rolle/ausnahmen/uebergangsregeln/verweise/verpackdg_layer | Teil B, Schema-Hinweis | NIEDRIG | ☐ | rein technisch, Kenntnisnahme |</w:t>
      </w:r>
    </w:p>
    <w:p>
      <w:pPr>
        <w:spacing w:after="40" w:before="0"/>
      </w:pPr>
      <w:r>
        <w:rPr>
          <w:rFonts w:ascii="Arial" w:cs="Arial" w:eastAsia="Arial" w:hAnsi="Arial"/>
          <w:sz w:val="18"/>
          <w:szCs w:val="18"/>
        </w:rPr>
        <w:t xml:space="preserve">Gesamtfreigabe Anforderungs-Datensätze #1–40 (v0.2): ☐ JA ☐ NEIN ☐ mit Auflagen — Datum: ________ Name: ________</w:t>
      </w:r>
    </w:p>
    <w:p>
      <w:pPr>
        <w:spacing w:after="40" w:before="0"/>
      </w:pPr>
      <w:r>
        <w:rPr>
          <w:rFonts w:ascii="Arial" w:cs="Arial" w:eastAsia="Arial" w:hAnsi="Arial"/>
          <w:sz w:val="18"/>
          <w:szCs w:val="18"/>
        </w:rPr>
        <w:t xml:space="preserve">---</w:t>
      </w:r>
    </w:p>
    <w:p>
      <w:pPr>
        <w:spacing w:after="40" w:before="0"/>
      </w:pPr>
      <w:r>
        <w:rPr>
          <w:rFonts w:ascii="Arial" w:cs="Arial" w:eastAsia="Arial" w:hAnsi="Arial"/>
          <w:sz w:val="18"/>
          <w:szCs w:val="18"/>
        </w:rPr>
        <w:t xml:space="preserve">## Teil D – Priorisierte Unsicherheiten für die Verifikationssession</w:t>
      </w:r>
    </w:p>
    <w:p>
      <w:pPr>
        <w:spacing w:after="40" w:before="0"/>
      </w:pPr>
      <w:r>
        <w:rPr>
          <w:rFonts w:ascii="Arial" w:cs="Arial" w:eastAsia="Arial" w:hAnsi="Arial"/>
          <w:sz w:val="18"/>
          <w:szCs w:val="18"/>
        </w:rPr>
        <w:t xml:space="preserve">*Sortiert nach Dringlichkeit. „Pin" = exakte Absatz-/Satz-Fundstelle im Volltext bestätigen. Alle Positionen sind in Teil B mit (!) markiert.*</w:t>
      </w:r>
    </w:p>
    <w:p>
      <w:pPr>
        <w:spacing w:after="40" w:before="0"/>
      </w:pPr>
      <w:r>
        <w:rPr>
          <w:rFonts w:ascii="Arial" w:cs="Arial" w:eastAsia="Arial" w:hAnsi="Arial"/>
          <w:sz w:val="18"/>
          <w:szCs w:val="18"/>
        </w:rPr>
        <w:t xml:space="preserve">Priorität 1 – produktkritisch (Session-Pflicht):</w:t>
      </w:r>
    </w:p>
    <w:p>
      <w:pPr>
        <w:spacing w:after="40" w:before="0"/>
      </w:pPr>
      <w:r>
        <w:rPr>
          <w:rFonts w:ascii="Arial" w:cs="Arial" w:eastAsia="Arial" w:hAnsi="Arial"/>
          <w:sz w:val="18"/>
          <w:szCs w:val="18"/>
        </w:rPr>
        <w:t xml:space="preserve">1. V4 – Art. 7 PPWR Rezyklat-Zahlen: alle 2030-Prozentsätze je Kategorie (kontaktempfindlich PET / kontaktempfindlich sonstige / Einweggetränkeflaschen / übrige) absatzgenau pinnen; Frist des Methodik-Durchführungsrechtsakts 31.12.2026 bestätigen (→ R4).</w:t>
      </w:r>
    </w:p>
    <w:p>
      <w:pPr>
        <w:spacing w:after="40" w:before="0"/>
      </w:pPr>
      <w:r>
        <w:rPr>
          <w:rFonts w:ascii="Arial" w:cs="Arial" w:eastAsia="Arial" w:hAnsi="Arial"/>
          <w:sz w:val="18"/>
          <w:szCs w:val="18"/>
        </w:rPr>
        <w:t xml:space="preserve">2. V5 – Konkurrenz § 45 VerpackDG ↔ Art. 7 PPWR: Fortgeltung der nationalen PET-Quote (25 % jetzt, 30 % alle Einweg-Kunststoff-Getränkeflaschen ab 2030) neben der EU-Quote; zugehörige Bußgeld-Nummer in § 66.</w:t>
      </w:r>
    </w:p>
    <w:p>
      <w:pPr>
        <w:spacing w:after="40" w:before="0"/>
      </w:pPr>
      <w:r>
        <w:rPr>
          <w:rFonts w:ascii="Arial" w:cs="Arial" w:eastAsia="Arial" w:hAnsi="Arial"/>
          <w:sz w:val="18"/>
          <w:szCs w:val="18"/>
        </w:rPr>
        <w:t xml:space="preserve">3. V1 – Absatz-Pins Konformitätskette: Art. 15 Abs. 8/10, Art. 18 Abs. 1/2, Art. 39 Abs. 5, Aufbewahrungsfristen (5 J Einweg / 10 J Mehrweg – Fundstelle), Art. 3 Nr. 45 („Bereitstellung auf dem Markt").</w:t>
      </w:r>
    </w:p>
    <w:p>
      <w:pPr>
        <w:spacing w:after="40" w:before="0"/>
      </w:pPr>
      <w:r>
        <w:rPr>
          <w:rFonts w:ascii="Arial" w:cs="Arial" w:eastAsia="Arial" w:hAnsi="Arial"/>
          <w:sz w:val="18"/>
          <w:szCs w:val="18"/>
        </w:rPr>
        <w:t xml:space="preserve">4. V13 – Art. 29: exakter Absatz der Karton-Ausnahme; Verhältnis zu Art. 30 (Berechnung) und Art. 31 (Reporting); erste-Lager-Logik (nur Leitfaden!) als solche kennzeichnen.</w:t>
      </w:r>
    </w:p>
    <w:p>
      <w:pPr>
        <w:spacing w:after="40" w:before="0"/>
      </w:pPr>
      <w:r>
        <w:rPr>
          <w:rFonts w:ascii="Arial" w:cs="Arial" w:eastAsia="Arial" w:hAnsi="Arial"/>
          <w:sz w:val="18"/>
          <w:szCs w:val="18"/>
        </w:rPr>
        <w:t xml:space="preserve">5. V15 – §§ 9/10 VerpackDG: Schwellenwerte der Vollständigkeitserklärung; Übergangsregel § 68 Abs. 3; zugehörige § 66-Nummern.</w:t>
      </w:r>
    </w:p>
    <w:p>
      <w:pPr>
        <w:spacing w:after="40" w:before="0"/>
      </w:pPr>
      <w:r>
        <w:rPr>
          <w:rFonts w:ascii="Arial" w:cs="Arial" w:eastAsia="Arial" w:hAnsi="Arial"/>
          <w:sz w:val="18"/>
          <w:szCs w:val="18"/>
        </w:rPr>
        <w:t xml:space="preserve">6. Q3/Q4 (aus Teil C): Sanktionszeitschiene und Lagerbestands-Kommunikation als Standard-Textbausteine anwaltlich freigeben.</w:t>
      </w:r>
    </w:p>
    <w:p>
      <w:pPr>
        <w:spacing w:after="40" w:before="0"/>
      </w:pPr>
      <w:r>
        <w:rPr>
          <w:rFonts w:ascii="Arial" w:cs="Arial" w:eastAsia="Arial" w:hAnsi="Arial"/>
          <w:sz w:val="18"/>
          <w:szCs w:val="18"/>
        </w:rPr>
        <w:t xml:space="preserve">Priorität 2 – wichtig, aber mit Workaround (Flag `nicht_ausspielen` bis Klärung):</w:t>
      </w:r>
    </w:p>
    <w:p>
      <w:pPr>
        <w:spacing w:after="40" w:before="0"/>
      </w:pPr>
      <w:r>
        <w:rPr>
          <w:rFonts w:ascii="Arial" w:cs="Arial" w:eastAsia="Arial" w:hAnsi="Arial"/>
          <w:sz w:val="18"/>
          <w:szCs w:val="18"/>
        </w:rPr>
        <w:t xml:space="preserve">7. V2 – Fortgeltung §§ 14–18 VerpackDG (Schwermetall-Ausnahmen) neben Art. 5 Abs. 4 PPWR; Streichungs-Mechanik bei DfR-Rechtsakten (Mantelgesetz Art. 4, → U9 Rollen-Engine).</w:t>
      </w:r>
    </w:p>
    <w:p>
      <w:pPr>
        <w:spacing w:after="40" w:before="0"/>
      </w:pPr>
      <w:r>
        <w:rPr>
          <w:rFonts w:ascii="Arial" w:cs="Arial" w:eastAsia="Arial" w:hAnsi="Arial"/>
          <w:sz w:val="18"/>
          <w:szCs w:val="18"/>
        </w:rPr>
        <w:t xml:space="preserve">8. V6 – Art. 9 Kompostierbarkeit: Formatliste Abs. 1 (inkl. Sticker auf Obst/Gemüse?) absatzgenau; DE-Negativbefund zu Art. 9 Abs. 2 anwaltlich bestätigen.</w:t>
      </w:r>
    </w:p>
    <w:p>
      <w:pPr>
        <w:spacing w:after="40" w:before="0"/>
      </w:pPr>
      <w:r>
        <w:rPr>
          <w:rFonts w:ascii="Arial" w:cs="Arial" w:eastAsia="Arial" w:hAnsi="Arial"/>
          <w:sz w:val="18"/>
          <w:szCs w:val="18"/>
        </w:rPr>
        <w:t xml:space="preserve">9. V9 – Art. 12 Abs. 9 (EPR-Label nur digital): Geltungszeitpunkt – ab 12.08.2026 oder mit Label-Fristen? Bis Klärung: Datensatz #22 nicht ausspielen.</w:t>
      </w:r>
    </w:p>
    <w:p>
      <w:pPr>
        <w:spacing w:after="40" w:before="0"/>
      </w:pPr>
      <w:r>
        <w:rPr>
          <w:rFonts w:ascii="Arial" w:cs="Arial" w:eastAsia="Arial" w:hAnsi="Arial"/>
          <w:sz w:val="18"/>
          <w:szCs w:val="18"/>
        </w:rPr>
        <w:t xml:space="preserve">10. V12 – § 12 Abs. 1 VerpackDG Tragetaschen: Definitionsgrenzen (Wandstärken-Mikrometer-Werte) + Bußgeld-Nummern pinnen.</w:t>
      </w:r>
    </w:p>
    <w:p>
      <w:pPr>
        <w:spacing w:after="40" w:before="0"/>
      </w:pPr>
      <w:r>
        <w:rPr>
          <w:rFonts w:ascii="Arial" w:cs="Arial" w:eastAsia="Arial" w:hAnsi="Arial"/>
          <w:sz w:val="18"/>
          <w:szCs w:val="18"/>
        </w:rPr>
        <w:t xml:space="preserve">11. V17 – § 46 Abs. 4 VerpackDG: Pfand-Ausnahmenkatalog vollständig übernehmen (Milch-Sonderfall, Diät-Getränke etc.).</w:t>
      </w:r>
    </w:p>
    <w:p>
      <w:pPr>
        <w:spacing w:after="40" w:before="0"/>
      </w:pPr>
      <w:r>
        <w:rPr>
          <w:rFonts w:ascii="Arial" w:cs="Arial" w:eastAsia="Arial" w:hAnsi="Arial"/>
          <w:sz w:val="18"/>
          <w:szCs w:val="18"/>
        </w:rPr>
        <w:t xml:space="preserve">12. V3 – Art. 6 Abs. 11: vollständige Ausnahmenliste Recyclingfähigkeit (Holz leicht, Kork, Textil, Gummi, Keramik, Porzellan, Wachs; Medizin/Gefahrgut) pinnen.</w:t>
      </w:r>
    </w:p>
    <w:p>
      <w:pPr>
        <w:spacing w:after="40" w:before="0"/>
      </w:pPr>
      <w:r>
        <w:rPr>
          <w:rFonts w:ascii="Arial" w:cs="Arial" w:eastAsia="Arial" w:hAnsi="Arial"/>
          <w:sz w:val="18"/>
          <w:szCs w:val="18"/>
        </w:rPr>
        <w:t xml:space="preserve">Priorität 3 – redaktionell/technisch:</w:t>
      </w:r>
    </w:p>
    <w:p>
      <w:pPr>
        <w:spacing w:after="40" w:before="0"/>
      </w:pPr>
      <w:r>
        <w:rPr>
          <w:rFonts w:ascii="Arial" w:cs="Arial" w:eastAsia="Arial" w:hAnsi="Arial"/>
          <w:sz w:val="18"/>
          <w:szCs w:val="18"/>
        </w:rPr>
        <w:t xml:space="preserve">13. V0 – Anker-Klicktest aller EUR-Lex-Deep-Links (Redaktion, kein Anwalt nötig).</w:t>
      </w:r>
    </w:p>
    <w:p>
      <w:pPr>
        <w:spacing w:after="40" w:before="0"/>
      </w:pPr>
      <w:r>
        <w:rPr>
          <w:rFonts w:ascii="Arial" w:cs="Arial" w:eastAsia="Arial" w:hAnsi="Arial"/>
          <w:sz w:val="18"/>
          <w:szCs w:val="18"/>
        </w:rPr>
        <w:t xml:space="preserve">14. V7 – Divergenz § 12 Abs. 3 VerpackDG vs. Art. 10 PPWR (Minimierung „so weit wie möglich" vs. „Minimum zur Funktionssicherung"): Erklärtext-Formulierung.</w:t>
      </w:r>
    </w:p>
    <w:p>
      <w:pPr>
        <w:spacing w:after="40" w:before="0"/>
      </w:pPr>
      <w:r>
        <w:rPr>
          <w:rFonts w:ascii="Arial" w:cs="Arial" w:eastAsia="Arial" w:hAnsi="Arial"/>
          <w:sz w:val="18"/>
          <w:szCs w:val="18"/>
        </w:rPr>
        <w:t xml:space="preserve">15. V8 – Art. 24: Behandlung von Polstermaterial im Leerraum-Begriff (nur Leitfaden-/Normbezug, DA ausstehend).</w:t>
      </w:r>
    </w:p>
    <w:p>
      <w:pPr>
        <w:spacing w:after="40" w:before="0"/>
      </w:pPr>
      <w:r>
        <w:rPr>
          <w:rFonts w:ascii="Arial" w:cs="Arial" w:eastAsia="Arial" w:hAnsi="Arial"/>
          <w:sz w:val="18"/>
          <w:szCs w:val="18"/>
        </w:rPr>
        <w:t xml:space="preserve">16. V10 – Art. 14 / Art. 12 Abs. 8: Pins für Green-Claims-Aussagen über Verpackungseigenschaften.</w:t>
      </w:r>
    </w:p>
    <w:p>
      <w:pPr>
        <w:spacing w:after="40" w:before="0"/>
      </w:pPr>
      <w:r>
        <w:rPr>
          <w:rFonts w:ascii="Arial" w:cs="Arial" w:eastAsia="Arial" w:hAnsi="Arial"/>
          <w:sz w:val="18"/>
          <w:szCs w:val="18"/>
        </w:rPr>
        <w:t xml:space="preserve">17. V11 – Anhang V: vollständige Verbotsliste 1:1 übernehmen (Frontend-Tabelle), inkl. 5-%-Kunststoff-Auslegung nur als Leitfaden-Hinweis.</w:t>
      </w:r>
    </w:p>
    <w:p>
      <w:pPr>
        <w:spacing w:after="40" w:before="0"/>
      </w:pPr>
      <w:r>
        <w:rPr>
          <w:rFonts w:ascii="Arial" w:cs="Arial" w:eastAsia="Arial" w:hAnsi="Arial"/>
          <w:sz w:val="18"/>
          <w:szCs w:val="18"/>
        </w:rPr>
        <w:t xml:space="preserve">18. V14 – Zuschnitt Art. 27/28/32/33 gegenüber §§ 60/61 VerpackDG (Take-away/Refill-Doppel-Layer).</w:t>
      </w:r>
    </w:p>
    <w:p>
      <w:pPr>
        <w:spacing w:after="40" w:before="0"/>
      </w:pPr>
      <w:r>
        <w:rPr>
          <w:rFonts w:ascii="Arial" w:cs="Arial" w:eastAsia="Arial" w:hAnsi="Arial"/>
          <w:sz w:val="18"/>
          <w:szCs w:val="18"/>
        </w:rPr>
        <w:t xml:space="preserve">19. V16 – §§ 26/26a VerpackDG Ökomodulation: Bezug auf Art. 45 PPWR/AbfRRL sauber zitieren; RVO-Status (→ R12).</w:t>
      </w:r>
    </w:p>
    <w:p>
      <w:pPr>
        <w:spacing w:after="40" w:before="0"/>
      </w:pPr>
      <w:r>
        <w:rPr>
          <w:rFonts w:ascii="Arial" w:cs="Arial" w:eastAsia="Arial" w:hAnsi="Arial"/>
          <w:sz w:val="18"/>
          <w:szCs w:val="18"/>
        </w:rPr>
        <w:t xml:space="preserve">Aus dem Rollen-Engine-Paket offen mitzuverhandeln: U2, U4, U5 (Fulfillment-Definitions-Pin), U7 (Leitfaden-Disclaimer = Q1), U8.</w:t>
      </w:r>
    </w:p>
    <w:p>
      <w:pPr>
        <w:spacing w:after="40" w:before="0"/>
      </w:pPr>
      <w:r>
        <w:rPr>
          <w:rFonts w:ascii="Arial" w:cs="Arial" w:eastAsia="Arial" w:hAnsi="Arial"/>
          <w:sz w:val="18"/>
          <w:szCs w:val="18"/>
        </w:rPr>
        <w:t xml:space="preserve">---</w:t>
      </w:r>
    </w:p>
    <w:p>
      <w:pPr>
        <w:spacing w:after="40" w:before="0"/>
      </w:pPr>
      <w:r>
        <w:rPr>
          <w:rFonts w:ascii="Arial" w:cs="Arial" w:eastAsia="Arial" w:hAnsi="Arial"/>
          <w:sz w:val="18"/>
          <w:szCs w:val="18"/>
        </w:rPr>
        <w:t xml:space="preserve">## Teil E – Radar-Beobachtungsliste: ausstehende EU-Rechtsakte &amp; Reviews</w:t>
      </w:r>
    </w:p>
    <w:p>
      <w:pPr>
        <w:spacing w:after="40" w:before="0"/>
      </w:pPr>
      <w:r>
        <w:rPr>
          <w:rFonts w:ascii="Arial" w:cs="Arial" w:eastAsia="Arial" w:hAnsi="Arial"/>
          <w:sz w:val="18"/>
          <w:szCs w:val="18"/>
        </w:rPr>
        <w:t xml:space="preserve">*Diese Liste speist die `update_memos`-Pipeline. Spalte „Trigger": was der Radar meldet, sobald das Ereignis eintritt. Reihenfolge nach Dringlichkeit.*</w:t>
      </w:r>
    </w:p>
    <w:p>
      <w:pPr>
        <w:spacing w:after="40" w:before="0"/>
      </w:pPr>
      <w:r>
        <w:rPr>
          <w:rFonts w:ascii="Arial" w:cs="Arial" w:eastAsia="Arial" w:hAnsi="Arial"/>
          <w:sz w:val="18"/>
          <w:szCs w:val="18"/>
        </w:rPr>
        <w:t xml:space="preserve">| Nr | Rechtsakt / Ereignis | Frist lt. PPWR | Betroffene Datensätze | Trigger |</w:t>
      </w:r>
    </w:p>
    <w:p>
      <w:pPr>
        <w:spacing w:after="40" w:before="0"/>
      </w:pPr>
      <w:r>
        <w:rPr>
          <w:rFonts w:ascii="Arial" w:cs="Arial" w:eastAsia="Arial" w:hAnsi="Arial"/>
          <w:sz w:val="18"/>
          <w:szCs w:val="18"/>
        </w:rPr>
        <w:t xml:space="preserve">|---|---|---|---|---|</w:t>
      </w:r>
    </w:p>
    <w:p>
      <w:pPr>
        <w:spacing w:after="40" w:before="0"/>
      </w:pPr>
      <w:r>
        <w:rPr>
          <w:rFonts w:ascii="Arial" w:cs="Arial" w:eastAsia="Arial" w:hAnsi="Arial"/>
          <w:sz w:val="18"/>
          <w:szCs w:val="18"/>
        </w:rPr>
        <w:t xml:space="preserve">| R8 | Durchführungsrechtsakt harmonisierte Kennzeichnung (Art. 12 Abs. 6) – Sortierlabel, Mehrweglabel, Formate | bis 12.08.2026 – unmittelbar bevorstehend! | #19, #20, #21, #22 | Erlass startet die 24-/30-Monats-Uhren → konkrete Label-Deadlines je Nutzer berechnen |</w:t>
      </w:r>
    </w:p>
    <w:p>
      <w:pPr>
        <w:spacing w:after="40" w:before="0"/>
      </w:pPr>
      <w:r>
        <w:rPr>
          <w:rFonts w:ascii="Arial" w:cs="Arial" w:eastAsia="Arial" w:hAnsi="Arial"/>
          <w:sz w:val="18"/>
          <w:szCs w:val="18"/>
        </w:rPr>
        <w:t xml:space="preserve">| R4 | Durchführungsrechtsakt Rezyklat-Berechnungsmethodik (Art. 7 Abs. 8) | 31.12.2026 | #14, #15 | Methodik + Drittland-Gleichwertigkeit → Lieferantennachweise konkretisieren |</w:t>
      </w:r>
    </w:p>
    <w:p>
      <w:pPr>
        <w:spacing w:after="40" w:before="0"/>
      </w:pPr>
      <w:r>
        <w:rPr>
          <w:rFonts w:ascii="Arial" w:cs="Arial" w:eastAsia="Arial" w:hAnsi="Arial"/>
          <w:sz w:val="18"/>
          <w:szCs w:val="18"/>
        </w:rPr>
        <w:t xml:space="preserve">| R3 | Delegierter Rechtsakt Mindest-Rotationen Mehrweg (Art. 11 Abs. 2) | 12.02.2027 | #3, #27, #28 | Rotations-Mindestzahlen je Format |</w:t>
      </w:r>
    </w:p>
    <w:p>
      <w:pPr>
        <w:spacing w:after="40" w:before="0"/>
      </w:pPr>
      <w:r>
        <w:rPr>
          <w:rFonts w:ascii="Arial" w:cs="Arial" w:eastAsia="Arial" w:hAnsi="Arial"/>
          <w:sz w:val="18"/>
          <w:szCs w:val="18"/>
        </w:rPr>
        <w:t xml:space="preserve">| R6 | Normungsauftrag Minimierung (Art. 10 Abs. 3, EN-13428-Update) | Auftrag bis 12.02.2027 | #17 | neue Norm ersetzt EN 13428 als Konformitätsvermutung |</w:t>
      </w:r>
    </w:p>
    <w:p>
      <w:pPr>
        <w:spacing w:after="40" w:before="0"/>
      </w:pPr>
      <w:r>
        <w:rPr>
          <w:rFonts w:ascii="Arial" w:cs="Arial" w:eastAsia="Arial" w:hAnsi="Arial"/>
          <w:sz w:val="18"/>
          <w:szCs w:val="18"/>
        </w:rPr>
        <w:t xml:space="preserve">| R1 | Delegierte Rechtsakte Design-for-Recycling (Art. 6 Abs. 4) | bis 01.01.2028 | #11, #12, #34 (Sortier-Folgen), #10 | DfR-Kriterien + 24-Monats-Uhr; zugleich VerpackDG-Folgeänderungen (Streichung §§ 14–18, → R10) |</w:t>
      </w:r>
    </w:p>
    <w:p>
      <w:pPr>
        <w:spacing w:after="40" w:before="0"/>
      </w:pPr>
      <w:r>
        <w:rPr>
          <w:rFonts w:ascii="Arial" w:cs="Arial" w:eastAsia="Arial" w:hAnsi="Arial"/>
          <w:sz w:val="18"/>
          <w:szCs w:val="18"/>
        </w:rPr>
        <w:t xml:space="preserve">| R7 | Durchführungsrechtsakt Leerraum-Berechnung (Art. 24 Abs. 2) | vor 12.02.2028 | #18 | Methodik + 3-Jahres-Uhr (falls später als 2030) |</w:t>
      </w:r>
    </w:p>
    <w:p>
      <w:pPr>
        <w:spacing w:after="40" w:before="0"/>
      </w:pPr>
      <w:r>
        <w:rPr>
          <w:rFonts w:ascii="Arial" w:cs="Arial" w:eastAsia="Arial" w:hAnsi="Arial"/>
          <w:sz w:val="18"/>
          <w:szCs w:val="18"/>
        </w:rPr>
        <w:t xml:space="preserve">| R5 | Harmonisierte Norm Heimkompostierbarkeit (Auftrag Art. 9 Abs. 6, erteilt bis 12.02.2026) | Norm-Erlass offen | #16 | Konformitätsvermutung erst mit OJ-Listung |</w:t>
      </w:r>
    </w:p>
    <w:p>
      <w:pPr>
        <w:spacing w:after="40" w:before="0"/>
      </w:pPr>
      <w:r>
        <w:rPr>
          <w:rFonts w:ascii="Arial" w:cs="Arial" w:eastAsia="Arial" w:hAnsi="Arial"/>
          <w:sz w:val="18"/>
          <w:szCs w:val="18"/>
        </w:rPr>
        <w:t xml:space="preserve">| R2 | Durchführungsrechtsakte recycled-at-scale (Art. 6 Abs. 5) | Anwendung 2035/DA+5J | #13 | Schwellenwerte je Materialstrom |</w:t>
      </w:r>
    </w:p>
    <w:p>
      <w:pPr>
        <w:spacing w:after="40" w:before="0"/>
      </w:pPr>
      <w:r>
        <w:rPr>
          <w:rFonts w:ascii="Arial" w:cs="Arial" w:eastAsia="Arial" w:hAnsi="Arial"/>
          <w:sz w:val="18"/>
          <w:szCs w:val="18"/>
        </w:rPr>
        <w:t xml:space="preserve">| R11 | Durchführungsrechtsakt Berechnung Mehrwegquoten (Art. 30 Abs. 3) | offen | #27, #28 | Zählweise „bereitgestellt" konkretisiert |</w:t>
      </w:r>
    </w:p>
    <w:p>
      <w:pPr>
        <w:spacing w:after="40" w:before="0"/>
      </w:pPr>
      <w:r>
        <w:rPr>
          <w:rFonts w:ascii="Arial" w:cs="Arial" w:eastAsia="Arial" w:hAnsi="Arial"/>
          <w:sz w:val="18"/>
          <w:szCs w:val="18"/>
        </w:rPr>
        <w:t xml:space="preserve">| R9 | Kommissions-Guidance/FAQ-Updates zu Anhang V | laufend | #24 | nur unverbindlich – als Auslegungshilfe kennzeichnen |</w:t>
      </w:r>
    </w:p>
    <w:p>
      <w:pPr>
        <w:spacing w:after="40" w:before="0"/>
      </w:pPr>
      <w:r>
        <w:rPr>
          <w:rFonts w:ascii="Arial" w:cs="Arial" w:eastAsia="Arial" w:hAnsi="Arial"/>
          <w:sz w:val="18"/>
          <w:szCs w:val="18"/>
        </w:rPr>
        <w:t xml:space="preserve">| R10 | Mantelgesetz Art. 4: vorprogrammierte VerpackDG-Änderungen (§ 42 ab 01.01.2027; § 60 „Einwegkunststoffgetränkebecher" ab 12.02.2028; § 12 Neufassung ab 01.01.2030; Streichung §§ 14–18 bei DfR-Erlass) | fix im BGBl | #17, #25, #29, #1 | Versions-Trigger zum jeweiligen Stichtag |</w:t>
      </w:r>
    </w:p>
    <w:p>
      <w:pPr>
        <w:spacing w:after="40" w:before="0"/>
      </w:pPr>
      <w:r>
        <w:rPr>
          <w:rFonts w:ascii="Arial" w:cs="Arial" w:eastAsia="Arial" w:hAnsi="Arial"/>
          <w:sz w:val="18"/>
          <w:szCs w:val="18"/>
        </w:rPr>
        <w:t xml:space="preserve">| R12 | Rechtsverordnung Ökomodulation (§ 26a VerpackDG) | offen | #35 | Fondsmodell/Kriterien → Kostenwirkung je Nutzer |</w:t>
      </w:r>
    </w:p>
    <w:p>
      <w:pPr>
        <w:spacing w:after="40" w:before="0"/>
      </w:pPr>
      <w:r>
        <w:rPr>
          <w:rFonts w:ascii="Arial" w:cs="Arial" w:eastAsia="Arial" w:hAnsi="Arial"/>
          <w:sz w:val="18"/>
          <w:szCs w:val="18"/>
        </w:rPr>
        <w:t xml:space="preserve">| R13 | SUPD-Evaluierung 2027 (Kohärenz mit PPWR) | 2027 | #26, #29 | mögliche Becher-/Container-Regeländerungen |</w:t>
      </w:r>
    </w:p>
    <w:p>
      <w:pPr>
        <w:spacing w:after="40" w:before="0"/>
      </w:pPr>
      <w:r>
        <w:rPr>
          <w:rFonts w:ascii="Arial" w:cs="Arial" w:eastAsia="Arial" w:hAnsi="Arial"/>
          <w:sz w:val="18"/>
          <w:szCs w:val="18"/>
        </w:rPr>
        <w:t xml:space="preserve">| R14 | Review Rezyklat-Ausnahmen (Art. 7 Abs. 12) | bis 01.01.2028 | #14 | mögliche Derogationen für kontaktempfindliche Kunststoffe |</w:t>
      </w:r>
    </w:p>
    <w:p>
      <w:pPr>
        <w:spacing w:after="40" w:before="0"/>
      </w:pPr>
      <w:r>
        <w:rPr>
          <w:rFonts w:ascii="Arial" w:cs="Arial" w:eastAsia="Arial" w:hAnsi="Arial"/>
          <w:sz w:val="18"/>
          <w:szCs w:val="18"/>
        </w:rPr>
        <w:t xml:space="preserve">---</w:t>
      </w:r>
    </w:p>
    <w:p>
      <w:pPr>
        <w:spacing w:after="40" w:before="0"/>
      </w:pPr>
      <w:r>
        <w:rPr>
          <w:rFonts w:ascii="Arial" w:cs="Arial" w:eastAsia="Arial" w:hAnsi="Arial"/>
          <w:sz w:val="18"/>
          <w:szCs w:val="18"/>
        </w:rPr>
        <w:t xml:space="preserve">## Teil F – Schema- &amp; Import-Hinweise (Kurz)</w:t>
      </w:r>
    </w:p>
    <w:p>
      <w:pPr>
        <w:spacing w:after="40" w:before="0"/>
      </w:pPr>
      <w:r>
        <w:rPr>
          <w:rFonts w:ascii="Arial" w:cs="Arial" w:eastAsia="Arial" w:hAnsi="Arial"/>
          <w:sz w:val="18"/>
          <w:szCs w:val="18"/>
        </w:rPr>
        <w:t xml:space="preserve">1. Enum-Erweiterung `betrifft_rollen`: + `lieferant`, `bevollmaechtigter_ehv` (Migration vor CSV-Import).</w:t>
      </w:r>
    </w:p>
    <w:p>
      <w:pPr>
        <w:spacing w:after="40" w:before="0"/>
      </w:pPr>
      <w:r>
        <w:rPr>
          <w:rFonts w:ascii="Arial" w:cs="Arial" w:eastAsia="Arial" w:hAnsi="Arial"/>
          <w:sz w:val="18"/>
          <w:szCs w:val="18"/>
        </w:rPr>
        <w:t xml:space="preserve">2. Neue Text-/JSONB-Felder in `anforderungen`: `tatbestand`, `rechtsfolgen_je_rolle` (jsonb, key = Rolle), `ausnahmen`, `uebergangsregeln`, `verweise` (uuid[]/text[]), `verpackdg_layer` (text, null wenn kein Doppel-Layer).</w:t>
      </w:r>
    </w:p>
    <w:p>
      <w:pPr>
        <w:spacing w:after="40" w:before="0"/>
      </w:pPr>
      <w:r>
        <w:rPr>
          <w:rFonts w:ascii="Arial" w:cs="Arial" w:eastAsia="Arial" w:hAnsi="Arial"/>
          <w:sz w:val="18"/>
          <w:szCs w:val="18"/>
        </w:rPr>
        <w:t xml:space="preserve">3. Neues Flag `ausspielen` (bool, default true): #22 startet mit `false` bis V9 geklärt (siehe Teil D Nr. 9).</w:t>
      </w:r>
    </w:p>
    <w:p>
      <w:pPr>
        <w:spacing w:after="40" w:before="0"/>
      </w:pPr>
      <w:r>
        <w:rPr>
          <w:rFonts w:ascii="Arial" w:cs="Arial" w:eastAsia="Arial" w:hAnsi="Arial"/>
          <w:sz w:val="18"/>
          <w:szCs w:val="18"/>
        </w:rPr>
        <w:t xml:space="preserve">4. Skeleton-Import: `anforderungen_import_v0_2.csv` (beiliegend) enthält die Struktur-Felder aller 40 Datensätze (id, titel, kategorie, rechtsquelle, gilt_ab, gilt_status, betrifft_rollen, betrifft_verpackungstypen, betrifft_materialien, lebensmittelkontakt, review_status, rechtsstand, version). Langtexte (kurzerklaerung, handlungsanweisung, tatbestand …) werden nach Cattwyk-Freigabe aus diesem Markdown übernommen – so bleibt das Review-Dokument die einzige Quelle bis zur Freigabe.</w:t>
      </w:r>
    </w:p>
    <w:p>
      <w:pPr>
        <w:spacing w:after="40" w:before="0"/>
      </w:pPr>
      <w:r>
        <w:rPr>
          <w:rFonts w:ascii="Arial" w:cs="Arial" w:eastAsia="Arial" w:hAnsi="Arial"/>
          <w:sz w:val="18"/>
          <w:szCs w:val="18"/>
        </w:rPr>
        <w:t xml:space="preserve">5. Versionierung: alle Datensätze starten mit `version = 2` (v0.1-Entwürfe = Version 1), `review_status = entwurf`, `rechtsstand = 2026-07-17`.</w:t>
      </w:r>
    </w:p>
    <w:p>
      <w:pPr>
        <w:spacing w:after="40" w:before="0"/>
      </w:pPr>
      <w:r>
        <w:rPr>
          <w:rFonts w:ascii="Arial" w:cs="Arial" w:eastAsia="Arial" w:hAnsi="Arial"/>
          <w:sz w:val="18"/>
          <w:szCs w:val="18"/>
        </w:rPr>
        <w:t xml:space="preserve">*Ende des Review-Pakets v0.2 – Rechtsstand 17.07.2026. Dieses Dokument erklärt, ordnet ein und priorisiert; es ersetzt keine Rechtsberatung im Einzelfall.*</w:t>
      </w:r>
    </w:p>
    <w:p>
      <w:pPr>
        <w:spacing w:after="20" w:before="60"/>
      </w:pPr>
      <w:r>
        <w:rPr>
          <w:rFonts w:ascii="Arial" w:cs="Arial" w:eastAsia="Arial" w:hAnsi="Arial"/>
          <w:b/>
          <w:bCs/>
          <w:sz w:val="18"/>
          <w:szCs w:val="18"/>
        </w:rPr>
        <w:t xml:space="preserve">VerpackDG-Ebene:</w:t>
      </w:r>
    </w:p>
    <w:p>
      <w:pPr>
        <w:spacing w:after="40" w:before="0"/>
      </w:pPr>
      <w:r>
        <w:rPr>
          <w:rFonts w:ascii="Arial" w:cs="Arial" w:eastAsia="Arial" w:hAnsi="Arial"/>
          <w:sz w:val="18"/>
          <w:szCs w:val="18"/>
        </w:rPr>
        <w:t xml:space="preserve">Kleinstunternehmen-Fall: Lieferant kann selbst Erzeuger sein (Nr. 13 lit. b → Rollen-Engine A3).</w:t>
      </w:r>
    </w:p>
    <w:p>
      <w:pPr>
        <w:pStyle w:val="Heading1"/>
        <w:pageBreakBefore/>
        <w:spacing w:after="160" w:before="0"/>
      </w:pPr>
      <w:r>
        <w:rPr>
          <w:rFonts w:ascii="Arial" w:cs="Arial" w:eastAsia="Arial" w:hAnsi="Arial"/>
          <w:b/>
          <w:bCs/>
          <w:color w:val="004494"/>
          <w:sz w:val="30"/>
          <w:szCs w:val="30"/>
        </w:rPr>
        <w:t xml:space="preserve">2. Praxisfragen (78)</w:t>
      </w:r>
    </w:p>
    <w:p>
      <w:pPr>
        <w:pStyle w:val="Heading2"/>
        <w:keepNext/>
        <w:spacing w:after="100" w:before="280"/>
      </w:pPr>
      <w:r>
        <w:rPr>
          <w:rFonts w:ascii="Arial" w:cs="Arial" w:eastAsia="Arial" w:hAnsi="Arial"/>
          <w:b/>
          <w:bCs/>
          <w:color w:val="111111"/>
          <w:sz w:val="24"/>
          <w:szCs w:val="24"/>
        </w:rPr>
        <w:t xml:space="preserve">Block A – Rollen-Grenzfälle</w:t>
      </w:r>
    </w:p>
    <w:p>
      <w:pPr>
        <w:keepNext/>
        <w:pBdr>
          <w:top w:val="single" w:color="24A27F" w:sz="4" w:space="4"/>
        </w:pBdr>
        <w:spacing w:after="40" w:before="260"/>
      </w:pPr>
      <w:r>
        <w:rPr>
          <w:rFonts w:ascii="Arial" w:cs="Arial" w:eastAsia="Arial" w:hAnsi="Arial"/>
          <w:b/>
          <w:bCs/>
          <w:color w:val="004494"/>
          <w:sz w:val="22"/>
          <w:szCs w:val="22"/>
        </w:rPr>
        <w:t xml:space="preserve">A01  </w:t>
      </w:r>
      <w:r>
        <w:rPr>
          <w:rFonts w:ascii="Arial" w:cs="Arial" w:eastAsia="Arial" w:hAnsi="Arial"/>
          <w:b/>
          <w:bCs/>
          <w:sz w:val="22"/>
          <w:szCs w:val="22"/>
        </w:rPr>
        <w:t xml:space="preserve">Lohnabfüllung: Wer ist der Erzeuger?</w:t>
      </w:r>
    </w:p>
    <w:p>
      <w:pPr>
        <w:spacing w:after="60" w:before="0"/>
      </w:pPr>
      <w:r>
        <w:rPr>
          <w:rFonts w:ascii="Arial" w:cs="Arial" w:eastAsia="Arial" w:hAnsi="Arial"/>
          <w:color w:val="6B7280"/>
          <w:sz w:val="16"/>
          <w:szCs w:val="16"/>
        </w:rPr>
        <w:t xml:space="preserve">Rollen / EPR · rechtsverbindlich · Rechtsstand 2026-10-17 · Bezug: #08, #04, #06</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Wir lassen unsere Marmelade bei einem Lohnabfüller abfüllen – der sagt jetzt, WIR seien der „Erzeuger“. Unter dem VerpackG war doch immer der Abfüller der Hersteller?</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Die PPWR trennt zwei Rollen, die das VerpackG in „Hersteller“ bündelte. Erzeuger (Konformitätsschiene) ist, wer die Verpackung oder das verpackte Produkt unter eigenem Namen oder eigener Marke entwickeln oder herstellen LÄSST – das eigene Abfüllen ist nicht nötig (Art. 3 Abs. 1 Nr. 13 lit. a PPWR). Läuft die Marmelade unter Ihrer Marke, sind Sie der Erzeuger, nicht der Lohnabfüller. Folge: Sie verantworten Konformitätsbewertung (Art. 38), technische Dokumentation (Anhang VII) und EU-Konformitätserklärung (Art. 39) – auch wenn Dritte zuarbeiten (Art. 15 Abs. 2). Die davon getrennte EPR-Rolle „Hersteller“ (Registrierung, Systembeteiligung) ist gesondert zu prüfen (siehe A02). Quellen: Art. 3 Abs. 1 Nr. 13 lit. a, Art. 15 Abs. 1 u. 2, Art. 38, Art. 39 PPWR; Leitfaden C(2026) 3702, Abschn. 2 (unverbindliche Auslegung der EU-Kommission). Grenze: Ist Ihr Unternehmen ein Kleinstunternehmen, kann die Erzeuger-Rolle auf den Verpackungslieferanten übergehen (Nr. 13 lit. b, siehe A04).</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13 lit. a PPWR; Art. 15 Abs. 1 u. 2 PPWR; Leitfaden C(2026) 3702 Abschn. 2</w:t>
      </w:r>
    </w:p>
    <w:p>
      <w:pPr>
        <w:keepNext/>
        <w:pBdr>
          <w:top w:val="single" w:color="24A27F" w:sz="4" w:space="4"/>
        </w:pBdr>
        <w:spacing w:after="40" w:before="260"/>
      </w:pPr>
      <w:r>
        <w:rPr>
          <w:rFonts w:ascii="Arial" w:cs="Arial" w:eastAsia="Arial" w:hAnsi="Arial"/>
          <w:b/>
          <w:bCs/>
          <w:color w:val="004494"/>
          <w:sz w:val="22"/>
          <w:szCs w:val="22"/>
        </w:rPr>
        <w:t xml:space="preserve">A02  </w:t>
      </w:r>
      <w:r>
        <w:rPr>
          <w:rFonts w:ascii="Arial" w:cs="Arial" w:eastAsia="Arial" w:hAnsi="Arial"/>
          <w:b/>
          <w:bCs/>
          <w:sz w:val="22"/>
          <w:szCs w:val="22"/>
        </w:rPr>
        <w:t xml:space="preserve">Lohnabfüllung: Wer registriert und lizenziert?</w:t>
      </w:r>
    </w:p>
    <w:p>
      <w:pPr>
        <w:spacing w:after="60" w:before="0"/>
      </w:pPr>
      <w:r>
        <w:rPr>
          <w:rFonts w:ascii="Arial" w:cs="Arial" w:eastAsia="Arial" w:hAnsi="Arial"/>
          <w:color w:val="6B7280"/>
          <w:sz w:val="16"/>
          <w:szCs w:val="16"/>
        </w:rPr>
        <w:t xml:space="preserve">Rollen / EPR · unverbindliche Auslegung · Rechtsstand 2026-10-17 · Bezug: #08, #31, #32</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Und wer von uns beiden muss dann bei LUCID registriert sein und lizenzieren – wir als Markeninhaber oder unser Lohnabfüller?</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Die EPR-Rolle „Hersteller“ trägt, wer das verpackte Produkt erstmals im Bundesgebiet bereitstellt (Art. 3 Abs. 1 Nr. 15 lit. b PPWR). „Bereitstellung“ ist jede entgeltliche oder unentgeltliche Abgabe zum Vertrieb, Verbrauch oder zur Verwendung (Nr. 11). Bei klassischer Lohnfertigung bleibt die Ware im Eigentum des Auftraggebers; die erste Abgabe in die Lieferkette erfolgt dann durch den Auftraggeber – nach dieser Lesart sind SIE der Hersteller und müssen registrieren (§ 6 VerpackDG) und sich an einem System beteiligen (§ 7). Verkauft der Abfüller die befüllte Ware dagegen an Sie, stellt ER erstmals bereit (vgl. A03). Folge: Vertragskonstellation prüfen (Eigentumsübergang, wer gibt an wen ab); Rollen-Check je Produktlinie. Quellen: Art. 3 Abs. 1 Nr. 11 u. 15 lit. b PPWR; §§ 6, 7 VerpackDG; Leitfaden Abschn. 3 (unverbindlich: „Hersteller ist regelmäßig der Abfüller, der erstmals bereitstellt“). Grenze: Die Zuordnung bei Lohnfertigung ohne Eigentumsübergang ist im Leitfaden nicht ausdrücklich behandelt – Auslegung, in der Cattwyk-Session zu bestätigen (!).</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11 PPWR; Art. 3 Abs. 1 Nr. 15 lit. b PPWR; §§ 6, 7 VerpackDG; Leitfaden C(2026) 3702 Abschn. 3</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 Lohnfertigungs-Zuordnung in Session bestätigen</w:t>
      </w:r>
    </w:p>
    <w:p>
      <w:pPr>
        <w:keepNext/>
        <w:pBdr>
          <w:top w:val="single" w:color="24A27F" w:sz="4" w:space="4"/>
        </w:pBdr>
        <w:spacing w:after="40" w:before="260"/>
      </w:pPr>
      <w:r>
        <w:rPr>
          <w:rFonts w:ascii="Arial" w:cs="Arial" w:eastAsia="Arial" w:hAnsi="Arial"/>
          <w:b/>
          <w:bCs/>
          <w:color w:val="004494"/>
          <w:sz w:val="22"/>
          <w:szCs w:val="22"/>
        </w:rPr>
        <w:t xml:space="preserve">A03  </w:t>
      </w:r>
      <w:r>
        <w:rPr>
          <w:rFonts w:ascii="Arial" w:cs="Arial" w:eastAsia="Arial" w:hAnsi="Arial"/>
          <w:b/>
          <w:bCs/>
          <w:sz w:val="22"/>
          <w:szCs w:val="22"/>
        </w:rPr>
        <w:t xml:space="preserve">Handels-Eigenmarke: Wer trägt welche Rolle?</w:t>
      </w:r>
    </w:p>
    <w:p>
      <w:pPr>
        <w:spacing w:after="60" w:before="0"/>
      </w:pPr>
      <w:r>
        <w:rPr>
          <w:rFonts w:ascii="Arial" w:cs="Arial" w:eastAsia="Arial" w:hAnsi="Arial"/>
          <w:color w:val="6B7280"/>
          <w:sz w:val="16"/>
          <w:szCs w:val="16"/>
        </w:rPr>
        <w:t xml:space="preserve">Rollen / EPR · rechtsverbindlich · Rechtsstand 2026-10-17 · Bezug: #08, #31, #32, #33</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Wir produzieren Fertiggerichte als Eigenmarke für eine große Handelskette. Wer ist jetzt was – wir oder der Händler?</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Beim mehrstufigen Private Label fallen die Rollen typischerweise auseinander. Erzeuger ist der Händler, weil das Produkt unter SEINER Marke hergestellt wird (Art. 3 Abs. 1 Nr. 13 lit. a PPWR) – er trägt die Konformitätsverantwortung (Art. 15). Hersteller (EPR) sind dagegen SIE, weil Sie das verpackte Produkt erstmals im Bundesgebiet bereitstellen, nämlich durch den Verkauf an den Händler (Nr. 15 lit. b). Folge: Der Händler braucht Konformitätsbewertung, technische Doku und Konformitätserklärung; Sie brauchen Registrierung (§ 6 VerpackDG), Systembeteiligung (§ 7) und Datenmeldung (§ 9). Unter dem VerpackG lag beides beim Erstinverkehrbringer – diese Bündelung gibt es nicht mehr. Quellen: Art. 3 Abs. 1 Nr. 13 lit. a u. Nr. 15 lit. b, Art. 15 PPWR; §§ 6, 7, 9 VerpackDG; Leitfaden Abschn. 2 u. 3 (unverbindliche Auslegung: Abfüller = regelmäßig Hersteller bei Verkaufsverpackungen). Grenze: Bei Kleinstunternehmen-Konstellationen und bei Direktbelieferung anderer Mitgliedstaaten verschieben sich die Rollen (A04, A16).</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13 lit. a PPWR; Art. 3 Abs. 1 Nr. 15 lit. b PPWR; §§ 6, 7, 9 VerpackDG; Leitfaden C(2026) 3702 Abschn. 2 u. 3</w:t>
      </w:r>
    </w:p>
    <w:p>
      <w:pPr>
        <w:keepNext/>
        <w:pBdr>
          <w:top w:val="single" w:color="24A27F" w:sz="4" w:space="4"/>
        </w:pBdr>
        <w:spacing w:after="40" w:before="260"/>
      </w:pPr>
      <w:r>
        <w:rPr>
          <w:rFonts w:ascii="Arial" w:cs="Arial" w:eastAsia="Arial" w:hAnsi="Arial"/>
          <w:b/>
          <w:bCs/>
          <w:color w:val="004494"/>
          <w:sz w:val="22"/>
          <w:szCs w:val="22"/>
        </w:rPr>
        <w:t xml:space="preserve">A04  </w:t>
      </w:r>
      <w:r>
        <w:rPr>
          <w:rFonts w:ascii="Arial" w:cs="Arial" w:eastAsia="Arial" w:hAnsi="Arial"/>
          <w:b/>
          <w:bCs/>
          <w:sz w:val="22"/>
          <w:szCs w:val="22"/>
        </w:rPr>
        <w:t xml:space="preserve">Kleiner Onlineshop mit Logo-Ware: Erzeuger?</w:t>
      </w:r>
    </w:p>
    <w:p>
      <w:pPr>
        <w:spacing w:after="60" w:before="0"/>
      </w:pPr>
      <w:r>
        <w:rPr>
          <w:rFonts w:ascii="Arial" w:cs="Arial" w:eastAsia="Arial" w:hAnsi="Arial"/>
          <w:color w:val="6B7280"/>
          <w:sz w:val="16"/>
          <w:szCs w:val="16"/>
        </w:rPr>
        <w:t xml:space="preserve">Rollen / EPR · rechtsverbindlich · Rechtsstand 2026-10-17 · Bezug: #08</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Wir sind ein kleiner Onlineshop (6 Leute) und lassen Kerzen mit unserem Logo produzieren. Stimmt es, dass wir uns um die ganze Konformitätsbürokratie NICHT kümmern müssen?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Ja, wenn die Kleinstunternehmen-Ausnahme greift: Fällt der Markeninhaber unter die am 11.02.2025 geltende Kleinstunternehmen-Definition der Empfehlung 2003/361/EG (unter 10 Beschäftigte UND Jahresumsatz oder Bilanzsumme max. 2 Mio. €) und sitzt der Verpackungslieferant im SELBEN Mitgliedstaat, gilt der Lieferant als Erzeuger (Art. 3 Abs. 1 Nr. 13 lit. b PPWR). Folge: Konformitätsbewertung, technische Doku und EU-Konformitätserklärung liegen dann beim Lieferanten – unabhängig davon, ob dieser selbst ein Kleinstunternehmen ist (Leitfaden Abschn. 2). Ihre EPR-Pflichten als Hersteller (Registrierung, Systembeteiligung) bleiben davon UNBERÜHRT. Quellen: Art. 3 Abs. 1 Nr. 13 lit. b PPWR; Empfehlung 2003/361/EG (Fassung 11.02.2025); Leitfaden C(2026) 3702 Abschn. 2 (unverbindliche Auslegung). Grenze: Verbundene Unternehmen werden mitgerechnet (A05); bezieht Ihr Lieferant aus einem anderen Mitgliedstaat oder Drittland, greift lit. b nicht (A06).</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13 lit. b PPWR; Empfehlung 2003/361/EG; Leitfaden C(2026) 3702 Abschn. 2</w:t>
      </w:r>
    </w:p>
    <w:p>
      <w:pPr>
        <w:keepNext/>
        <w:pBdr>
          <w:top w:val="single" w:color="24A27F" w:sz="4" w:space="4"/>
        </w:pBdr>
        <w:spacing w:after="40" w:before="260"/>
      </w:pPr>
      <w:r>
        <w:rPr>
          <w:rFonts w:ascii="Arial" w:cs="Arial" w:eastAsia="Arial" w:hAnsi="Arial"/>
          <w:b/>
          <w:bCs/>
          <w:color w:val="004494"/>
          <w:sz w:val="22"/>
          <w:szCs w:val="22"/>
        </w:rPr>
        <w:t xml:space="preserve">A05  </w:t>
      </w:r>
      <w:r>
        <w:rPr>
          <w:rFonts w:ascii="Arial" w:cs="Arial" w:eastAsia="Arial" w:hAnsi="Arial"/>
          <w:b/>
          <w:bCs/>
          <w:sz w:val="22"/>
          <w:szCs w:val="22"/>
        </w:rPr>
        <w:t xml:space="preserve">Franchise: Zählen wir als Kleinstunternehmen?</w:t>
      </w:r>
    </w:p>
    <w:p>
      <w:pPr>
        <w:spacing w:after="60" w:before="0"/>
      </w:pPr>
      <w:r>
        <w:rPr>
          <w:rFonts w:ascii="Arial" w:cs="Arial" w:eastAsia="Arial" w:hAnsi="Arial"/>
          <w:color w:val="6B7280"/>
          <w:sz w:val="16"/>
          <w:szCs w:val="16"/>
        </w:rPr>
        <w:t xml:space="preserve">Rollen / EPR · unverbindliche Auslegung · Rechtsstand 2026-10-17 · Bezug: #08</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Wir sind ein Franchise-Betrieb mit 4 Mitarbeitern – zählen wir als Kleinstunternehmen, oder zählt da der ganze Franchise-Verbund?</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Für die Kleinstunternehmen-Prüfung (Art. 3 Abs. 1 Nr. 13 lit. b, Art. 21 UAbs. 2 PPWR) sind verbundene und Partnerunternehmen nach Art. 3 des Anhangs der Empfehlung 2003/361/EG einzubeziehen. Der Leitfaden konkretisiert für Franchise: Ein Franchisenehmer kann Kleinstunternehmen sein, wenn der Franchisegeber nicht direkt oder indirekt 25 % oder mehr des Kapitals oder der Stimmrechte hält und keine Kontrolle oder keinen beherrschenden Einfluss ausübt; andernfalls sind die Daten des Franchisegebers hinzuzurechnen. Folge: Prüfen Sie den Franchisevertrag auf Beteiligungs- und Kontrollrechte; erst danach steht fest, ob die Erzeuger-Entlastung greift. Quellen: Art. 3 Abs. 1 Nr. 13 lit. b PPWR; Empfehlung 2003/361/EG, Anhang Art. 3; Leitfaden C(2026) 3702 Abschn. 2 (unverbindliche Auslegung der EU-Kommission). Grenze: Die Franchise-Aussage stammt allein aus dem Leitfaden und ist rechtlich nicht bindend; bei Kontroll-Zweifelsfällen Einzelfallberatung (Eskalation, vgl. U8 Rollen-Engine).</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13 lit. b PPWR; Empfehlung 2003/361/EG Anhang Art. 3; Leitfaden C(2026) 3702 Abschn. 2</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 U8: Verbund-/Franchise-Eskalationsschwelle</w:t>
      </w:r>
    </w:p>
    <w:p>
      <w:pPr>
        <w:keepNext/>
        <w:pBdr>
          <w:top w:val="single" w:color="24A27F" w:sz="4" w:space="4"/>
        </w:pBdr>
        <w:spacing w:after="40" w:before="260"/>
      </w:pPr>
      <w:r>
        <w:rPr>
          <w:rFonts w:ascii="Arial" w:cs="Arial" w:eastAsia="Arial" w:hAnsi="Arial"/>
          <w:b/>
          <w:bCs/>
          <w:color w:val="004494"/>
          <w:sz w:val="22"/>
          <w:szCs w:val="22"/>
        </w:rPr>
        <w:t xml:space="preserve">A06  </w:t>
      </w:r>
      <w:r>
        <w:rPr>
          <w:rFonts w:ascii="Arial" w:cs="Arial" w:eastAsia="Arial" w:hAnsi="Arial"/>
          <w:b/>
          <w:bCs/>
          <w:sz w:val="22"/>
          <w:szCs w:val="22"/>
        </w:rPr>
        <w:t xml:space="preserve">Kleinstunternehmen mit EU-Lieferant: Wer haftet?</w:t>
      </w:r>
    </w:p>
    <w:p>
      <w:pPr>
        <w:spacing w:after="60" w:before="0"/>
      </w:pPr>
      <w:r>
        <w:rPr>
          <w:rFonts w:ascii="Arial" w:cs="Arial" w:eastAsia="Arial" w:hAnsi="Arial"/>
          <w:color w:val="6B7280"/>
          <w:sz w:val="16"/>
          <w:szCs w:val="16"/>
        </w:rPr>
        <w:t xml:space="preserve">Rollen / EPR · rechtsverbindlich · Rechtsstand 2026-10-17 · Bezug: #08, #31, #33</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Kleinstunternehmen wie wir sind doch befreit – unser Tütenlieferant sitzt allerdings in Polen. Ändert das was?</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Ja, entscheidend. Die Kleinstunternehmen-Entlastung des Art. 3 Abs. 1 Nr. 13 lit. b PPWR setzt zwingend voraus, dass der Verpackungslieferant im SELBEN Mitgliedstaat ansässig ist wie Sie. Sitzt er in Polen und Sie in Deutschland, ist die Bedingung nicht erfüllt. Folge: Sie bleiben trotz Kleinstunternehmen-Status Erzeuger nach lit. a und tragen die volle Konformitätsverantwortung (Art. 15, 38, 39 PPWR). Es gibt auch keine allgemeine „Kleinunternehmer-Befreiung“ von den EPR-Pflichten: Registrierung und Systembeteiligung gelten größenunabhängig (§§ 6, 7 VerpackDG); lediglich Melde-Erleichterungen unter 10 Tonnen (§ 9 Abs. 2) und VE-Schwellen (§ 10 Abs. 4) knüpfen an Mengen an. Quellen: Art. 3 Abs. 1 Nr. 13 lit. a u. b PPWR; §§ 6, 7 VerpackDG; § 9 Abs. 2 VerpackDG; § 10 Abs. 4 VerpackDG. Grenze: Keine – der Wortlaut „im selben Mitgliedstaat“ ist eindeutig.</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13 lit. a u. b PPWR; §§ 6, 7 VerpackDG; § 9 Abs. 2 VerpackDG; § 10 Abs. 4 VerpackDG</w:t>
      </w:r>
    </w:p>
    <w:p>
      <w:pPr>
        <w:keepNext/>
        <w:pBdr>
          <w:top w:val="single" w:color="24A27F" w:sz="4" w:space="4"/>
        </w:pBdr>
        <w:spacing w:after="40" w:before="260"/>
      </w:pPr>
      <w:r>
        <w:rPr>
          <w:rFonts w:ascii="Arial" w:cs="Arial" w:eastAsia="Arial" w:hAnsi="Arial"/>
          <w:b/>
          <w:bCs/>
          <w:color w:val="004494"/>
          <w:sz w:val="22"/>
          <w:szCs w:val="22"/>
        </w:rPr>
        <w:t xml:space="preserve">A07  </w:t>
      </w:r>
      <w:r>
        <w:rPr>
          <w:rFonts w:ascii="Arial" w:cs="Arial" w:eastAsia="Arial" w:hAnsi="Arial"/>
          <w:b/>
          <w:bCs/>
          <w:sz w:val="22"/>
          <w:szCs w:val="22"/>
        </w:rPr>
        <w:t xml:space="preserve">Auspacken von Palettenware: Neue Pflichten?</w:t>
      </w:r>
    </w:p>
    <w:p>
      <w:pPr>
        <w:spacing w:after="60" w:before="0"/>
      </w:pPr>
      <w:r>
        <w:rPr>
          <w:rFonts w:ascii="Arial" w:cs="Arial" w:eastAsia="Arial" w:hAnsi="Arial"/>
          <w:color w:val="6B7280"/>
          <w:sz w:val="16"/>
          <w:szCs w:val="16"/>
        </w:rPr>
        <w:t xml:space="preserve">Rollen / EPR · rechtsverbindlich · Rechtsstand 2026-10-17 · Bezug: #08, #31, #32</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Wir sind Großhändler und packen importierte Palettenware aus, um sie neu zu kommissionieren. Ein Berater meint, wir seien jetzt „Hersteller“ – wir stellen doch gar nichts her?!</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Der Berater hat vermutlich recht. „Hersteller“ ist in der PPWR keine Produktionsrolle, sondern die EPR-Rolle. Nach dem Auffangtatbestand des Art. 3 Abs. 1 Nr. 15 lit. e PPWR ist Hersteller, wer in einem Mitgliedstaat niedergelassen ist und verpackte Produkte AUSPACKT, ohne Endabnehmer zu sein – es sei denn, eine andere Person ist bereits Hersteller nach lit. a–d. Bei Direktimporten gibt es vor Ihnen niemanden in der deutschen Lieferkette, also greift lit. e bei Ihnen. Folge: Registrierung bei der ZSVR bereits VOR dem Auspacken (§ 6 Abs. 1 VerpackDG), Systembeteiligung vor dem Auspacken (§ 7 Abs. 1), Datenmeldung (§ 9); ohne Registrierung gilt ein Auspack-Verbot (§ 13 Abs. 1). Quellen: Art. 3 Abs. 1 Nr. 15 lit. e PPWR; §§ 6 Abs. 1, 7 Abs. 1, 9, 13 Abs. 1 VerpackDG. Grenze: Verwenden Sie die ausgepackte Ware selbst (Endabnehmer), greift lit. e nicht (A08).</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15 lit. e PPWR; § 6 Abs. 1 VerpackDG; § 7 Abs. 1 VerpackDG; § 13 Abs. 1 VerpackDG</w:t>
      </w:r>
    </w:p>
    <w:p>
      <w:pPr>
        <w:keepNext/>
        <w:pBdr>
          <w:top w:val="single" w:color="24A27F" w:sz="4" w:space="4"/>
        </w:pBdr>
        <w:spacing w:after="40" w:before="260"/>
      </w:pPr>
      <w:r>
        <w:rPr>
          <w:rFonts w:ascii="Arial" w:cs="Arial" w:eastAsia="Arial" w:hAnsi="Arial"/>
          <w:b/>
          <w:bCs/>
          <w:color w:val="004494"/>
          <w:sz w:val="22"/>
          <w:szCs w:val="22"/>
        </w:rPr>
        <w:t xml:space="preserve">A08  </w:t>
      </w:r>
      <w:r>
        <w:rPr>
          <w:rFonts w:ascii="Arial" w:cs="Arial" w:eastAsia="Arial" w:hAnsi="Arial"/>
          <w:b/>
          <w:bCs/>
          <w:sz w:val="22"/>
          <w:szCs w:val="22"/>
        </w:rPr>
        <w:t xml:space="preserve">Auspacker-Regel: Betrifft uns das?</w:t>
      </w:r>
    </w:p>
    <w:p>
      <w:pPr>
        <w:spacing w:after="60" w:before="0"/>
      </w:pPr>
      <w:r>
        <w:rPr>
          <w:rFonts w:ascii="Arial" w:cs="Arial" w:eastAsia="Arial" w:hAnsi="Arial"/>
          <w:color w:val="6B7280"/>
          <w:sz w:val="16"/>
          <w:szCs w:val="16"/>
        </w:rPr>
        <w:t xml:space="preserve">Rollen / EPR · rechtsverbindlich · Rechtsstand 2026-10-17 · Bezug: #08, #34</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Unser Betrieb packt angelieferte Kartons von deutschen Lieferanten aus und wirft die Verpackung weg. Müssen wir uns deshalb registrieren lassen?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In dieser Konstellation regelmäßig nein, aus zwei Gründen. Erstens ist der Auspacker-Tatbestand subsidiär: Er greift nur, wenn NICHT bereits eine andere Person Hersteller nach Art. 3 Abs. 1 Nr. 15 lit. a–d PPWR ist. Bei Ware von deutschen Lieferanten hat deren erste Bereitstellung im Bundesgebiet die Herstellerrolle bereits beim Lieferanten (oder davor) begründet. Zweitens sind Sie, wenn Sie das Produkt selbst verwenden und nicht in der gelieferten Form weitervertreiben, Endabnehmer (Nr. 23) – und der Auspacker-Tatbestand setzt gerade voraus, dass man KEIN Endabnehmer ist. Folge: Keine Registrierungspflicht aus dem Auspacken; als gewerblicher Endabnehmer können Sie für B2B-Verpackungen die unentgeltliche Rücknahme durch Hersteller/Vertreiber verlangen (§ 39 Abs. 1 VerpackDG). Quellen: Art. 3 Abs. 1 Nr. 15 lit. e u. Nr. 23 PPWR; § 39 Abs. 1 VerpackDG. Grenze: Anders bei Direktbezug aus dem Ausland ohne vorherigen deutschen Hersteller (A07) oder wenn Sie umverpackt weiterversenden (A09).</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15 lit. e PPWR; Art. 3 Abs. 1 Nr. 23 PPWR; § 39 Abs. 1 VerpackDG</w:t>
      </w:r>
    </w:p>
    <w:p>
      <w:pPr>
        <w:keepNext/>
        <w:pBdr>
          <w:top w:val="single" w:color="24A27F" w:sz="4" w:space="4"/>
        </w:pBdr>
        <w:spacing w:after="40" w:before="260"/>
      </w:pPr>
      <w:r>
        <w:rPr>
          <w:rFonts w:ascii="Arial" w:cs="Arial" w:eastAsia="Arial" w:hAnsi="Arial"/>
          <w:b/>
          <w:bCs/>
          <w:color w:val="004494"/>
          <w:sz w:val="22"/>
          <w:szCs w:val="22"/>
        </w:rPr>
        <w:t xml:space="preserve">A09  </w:t>
      </w:r>
      <w:r>
        <w:rPr>
          <w:rFonts w:ascii="Arial" w:cs="Arial" w:eastAsia="Arial" w:hAnsi="Arial"/>
          <w:b/>
          <w:bCs/>
          <w:sz w:val="22"/>
          <w:szCs w:val="22"/>
        </w:rPr>
        <w:t xml:space="preserve">Fulfillment für Drittland-Kunden: Unsere Rolle?</w:t>
      </w:r>
    </w:p>
    <w:p>
      <w:pPr>
        <w:spacing w:after="60" w:before="0"/>
      </w:pPr>
      <w:r>
        <w:rPr>
          <w:rFonts w:ascii="Arial" w:cs="Arial" w:eastAsia="Arial" w:hAnsi="Arial"/>
          <w:color w:val="6B7280"/>
          <w:sz w:val="16"/>
          <w:szCs w:val="16"/>
        </w:rPr>
        <w:t xml:space="preserve">Rollen / EPR · unverbindliche Auslegung · Rechtsstand 2026-10-17 · Bezug: #39, #08, #31</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Wir sind Fulfillment-Dienstleister und packen für einen US-Kunden Container-Ware in kleinere Sendungen um. Die Ware gehört uns nie – kann uns das Verpackungsrecht trotzdem treffen?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Ja, doppelt. Erstens gelten für Sie als Fulfilment-Dienstleister (Definition über Art. 3 Abs. 1 UAbs. 3 PPWR i. V. m. Art. 3 Nr. 11 VO (EU) 2019/1020: mindestens zwei Leistungen aus Lagerhaltung, Verpackung, Adressierung, Versand ohne Eigentum) die Pflichten des Art. 20 PPWR sowie § 13 Abs. 4 VerpackDG: Sie dürfen für nicht ordnungsgemäß registrierte Hersteller nicht tätig werden; die ZSVR stellt dafür einen automatisierten Datenabgleich bereit. Zweitens werden Sie beim Umpacken importierter Drittlandsware nach der Kommissions-Auslegung selbst Hersteller der Transportverpackung nach Art. 3 Abs. 1 Nr. 15 lit. e – ausdrücklich AUCH ohne Eigentum an der Ware; Logistiker, die importierte Ware auspacken oder umpacken, sind keine Endabnehmer (Leitfaden Abschn. 3, letzter Absatz). Folge: eigene Registrierung vor dem Auspacken (§ 6 Abs. 1), Systembeteiligung soweit systembeteiligungspflichtig, plus Kunden-Screening gegen LUCID. Quellen: Art. 3 Abs. 1 UAbs. 3, Art. 3 Abs. 1 Nr. 15 lit. e, Art. 20, Art. 45 Abs. 7 PPWR; § 13 Abs. 4, § 6 Abs. 1 VerpackDG; Leitfaden Abschn. 3 (unverbindliche Auslegung). Grenze: Der genaue Definitionswortlaut der VO 2019/1020 liegt nicht in den Projektquellen (U5) – Wortlaut-Pin in der Session.</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15 lit. e PPWR; Art. 20 PPWR; § 13 Abs. 4 VerpackDG; Leitfaden C(2026) 3702 Abschn. 3</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 U5: Wortlaut VO 2019/1020 pinnen</w:t>
      </w:r>
    </w:p>
    <w:p>
      <w:pPr>
        <w:keepNext/>
        <w:pBdr>
          <w:top w:val="single" w:color="24A27F" w:sz="4" w:space="4"/>
        </w:pBdr>
        <w:spacing w:after="40" w:before="260"/>
      </w:pPr>
      <w:r>
        <w:rPr>
          <w:rFonts w:ascii="Arial" w:cs="Arial" w:eastAsia="Arial" w:hAnsi="Arial"/>
          <w:b/>
          <w:bCs/>
          <w:color w:val="004494"/>
          <w:sz w:val="22"/>
          <w:szCs w:val="22"/>
        </w:rPr>
        <w:t xml:space="preserve">A10  </w:t>
      </w:r>
      <w:r>
        <w:rPr>
          <w:rFonts w:ascii="Arial" w:cs="Arial" w:eastAsia="Arial" w:hAnsi="Arial"/>
          <w:b/>
          <w:bCs/>
          <w:sz w:val="22"/>
          <w:szCs w:val="22"/>
        </w:rPr>
        <w:t xml:space="preserve">US-Konzern mit Zweigniederlassung: Wer ist Hersteller?</w:t>
      </w:r>
    </w:p>
    <w:p>
      <w:pPr>
        <w:spacing w:after="60" w:before="0"/>
      </w:pPr>
      <w:r>
        <w:rPr>
          <w:rFonts w:ascii="Arial" w:cs="Arial" w:eastAsia="Arial" w:hAnsi="Arial"/>
          <w:color w:val="6B7280"/>
          <w:sz w:val="16"/>
          <w:szCs w:val="16"/>
        </w:rPr>
        <w:t xml:space="preserve">Rollen / EPR · rechtsverbindlich · Rechtsstand 2026-10-17 · Bezug: #37, #09</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Unser US-Mutterkonzern hat in Deutschland nur eine Zweigniederlassung mit Umsatzsteuernummer. Reicht die, um als Importeur aufzutreten und die Registrierung zu machen?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Nein. Importeur kann nur eine IN DER UNION ANSÄSSIGE natürliche oder juristische Person sein (Art. 3 Abs. 1 Nr. 17 PPWR). Nach der Kommissions-Auslegung erfüllt eine unselbstständige Zweigniederlassung dieses Merkmal nicht: Sie hat keine eigene Rechtspersönlichkeit, handelt nur unter der Identität der Muttergesellschaft und kann daher weder Importeur noch Vertreiber im Sinne der PPWR sein; eine bloße Umsatzsteuer-Registrierung oder steuerliche Betriebsstätte genügt ausdrücklich nicht (Leitfaden Abschn. 4, mit EuGH-Nachweisen). Folge: Der Konzern braucht entweder eine EU-Tochtergesellschaft mit eigener Rechtspersönlichkeit oder – für die EPR-Schiene bei Direktvertrieb – einen Bevollmächtigten für die erweiterte Herstellerverantwortung (§ 5 Abs. 2 VerpackDG); für die Konformitätsschiene kann der Erzeuger einen Bevollmächtigten nach Art. 17 mandatieren. Quellen: Art. 3 Abs. 1 Nr. 17 u. 19 PPWR; Art. 17 PPWR; § 5 Abs. 2 VerpackDG; Leitfaden C(2026) 3702 Abschn. 4 (unverbindliche Auslegung, gestützt auf Blue Guide und EuGH). Grenze: Die Niederlassungs-Auslegung selbst ist Leitfaden-basiert; das Ergebnis folgt aber bereits aus dem Wortlaut „ansässige … Person“.</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17 PPWR; Art. 17 PPWR; § 5 Abs. 2 VerpackDG; Leitfaden C(2026) 3702 Abschn. 4</w:t>
      </w:r>
    </w:p>
    <w:p>
      <w:pPr>
        <w:keepNext/>
        <w:pBdr>
          <w:top w:val="single" w:color="24A27F" w:sz="4" w:space="4"/>
        </w:pBdr>
        <w:spacing w:after="40" w:before="260"/>
      </w:pPr>
      <w:r>
        <w:rPr>
          <w:rFonts w:ascii="Arial" w:cs="Arial" w:eastAsia="Arial" w:hAnsi="Arial"/>
          <w:b/>
          <w:bCs/>
          <w:color w:val="004494"/>
          <w:sz w:val="22"/>
          <w:szCs w:val="22"/>
        </w:rPr>
        <w:t xml:space="preserve">A11  </w:t>
      </w:r>
      <w:r>
        <w:rPr>
          <w:rFonts w:ascii="Arial" w:cs="Arial" w:eastAsia="Arial" w:hAnsi="Arial"/>
          <w:b/>
          <w:bCs/>
          <w:sz w:val="22"/>
          <w:szCs w:val="22"/>
        </w:rPr>
        <w:t xml:space="preserve">Bevollmächtigter vs. EPR-Bevollmächtigter</w:t>
      </w:r>
    </w:p>
    <w:p>
      <w:pPr>
        <w:spacing w:after="60" w:before="0"/>
      </w:pPr>
      <w:r>
        <w:rPr>
          <w:rFonts w:ascii="Arial" w:cs="Arial" w:eastAsia="Arial" w:hAnsi="Arial"/>
          <w:color w:val="6B7280"/>
          <w:sz w:val="16"/>
          <w:szCs w:val="16"/>
        </w:rPr>
        <w:t xml:space="preserve">Rollen / EPR · rechtsverbindlich · Rechtsstand 2026-10-17 · Bezug: #09, #06</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Was ist der Unterschied zwischen dem „Bevollmächtigten“ und dem „Bevollmächtigten für die erweiterte Herstellerverantwortung“? Brauchen wir beide?</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Das sind zwei völlig getrennte Institute auf zwei Schienen. Der Bevollmächtigte nach Art. 3 Abs. 1 Nr. 19 i. V. m. Art. 17 PPWR wird vom ERZEUGER schriftlich mandatiert und übernimmt Aufgaben der Konformitätsschiene (z. B. Ausstellung der EU-Konformitätserklärung) – er ist stets freiwillig. Der Bevollmächtigte für die erweiterte Herstellerverantwortung nach Nr. 20 i. V. m. Art. 45 Abs. 3 wird vom HERSTELLER benannt und übernimmt die EPR-Pflichten im Zielstaat – er ist in den Fällen des Art. 45 Abs. 3 PFLICHT (grenzüberschreitender Direktvertrieb an Endabnehmer; in Deutschland zusätzlich Drittlands-Hersteller ohne Niederlassung, § 5 Abs. 2 VerpackDG). Folge: Je nach Konstellation brauchen Sie keinen, einen oder beide; die Mandate sind getrennt zu dokumentieren. In Deutschland gilt: nur EIN EHV-Bevollmächtigter je Hersteller, schriftliche Vollmacht in deutscher Sprache, Benennung gegenüber der ZSVR; die Registrierung selbst ist nicht delegierbar (§ 5 Abs. 1 Satz 2, Abs. 4, Abs. 5 VerpackDG). Quellen: Art. 3 Abs. 1 Nr. 19 u. 20, Art. 17, Art. 45 Abs. 3 PPWR; § 5 VerpackDG. Grenze: Keine.</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19 u. 20 PPWR; Art. 17 PPWR; Art. 45 Abs. 3 PPWR; § 5 VerpackDG</w:t>
      </w:r>
    </w:p>
    <w:p>
      <w:pPr>
        <w:keepNext/>
        <w:pBdr>
          <w:top w:val="single" w:color="24A27F" w:sz="4" w:space="4"/>
        </w:pBdr>
        <w:spacing w:after="40" w:before="260"/>
      </w:pPr>
      <w:r>
        <w:rPr>
          <w:rFonts w:ascii="Arial" w:cs="Arial" w:eastAsia="Arial" w:hAnsi="Arial"/>
          <w:b/>
          <w:bCs/>
          <w:color w:val="004494"/>
          <w:sz w:val="22"/>
          <w:szCs w:val="22"/>
        </w:rPr>
        <w:t xml:space="preserve">A12  </w:t>
      </w:r>
      <w:r>
        <w:rPr>
          <w:rFonts w:ascii="Arial" w:cs="Arial" w:eastAsia="Arial" w:hAnsi="Arial"/>
          <w:b/>
          <w:bCs/>
          <w:sz w:val="22"/>
          <w:szCs w:val="22"/>
        </w:rPr>
        <w:t xml:space="preserve">AT-Webshop an deutsche Endkunden: Pflichten?</w:t>
      </w:r>
    </w:p>
    <w:p>
      <w:pPr>
        <w:spacing w:after="60" w:before="0"/>
      </w:pPr>
      <w:r>
        <w:rPr>
          <w:rFonts w:ascii="Arial" w:cs="Arial" w:eastAsia="Arial" w:hAnsi="Arial"/>
          <w:color w:val="6B7280"/>
          <w:sz w:val="16"/>
          <w:szCs w:val="16"/>
        </w:rPr>
        <w:t xml:space="preserve">Rollen / EPR · rechtsverbindlich · Rechtsstand 2026-10-17 · Bezug: #09, #31, #32</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Wir sitzen in Österreich und verkaufen über unseren Webshop direkt an deutsche Endkunden. Was müssen wir in Deutschland tun?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Sie sind Hersteller in Deutschland nach Art. 3 Abs. 1 Nr. 15 lit. d PPWR (Erstbereitstellung verpackter Produkte direkt an Endabnehmer im Hoheitsgebiet eines anderen Mitgliedstaats); beim Online-Verkauf gilt bereits das Angebot an den Endkunden als Bereitstellung im Zielstaat (Leitfaden Abschn. 3). Folge: Vor der ersten Bereitstellung müssen Sie (1) einen Bevollmächtigten für die erweiterte Herstellerverantwortung mit schriftlicher Vollmacht in deutscher Sprache beauftragen (Art. 45 Abs. 3 Satz 1 PPWR; § 5 Abs. 2 Satz 1, Abs. 4 VerpackDG), (2) sich selbst bei der ZSVR registrieren – die Registrierung ist NICHT delegierbar (§ 5 Abs. 1 Satz 2, § 6 Abs. 1), wobei der Bevollmächtigte mitzubenennen ist (§ 6 Abs. 2 Nr. 2), und (3) die Systembeteiligung sicherstellen, die der Bevollmächtigte im eigenen Namen wahrnimmt (§ 5 Abs. 3, § 7). Ohne Registrierung/Beteiligung: Vertriebsverbot (§ 13). Quellen: Art. 3 Abs. 1 Nr. 15 lit. d, Art. 45 Abs. 3 PPWR; §§ 5, 6, 7, 13 VerpackDG; Leitfaden Abschn. 3 (Online-Angebot, unverbindliche Auslegung). Grenze: Mit eigener Niederlassung in Deutschland entfällt die Bevollmächtigten-Pflicht (§ 5 Abs. 2: „keine Niederlassung im Bundesgebiet“).</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15 lit. d PPWR; Art. 45 Abs. 3 Satz 1 PPWR; § 5 Abs. 2–5 VerpackDG; § 6 VerpackDG; § 13 VerpackDG</w:t>
      </w:r>
    </w:p>
    <w:p>
      <w:pPr>
        <w:keepNext/>
        <w:pBdr>
          <w:top w:val="single" w:color="24A27F" w:sz="4" w:space="4"/>
        </w:pBdr>
        <w:spacing w:after="40" w:before="260"/>
      </w:pPr>
      <w:r>
        <w:rPr>
          <w:rFonts w:ascii="Arial" w:cs="Arial" w:eastAsia="Arial" w:hAnsi="Arial"/>
          <w:b/>
          <w:bCs/>
          <w:color w:val="004494"/>
          <w:sz w:val="22"/>
          <w:szCs w:val="22"/>
        </w:rPr>
        <w:t xml:space="preserve">A13  </w:t>
      </w:r>
      <w:r>
        <w:rPr>
          <w:rFonts w:ascii="Arial" w:cs="Arial" w:eastAsia="Arial" w:hAnsi="Arial"/>
          <w:b/>
          <w:bCs/>
          <w:sz w:val="22"/>
          <w:szCs w:val="22"/>
        </w:rPr>
        <w:t xml:space="preserve">China-Lieferant über Marktplatz: Wer haftet?</w:t>
      </w:r>
    </w:p>
    <w:p>
      <w:pPr>
        <w:spacing w:after="60" w:before="0"/>
      </w:pPr>
      <w:r>
        <w:rPr>
          <w:rFonts w:ascii="Arial" w:cs="Arial" w:eastAsia="Arial" w:hAnsi="Arial"/>
          <w:color w:val="6B7280"/>
          <w:sz w:val="16"/>
          <w:szCs w:val="16"/>
        </w:rPr>
        <w:t xml:space="preserve">Rollen / EPR · rechtsverbindlich · Rechtsstand 2026-10-17 · Bezug: #09, #39, #38</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Unser Lieferant sitzt in China und verkauft parallel über einen Online-Marktplatz direkt an deutsche Verbraucher. Kann der überhaupt deutscher „Hersteller“ sein – und wer haftet, wenn er sich nicht registriert?</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Ja. Auch ein in einem Drittland niedergelassener Anbieter ist Hersteller in Deutschland, wenn er verpackte Produkte erstmals direkt an Endabnehmer im Bundesgebiet bereitstellt (Art. 3 Abs. 1 Nr. 15 lit. d PPWR: „in einem Mitgliedstaat oder in einem Drittland niedergelassen“). Deutschland hat die Option des Art. 45 Abs. 3 Satz 2 PPWR ausgeübt: Solche Drittlands-Hersteller ohne Niederlassung im Bundesgebiet müssen vor der ersten Bereitstellung einen EHV-Bevollmächtigten benennen und beauftragen (§ 5 Abs. 2 Satz 2 VerpackDG). Folge für die Kette: Online-Plattformen müssen vor Freischaltung Registrierungsnachweis und Selbstbescheinigung des Herstellers einholen (Art. 45 Abs. 4 PPWR); Fulfilment-Dienstleister dürfen für nicht registrierte Hersteller nicht tätig werden (§ 13 Abs. 4 VerpackDG); Vertreiber dürfen deren Verpackungen nicht bereitstellen (§ 13 Abs. 3). Die Registrierungspflicht selbst bleibt beim Hersteller und ist nicht delegierbar (§ 5 Abs. 1 Satz 2). Quellen: Art. 3 Abs. 1 Nr. 15 lit. d, Art. 45 Abs. 3 Satz 2 u. Abs. 4 PPWR; § 5 Abs. 2 Satz 2 VerpackDG; § 13 Abs. 3 u. 4 VerpackDG. Grenze: Zivilrechtliche Haftungsfragen zwischen Ihnen und dem Lieferanten sind Einzelfallberatung.</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15 lit. d PPWR; Art. 45 Abs. 3 Satz 2 u. Abs. 4 PPWR; § 5 Abs. 2 Satz 2 VerpackDG; § 13 Abs. 3 u. 4 VerpackDG</w:t>
      </w:r>
    </w:p>
    <w:p>
      <w:pPr>
        <w:keepNext/>
        <w:pBdr>
          <w:top w:val="single" w:color="24A27F" w:sz="4" w:space="4"/>
        </w:pBdr>
        <w:spacing w:after="40" w:before="260"/>
      </w:pPr>
      <w:r>
        <w:rPr>
          <w:rFonts w:ascii="Arial" w:cs="Arial" w:eastAsia="Arial" w:hAnsi="Arial"/>
          <w:b/>
          <w:bCs/>
          <w:color w:val="004494"/>
          <w:sz w:val="22"/>
          <w:szCs w:val="22"/>
        </w:rPr>
        <w:t xml:space="preserve">A14  </w:t>
      </w:r>
      <w:r>
        <w:rPr>
          <w:rFonts w:ascii="Arial" w:cs="Arial" w:eastAsia="Arial" w:hAnsi="Arial"/>
          <w:b/>
          <w:bCs/>
          <w:sz w:val="22"/>
          <w:szCs w:val="22"/>
        </w:rPr>
        <w:t xml:space="preserve">Bäckertüten vom Großhandel: Bin ich Hersteller?</w:t>
      </w:r>
    </w:p>
    <w:p>
      <w:pPr>
        <w:spacing w:after="60" w:before="0"/>
      </w:pPr>
      <w:r>
        <w:rPr>
          <w:rFonts w:ascii="Arial" w:cs="Arial" w:eastAsia="Arial" w:hAnsi="Arial"/>
          <w:color w:val="6B7280"/>
          <w:sz w:val="16"/>
          <w:szCs w:val="16"/>
        </w:rPr>
        <w:t xml:space="preserve">Rollen / EPR · rechtsverbindlich · Rechtsstand 2026-10-17 · Bezug: #08, #32</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Ich betreibe eine Bäckerei und kaufe meine Brötchentüten beim deutschen Großhandel. Muss ich die Tüten wie früher selbst lizenzieren – oder kann ich das wieder „nach oben“ abgeben?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Die Systematik hat sich zu Ihren Gunsten gedreht. Serviceverpackungen gehören zu den Verpackungsarten, bei denen die Herstellerrolle an der LEEREN Verpackung ansetzt: Hersteller ist, wer die Transport-, Service- oder Primärproduktionsverpackung erstmals im Bundesgebiet bereitstellt (Art. 3 Abs. 1 Nr. 15 lit. a PPWR) – also Ihr Großhändler bzw. der Tütenproduzent, nicht Sie als Befüller. Genau diese Entlastung kleiner Befüller ist ausdrückliches Regelungsziel (ErwG 122 PPWR). Folge: Beim Inlandsbezug bereits systembeteiligter Serviceverpackungen müssen Sie regelmäßig weder registrieren noch lizenzieren; lassen Sie sich die Systembeteiligung vom Lieferanten bestätigen. Das alte Modell „Übertragung auf den Vorvertreiber“ (§ 7 Abs. 2 VerpackG a. F.) existiert im VerpackDG nur noch für einen Sonderfall (A15). Quellen: Art. 3 Abs. 1 Nr. 15 lit. a, ErwG 122 PPWR; Leitfaden C(2026) 3702 Abschn. 3; § 3 Abs. 6 VerpackDG (Serviceverpackungen systembeteiligungspflichtig). Grenze: Anders bei Direktimport der leeren Tüten (dann sind Sie erster in der deutschen Kette) oder bei eigener Marke AUF der Tüte (A15).</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15 lit. a PPWR; ErwG 122 PPWR; § 3 Abs. 6 VerpackDG; Leitfaden C(2026) 3702 Abschn. 3</w:t>
      </w:r>
    </w:p>
    <w:p>
      <w:pPr>
        <w:keepNext/>
        <w:pBdr>
          <w:top w:val="single" w:color="24A27F" w:sz="4" w:space="4"/>
        </w:pBdr>
        <w:spacing w:after="40" w:before="260"/>
      </w:pPr>
      <w:r>
        <w:rPr>
          <w:rFonts w:ascii="Arial" w:cs="Arial" w:eastAsia="Arial" w:hAnsi="Arial"/>
          <w:b/>
          <w:bCs/>
          <w:color w:val="004494"/>
          <w:sz w:val="22"/>
          <w:szCs w:val="22"/>
        </w:rPr>
        <w:t xml:space="preserve">A15  </w:t>
      </w:r>
      <w:r>
        <w:rPr>
          <w:rFonts w:ascii="Arial" w:cs="Arial" w:eastAsia="Arial" w:hAnsi="Arial"/>
          <w:b/>
          <w:bCs/>
          <w:sz w:val="22"/>
          <w:szCs w:val="22"/>
        </w:rPr>
        <w:t xml:space="preserve">Bedruckte Serviceverpackungen: Wessen Pflicht?</w:t>
      </w:r>
    </w:p>
    <w:p>
      <w:pPr>
        <w:spacing w:after="60" w:before="0"/>
      </w:pPr>
      <w:r>
        <w:rPr>
          <w:rFonts w:ascii="Arial" w:cs="Arial" w:eastAsia="Arial" w:hAnsi="Arial"/>
          <w:color w:val="6B7280"/>
          <w:sz w:val="16"/>
          <w:szCs w:val="16"/>
        </w:rPr>
        <w:t xml:space="preserve">Rollen / EPR · unverbindliche Auslegung · Rechtsstand 2026-10-17 · Bezug: #32, #08</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Unsere Imbisskette lässt Serviceverpackungen mit eigenem Logo bedrucken. Ein Kollege sagt, es gebe im neuen Gesetz noch eine Übertragungsmöglichkeit auf den Lieferanten – stimmt das?</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Ja, aber eng zugeschnitten. § 7 Abs. 2 VerpackDG erlaubt die Übertragung der Systembeteiligungspflicht auf die Vorvertreiber der unbefüllten Serviceverpackungen – allerdings nur für den Hersteller, „der nach Artikel 21 der Verordnung (EU) 2025/40 als Erzeuger gilt“. Art. 21 erfasst Importeure/Vertreiber, die Verpackungen unter EIGENER Marke in Verkehr bringen oder konformitätsrelevant verändern. Mit Ihrem Logo-Druck können Sie in diese Konstellation fallen. Folge: Sie können vom Vorvertreiber verlangen, dass er sich hinsichtlich der gelieferten unbefüllten Serviceverpackungen am System beteiligt und Ihnen dies bestätigt; mit der Übertragung gehen die Pflichten aus §§ 6, 9, 10 insoweit über – Ihre EIGENE Registrierungspflicht bleibt aber bestehen, und bei vollständiger Übertragung geben Sie die Erklärung nach § 6 Abs. 2 Satz 3 ab („ausschließlich bereits systembeteiligte Serviceverpackungen“). Quellen: § 7 Abs. 2, § 6 Abs. 2 Satz 3 VerpackDG; Art. 21 PPWR. Grenze: Welcher Anwendungsbereich für die Übertragung im Vergleich zu § 7 Abs. 2 VerpackG a. F. praktisch verbleibt, ist offen (U2 Rollen-Engine) – Kernfrage der Cattwyk-Session; bis dahin keine Gestaltungsempfehlung im Produkt.</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 7 Abs. 2 VerpackDG; § 6 Abs. 2 Satz 3 VerpackDG; Art. 21 PPWR</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 U2: Anwendungsbereich § 7 Abs. 2 in Session</w:t>
      </w:r>
    </w:p>
    <w:p>
      <w:pPr>
        <w:keepNext/>
        <w:pBdr>
          <w:top w:val="single" w:color="24A27F" w:sz="4" w:space="4"/>
        </w:pBdr>
        <w:spacing w:after="40" w:before="260"/>
      </w:pPr>
      <w:r>
        <w:rPr>
          <w:rFonts w:ascii="Arial" w:cs="Arial" w:eastAsia="Arial" w:hAnsi="Arial"/>
          <w:b/>
          <w:bCs/>
          <w:color w:val="004494"/>
          <w:sz w:val="22"/>
          <w:szCs w:val="22"/>
        </w:rPr>
        <w:t xml:space="preserve">A16  </w:t>
      </w:r>
      <w:r>
        <w:rPr>
          <w:rFonts w:ascii="Arial" w:cs="Arial" w:eastAsia="Arial" w:hAnsi="Arial"/>
          <w:b/>
          <w:bCs/>
          <w:sz w:val="22"/>
          <w:szCs w:val="22"/>
        </w:rPr>
        <w:t xml:space="preserve">Export nach Frankreich: Wer lizenziert dort?</w:t>
      </w:r>
    </w:p>
    <w:p>
      <w:pPr>
        <w:spacing w:after="60" w:before="0"/>
      </w:pPr>
      <w:r>
        <w:rPr>
          <w:rFonts w:ascii="Arial" w:cs="Arial" w:eastAsia="Arial" w:hAnsi="Arial"/>
          <w:color w:val="6B7280"/>
          <w:sz w:val="16"/>
          <w:szCs w:val="16"/>
        </w:rPr>
        <w:t xml:space="preserve">Rollen / EPR · rechtsverbindlich · Rechtsstand 2026-10-17 · Bezug: #08, #32</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Wir füllen in Deutschland ab und verkaufen einen Teil der Ware an einen französischen Großhändler. Müssen wir für diese Mengen in Deutschland lizenzieren?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Nein. Die Herstellerrolle entsteht je Mitgliedstaat dort, wo die Verpackung erstmals bereitgestellt wird – im Staat, in dem sie voraussichtlich zu Abfall wird (Art. 3 Abs. 1 Nr. 15 lit. b, ErwG 122 PPWR). Liefern Sie an den französischen Großhändler, erfolgt die erste Bereitstellung in Frankreich; dort ist der Großhändler als erstes Glied der französischen Kette der Hersteller (Leitfaden Abschn. 3, Beispiel „Company D“). Für diese Mengen sind Sie in Deutschland nicht systembeteiligungspflichtig. Folge: Mengentrennung im Reporting (Inland vs. Ausland); für nachweislich nicht im Bundesgebiet an Endabnehmer abgegebene Verpackungen greift zudem die Ausnahme § 11 Nr. 4 VerpackDG. Prüfen Sie spiegelbildlich Ihre EPR-Pflichten in Frankreich (nationale Umsetzung). Quellen: Art. 3 Abs. 1 Nr. 15 lit. b, Nr. 11, ErwG 122 PPWR; § 11 Nr. 4 VerpackDG; Leitfaden C(2026) 3702 Abschn. 3 (unverbindliche Auslegung). Grenze: Beim Direktverkauf an END-abnehmer in Frankreich wären SIE dort Hersteller (lit. d) mit Bevollmächtigten-Pflicht (A12 spiegelbildlich).</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15 lit. b PPWR; ErwG 122 PPWR; § 11 Nr. 4 VerpackDG; Leitfaden C(2026) 3702 Abschn. 3</w:t>
      </w:r>
    </w:p>
    <w:p>
      <w:pPr>
        <w:keepNext/>
        <w:pBdr>
          <w:top w:val="single" w:color="24A27F" w:sz="4" w:space="4"/>
        </w:pBdr>
        <w:spacing w:after="40" w:before="260"/>
      </w:pPr>
      <w:r>
        <w:rPr>
          <w:rFonts w:ascii="Arial" w:cs="Arial" w:eastAsia="Arial" w:hAnsi="Arial"/>
          <w:b/>
          <w:bCs/>
          <w:color w:val="004494"/>
          <w:sz w:val="22"/>
          <w:szCs w:val="22"/>
        </w:rPr>
        <w:t xml:space="preserve">A17  </w:t>
      </w:r>
      <w:r>
        <w:rPr>
          <w:rFonts w:ascii="Arial" w:cs="Arial" w:eastAsia="Arial" w:hAnsi="Arial"/>
          <w:b/>
          <w:bCs/>
          <w:sz w:val="22"/>
          <w:szCs w:val="22"/>
        </w:rPr>
        <w:t xml:space="preserve">Nachträglicher Weiterexport: Lizenz zurückholen?</w:t>
      </w:r>
    </w:p>
    <w:p>
      <w:pPr>
        <w:spacing w:after="60" w:before="0"/>
      </w:pPr>
      <w:r>
        <w:rPr>
          <w:rFonts w:ascii="Arial" w:cs="Arial" w:eastAsia="Arial" w:hAnsi="Arial"/>
          <w:color w:val="6B7280"/>
          <w:sz w:val="16"/>
          <w:szCs w:val="16"/>
        </w:rPr>
        <w:t xml:space="preserve">Rollen / EPR · unverbindliche Auslegung · Rechtsstand 2026-10-17 · Bezug: #32, #08</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Wir haben Ware in Deutschland lizenziert, unser Kunde hat sie dann doch komplett nach Österreich weiterverkauft. Bekommen wir die Beteiligungsentgelte zurück?</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Die PPWR-Systematik sieht das vor: Wird nach Gebührenzahlung in einem Mitgliedstaat die Verpackung durch einen Vertreiber erstmals im Hoheitsgebiet eines ANDEREN Mitgliedstaats bereitgestellt, sind die Entgelte zu erstatten („the fees must be reimbursed“, Leitfaden Abschn. 3 zu Art. 45 Abs. 1). Das VerpackDG regelt einen ausdrücklichen Erstattungsanspruch bislang nur für den Fall beschädigter/unverkäuflicher, nicht an Endabnehmer abgegebener Ware (§ 7 Abs. 3). Folge: Praktisch führt der Weg über das jeweilige System (vertragliche Export-Mengenkorrektur/Gutschrift) und über saubere Export-Nachweise; künftig vermeiden Sie die Doppelbelastung ex ante über § 11 Nr. 4 VerpackDG (nachweislich nicht im Bundesgebiet an Endabnehmer). Quellen: Art. 45 Abs. 1 PPWR; Leitfaden C(2026) 3702 Abschn. 3 (unverbindliche Auslegung der EU-Kommission); § 7 Abs. 3, § 11 Nr. 4 VerpackDG. Grenze: Anspruchsgrundlage, Verfahren und Nachweisanforderungen der Erstattung im deutschen Recht sind nicht ausdrücklich geregelt – konkrete Durchsetzung ist Einzelfall (Eskalation E02).</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45 Abs. 1 PPWR; Leitfaden C(2026) 3702 Abschn. 3; § 7 Abs. 3 VerpackDG; § 11 Nr. 4 VerpackDG</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 Erstattungsverfahren ungeregelt → Eskalation</w:t>
      </w:r>
    </w:p>
    <w:p>
      <w:pPr>
        <w:keepNext/>
        <w:pBdr>
          <w:top w:val="single" w:color="24A27F" w:sz="4" w:space="4"/>
        </w:pBdr>
        <w:spacing w:after="40" w:before="260"/>
      </w:pPr>
      <w:r>
        <w:rPr>
          <w:rFonts w:ascii="Arial" w:cs="Arial" w:eastAsia="Arial" w:hAnsi="Arial"/>
          <w:b/>
          <w:bCs/>
          <w:color w:val="004494"/>
          <w:sz w:val="22"/>
          <w:szCs w:val="22"/>
        </w:rPr>
        <w:t xml:space="preserve">A18  </w:t>
      </w:r>
      <w:r>
        <w:rPr>
          <w:rFonts w:ascii="Arial" w:cs="Arial" w:eastAsia="Arial" w:hAnsi="Arial"/>
          <w:b/>
          <w:bCs/>
          <w:sz w:val="22"/>
          <w:szCs w:val="22"/>
        </w:rPr>
        <w:t xml:space="preserve">Schweiz-Export: Zählt das in die Mengen?</w:t>
      </w:r>
    </w:p>
    <w:p>
      <w:pPr>
        <w:spacing w:after="60" w:before="0"/>
      </w:pPr>
      <w:r>
        <w:rPr>
          <w:rFonts w:ascii="Arial" w:cs="Arial" w:eastAsia="Arial" w:hAnsi="Arial"/>
          <w:color w:val="6B7280"/>
          <w:sz w:val="16"/>
          <w:szCs w:val="16"/>
        </w:rPr>
        <w:t xml:space="preserve">Rollen / EPR · rechtsverbindlich · Rechtsstand 2026-10-17 · Bezug: #32, #08</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Wir exportieren einen Großteil unserer Produktion in die Schweiz. Zählt das irgendwie ins deutsche System rein?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Nein. Die erweiterte Herstellerverantwortung knüpft an die Bereitstellung im Hoheitsgebiet eines Mitgliedstaats an (Art. 45 Abs. 1 PPWR); wird die Ware in ein Drittland exportiert, wo sie zu Abfall wird, entsteht in keinem Mitgliedstaat eine Herstellerrolle (Leitfaden Abschn. 3: bei Export „no producer in any Member State“). Folge: Exportmengen sind nicht systembeteiligungspflichtig; dokumentieren Sie die Exporte nachprüfbar (Ausnahme § 11 Nr. 4 VerpackDG: Verpackungen, die nachweislich nicht im Bundesgebiet an Endabnehmer abgegeben werden) und halten Sie die Mengentrennung in Datenmeldung und Vollständigkeitserklärung durch. Die Konformitätsschiene ist davon unabhängig: Für das Inverkehrbringen IN der Union (auch wenn ein Teil später exportiert wird) gelten die Art.-5-bis-12-Anforderungen ab dem Inverkehrbringen. Quellen: Art. 45 Abs. 1 PPWR; § 11 Nr. 4 VerpackDG; Leitfaden C(2026) 3702 Abschn. 3 (unverbindliche Auslegung). Grenze: Bei Re-Importen beginnt die Betrachtung mit dem letzten Importvorgang neu (so auch EUNR-Papier, Sekundärquelle).</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45 Abs. 1 PPWR; § 11 Nr. 4 VerpackDG; Leitfaden C(2026) 3702 Abschn. 3; EUNR-Papier Producer Definition (Sekundärquelle)</w:t>
      </w:r>
    </w:p>
    <w:p>
      <w:pPr>
        <w:keepNext/>
        <w:pBdr>
          <w:top w:val="single" w:color="24A27F" w:sz="4" w:space="4"/>
        </w:pBdr>
        <w:spacing w:after="40" w:before="260"/>
      </w:pPr>
      <w:r>
        <w:rPr>
          <w:rFonts w:ascii="Arial" w:cs="Arial" w:eastAsia="Arial" w:hAnsi="Arial"/>
          <w:b/>
          <w:bCs/>
          <w:color w:val="004494"/>
          <w:sz w:val="22"/>
          <w:szCs w:val="22"/>
        </w:rPr>
        <w:t xml:space="preserve">A19  </w:t>
      </w:r>
      <w:r>
        <w:rPr>
          <w:rFonts w:ascii="Arial" w:cs="Arial" w:eastAsia="Arial" w:hAnsi="Arial"/>
          <w:b/>
          <w:bCs/>
          <w:sz w:val="22"/>
          <w:szCs w:val="22"/>
        </w:rPr>
        <w:t xml:space="preserve">Importeur: Vom Alt-„Hersteller" zu welchen Rollen?</w:t>
      </w:r>
    </w:p>
    <w:p>
      <w:pPr>
        <w:spacing w:after="60" w:before="0"/>
      </w:pPr>
      <w:r>
        <w:rPr>
          <w:rFonts w:ascii="Arial" w:cs="Arial" w:eastAsia="Arial" w:hAnsi="Arial"/>
          <w:color w:val="6B7280"/>
          <w:sz w:val="16"/>
          <w:szCs w:val="16"/>
        </w:rPr>
        <w:t xml:space="preserve">Rollen / EPR · rechtsverbindlich · Rechtsstand 2026-10-17 · Bezug: #37, #08, #31, #32</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Als Importeur war ich nach VerpackG automatisch „Hersteller“. Welche Hüte trage ich denn jetzt alle?</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Typischerweise drei. (1) Importeur nach Art. 3 Abs. 1 Nr. 17 PPWR mit eigenen Konformitäts-Prüfpflichten: Sie dürfen nur Verpackungen in Verkehr bringen, bei denen der Erzeuger Konformitätsbewertung, Doku und Kennzeichnung erledigt hat, und müssen Ihre eigenen Kontaktangaben ergänzen (Art. 18, insb. Abs. 3). (2) Hersteller (EPR) nach Nr. 15 lit. b, weil Sie die importierte Ware erstmals im Bundesgebiet bereitstellen: Registrierung, Systembeteiligung, Datenmeldung (§§ 6, 7, 9 VerpackDG). (3) Bei Eigenmarke oder konformitätsrelevanter Veränderung gelten Sie zusätzlich als ERZEUGER mit allen Art.-15-Pflichten (Art. 21 PPWR). Folge: Rollen-Set je Produktlinie klären; unter dem VerpackG war „Importeur = Hersteller“ eine Rolle, jetzt sind es getrennte Pflichtenkreise mit unterschiedlichen Rechtsfolgen. Quellen: Art. 3 Abs. 1 Nr. 15 lit. b u. Nr. 17, Art. 18, Art. 21 PPWR; §§ 6, 7, 9 VerpackDG. Grenze: Bei Kleinstunternehmen-Importeuren mit EU-Lieferant verschiebt Art. 21 UAbs. 2 die Erzeuger-Zurechnung auf den Lieferanten.</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15 lit. b u. Nr. 17 PPWR; Art. 18 PPWR; Art. 21 PPWR; §§ 6, 7, 9 VerpackDG</w:t>
      </w:r>
    </w:p>
    <w:p>
      <w:pPr>
        <w:keepNext/>
        <w:pBdr>
          <w:top w:val="single" w:color="24A27F" w:sz="4" w:space="4"/>
        </w:pBdr>
        <w:spacing w:after="40" w:before="260"/>
      </w:pPr>
      <w:r>
        <w:rPr>
          <w:rFonts w:ascii="Arial" w:cs="Arial" w:eastAsia="Arial" w:hAnsi="Arial"/>
          <w:b/>
          <w:bCs/>
          <w:color w:val="004494"/>
          <w:sz w:val="22"/>
          <w:szCs w:val="22"/>
        </w:rPr>
        <w:t xml:space="preserve">A20  </w:t>
      </w:r>
      <w:r>
        <w:rPr>
          <w:rFonts w:ascii="Arial" w:cs="Arial" w:eastAsia="Arial" w:hAnsi="Arial"/>
          <w:b/>
          <w:bCs/>
          <w:sz w:val="22"/>
          <w:szCs w:val="22"/>
        </w:rPr>
        <w:t xml:space="preserve">Eigenmarken-Handel: Werden wir Erzeuger?</w:t>
      </w:r>
    </w:p>
    <w:p>
      <w:pPr>
        <w:spacing w:after="60" w:before="0"/>
      </w:pPr>
      <w:r>
        <w:rPr>
          <w:rFonts w:ascii="Arial" w:cs="Arial" w:eastAsia="Arial" w:hAnsi="Arial"/>
          <w:color w:val="6B7280"/>
          <w:sz w:val="16"/>
          <w:szCs w:val="16"/>
        </w:rPr>
        <w:t xml:space="preserve">Konformität · rechtsverbindlich · Rechtsstand 2026-10-17 · Bezug: #08, #04, #05, #06, #40</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Wir sind Händler und verkaufen zugekaufte Ware unter unserer Eigenmarke weiter. Heißt das wirklich, wir müssen jetzt Konformitätserklärungen für die Verpackungen ausstellen?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Ja. Bringt ein Importeur oder Vertreiber Verpackungen unter eigenem Namen oder eigener Marke in Verkehr, gilt er als Erzeuger und unterliegt den Erzeuger-Pflichten nach Art. 15 (Art. 21 UAbs. 1 PPWR) – also Konformitätsbewertung (Art. 38), technische Dokumentation (Anhang VII) und EU-Konformitätserklärung (Art. 39, Muster Anhang VIII, je Verpackungstyp). Dasselbe gilt, wenn Sie bereits in Verkehr gebrachte Verpackungen so verändern, dass die Konformität beeinträchtigt sein kann. Folge: Eigenmarken-Sortiment inventarisieren, je Verpackungstyp Bewertung und Doku aufsetzen; Zulieferinformationen können Sie über die Lieferanten-Informationspflicht (Art. 16) einfordern. Sonderfall: Sind Sie Kleinstunternehmen und sitzt Ihr Verpackungslieferant in der Union, gilt der Lieferant als Erzeuger für die Art.-15-Zwecke (Art. 21 UAbs. 2). Quellen: Art. 21, Art. 15, Art. 16, Art. 38, Art. 39 PPWR. Grenze: Die EPR-Herstellerrolle ist separat zu prüfen – Eigenmarke allein sagt darüber nichts (A03).</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21 PPWR; Art. 15 PPWR; Art. 16 PPWR; Art. 38 u. 39 PPWR</w:t>
      </w:r>
    </w:p>
    <w:p>
      <w:pPr>
        <w:keepNext/>
        <w:pBdr>
          <w:top w:val="single" w:color="24A27F" w:sz="4" w:space="4"/>
        </w:pBdr>
        <w:spacing w:after="40" w:before="260"/>
      </w:pPr>
      <w:r>
        <w:rPr>
          <w:rFonts w:ascii="Arial" w:cs="Arial" w:eastAsia="Arial" w:hAnsi="Arial"/>
          <w:b/>
          <w:bCs/>
          <w:color w:val="004494"/>
          <w:sz w:val="22"/>
          <w:szCs w:val="22"/>
        </w:rPr>
        <w:t xml:space="preserve">A21  </w:t>
      </w:r>
      <w:r>
        <w:rPr>
          <w:rFonts w:ascii="Arial" w:cs="Arial" w:eastAsia="Arial" w:hAnsi="Arial"/>
          <w:b/>
          <w:bCs/>
          <w:sz w:val="22"/>
          <w:szCs w:val="22"/>
        </w:rPr>
        <w:t xml:space="preserve">Firmengruppe: Eine Registrierung oder drei?</w:t>
      </w:r>
    </w:p>
    <w:p>
      <w:pPr>
        <w:spacing w:after="60" w:before="0"/>
      </w:pPr>
      <w:r>
        <w:rPr>
          <w:rFonts w:ascii="Arial" w:cs="Arial" w:eastAsia="Arial" w:hAnsi="Arial"/>
          <w:color w:val="6B7280"/>
          <w:sz w:val="16"/>
          <w:szCs w:val="16"/>
        </w:rPr>
        <w:t xml:space="preserve">Rollen / EPR · rechtsverbindlich · Rechtsstand 2026-10-17 · Bezug: #31, #08</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Unsere Firmengruppe hat drei GmbHs, die alle Ware in Deutschland verkaufen. Reicht eine Registrierung für den Konzern?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Nein. Hersteller ist „jede natürliche oder juristische Person“, die einen Tatbestand des Art. 3 Abs. 1 Nr. 15 PPWR erfüllt – die Rolle entsteht je Rechtsträger, nicht je Konzern. Jede GmbH, die selbst erstmals im Bundesgebiet bereitstellt (oder auspackt, lit. e), ist eigenständig registrierungspflichtig (§ 6 Abs. 1 VerpackDG) und muss ihre eigenen Marken und Verpackungsmengen angeben (§ 6 Abs. 2 Nr. 5 u. 6); die Registrierung ist höchstpersönlich und nicht auf Dritte – auch nicht auf die Konzernmutter – delegierbar (§ 5 Abs. 1 Satz 2). Folge: Drei bereitstellende GmbHs, drei Registrierungen, drei Datenmeldungs-Stränge; konzerninterne Lieferwege sauber abbilden, damit klar ist, welche Gesellschaft je Produktlinie „erstmals bereitstellt“. Quellen: Art. 3 Abs. 1 Nr. 15 PPWR; § 5 Abs. 1 Satz 2, § 6 Abs. 1 u. 2 VerpackDG. Grenze: Welche Gesellschaft bei mehrstufigen Intercompany-Ketten die erste Bereitstellung vornimmt, hängt von den konkreten Liefer- und Abgabebeziehungen ab (bei Unklarheit: Eskalation).</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15 PPWR; § 5 Abs. 1 Satz 2 VerpackDG; § 6 Abs. 1 u. 2 VerpackDG</w:t>
      </w:r>
    </w:p>
    <w:p>
      <w:pPr>
        <w:keepNext/>
        <w:pBdr>
          <w:top w:val="single" w:color="24A27F" w:sz="4" w:space="4"/>
        </w:pBdr>
        <w:spacing w:after="40" w:before="260"/>
      </w:pPr>
      <w:r>
        <w:rPr>
          <w:rFonts w:ascii="Arial" w:cs="Arial" w:eastAsia="Arial" w:hAnsi="Arial"/>
          <w:b/>
          <w:bCs/>
          <w:color w:val="004494"/>
          <w:sz w:val="22"/>
          <w:szCs w:val="22"/>
        </w:rPr>
        <w:t xml:space="preserve">A22  </w:t>
      </w:r>
      <w:r>
        <w:rPr>
          <w:rFonts w:ascii="Arial" w:cs="Arial" w:eastAsia="Arial" w:hAnsi="Arial"/>
          <w:b/>
          <w:bCs/>
          <w:sz w:val="22"/>
          <w:szCs w:val="22"/>
        </w:rPr>
        <w:t xml:space="preserve">Eigene Limo im Handel: Welche Rollen haben wir?</w:t>
      </w:r>
    </w:p>
    <w:p>
      <w:pPr>
        <w:spacing w:after="60" w:before="0"/>
      </w:pPr>
      <w:r>
        <w:rPr>
          <w:rFonts w:ascii="Arial" w:cs="Arial" w:eastAsia="Arial" w:hAnsi="Arial"/>
          <w:color w:val="6B7280"/>
          <w:sz w:val="16"/>
          <w:szCs w:val="16"/>
        </w:rPr>
        <w:t xml:space="preserve">Rollen / EPR · rechtsverbindlich · Rechtsstand 2026-10-17 · Bezug: #08, #22, #31, #32, #36</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Wir füllen unsere eigene Limo ab und verkaufen sie an den deutschen Handel. Sind wir jetzt Erzeuger ODER Hersteller?</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Beides – die Doppelrolle ist der Normalfall des inländischen Markenabfüllers. Erzeuger sind Sie, weil die Verkaufsverpackung unter Ihrem Namen befüllt/versiegelt und in Verkehr gebracht wird (Art. 3 Abs. 1 Nr. 13 PPWR; Leitfaden Abschn. 2: Abfüller mit finalen Verarbeitungsschritten). Hersteller sind Sie, weil Sie das verpackte Produkt erstmals im Bundesgebiet bereitstellen (Nr. 15 lit. b). Folge: Konformitätsschiene (Bewertung Art. 38, Doku Anhang VII, Erklärung Art. 39, Kennzeichnung Art. 15 Abs. 5/6) UND EPR-Schiene (Registrierung § 6, Systembeteiligung § 7, Datenmeldung § 9, ggf. Vollständigkeitserklärung § 10 VerpackDG) laufen parallel; bei pfandpflichtigen Einweg-Getränkeverpackungen zusätzlich §§ 46/47 statt Systembeteiligung (§ 11 Nr. 2). Quellen: Art. 3 Abs. 1 Nr. 13 u. 15 lit. b PPWR; §§ 6, 7, 9, 10, 11 Nr. 2, 46, 47 VerpackDG; Leitfaden Abschn. 2/3. Grenze: Für Export- und Fernabsatzmengen gelten A16/A12.</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13 PPWR; Art. 3 Abs. 1 Nr. 15 lit. b PPWR; §§ 6, 7, 9, 10 VerpackDG; § 11 Nr. 2 VerpackDG</w:t>
      </w:r>
    </w:p>
    <w:p>
      <w:pPr>
        <w:keepNext/>
        <w:pBdr>
          <w:top w:val="single" w:color="24A27F" w:sz="4" w:space="4"/>
        </w:pBdr>
        <w:spacing w:after="40" w:before="260"/>
      </w:pPr>
      <w:r>
        <w:rPr>
          <w:rFonts w:ascii="Arial" w:cs="Arial" w:eastAsia="Arial" w:hAnsi="Arial"/>
          <w:b/>
          <w:bCs/>
          <w:color w:val="004494"/>
          <w:sz w:val="22"/>
          <w:szCs w:val="22"/>
        </w:rPr>
        <w:t xml:space="preserve">A23  </w:t>
      </w:r>
      <w:r>
        <w:rPr>
          <w:rFonts w:ascii="Arial" w:cs="Arial" w:eastAsia="Arial" w:hAnsi="Arial"/>
          <w:b/>
          <w:bCs/>
          <w:sz w:val="22"/>
          <w:szCs w:val="22"/>
        </w:rPr>
        <w:t xml:space="preserve">Stretchfolie &amp; Paletten aus NL: Unsere Pflichten?</w:t>
      </w:r>
    </w:p>
    <w:p>
      <w:pPr>
        <w:spacing w:after="60" w:before="0"/>
      </w:pPr>
      <w:r>
        <w:rPr>
          <w:rFonts w:ascii="Arial" w:cs="Arial" w:eastAsia="Arial" w:hAnsi="Arial"/>
          <w:color w:val="6B7280"/>
          <w:sz w:val="16"/>
          <w:szCs w:val="16"/>
        </w:rPr>
        <w:t xml:space="preserve">Rollen / EPR · unverbindliche Auslegung · Rechtsstand 2026-10-17 · Bezug: #08, #27</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Wir kaufen Stretchfolie und Paletten bei einem Händler in den Niederlanden und wickeln damit unsere Ware. Ist der Niederländer dann bei uns der „Hersteller“, weil er direkt an uns als Endkunden liefert?</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Nach der Verbandsauslegung nein. Der Fernabsatz-Tatbestand des Art. 3 Abs. 1 Nr. 15 lit. c PPWR setzt eine Lieferung „direkt an Endabnehmer“ voraus. Endabnehmer ist, wem ein Produkt bereitgestellt wird und wer es nicht in der gelieferten Form weiter bereitstellt (Nr. 23). Das EUNR-Papier stellt für lit. c auf den Endabnehmer des PRODUKTS ab: Ein Befüller, der Paletten oder Stretchfolie aus dem EU-Ausland bezieht, um seine Ware zu verpacken, ist für dieses Verpackungsmaterial KEIN Endabnehmer – die Verpackung geht mit der Ware weiter. Folge (nach dieser Lesart): Der niederländische Händler wird nicht über lit. c deutscher Hersteller; als erstes Glied der deutschen Lieferkette rückt vielmehr der inländische Verwender in die Herstellerrolle für diese Transportverpackung. Quellen: Art. 3 Abs. 1 Nr. 15 lit. c u. Nr. 23 PPWR; EUNR-Papier „Producer Definition“ (Juni 2026) – ausdrücklich Sekundärquelle/Verbandsauslegung; Leitfaden Abschn. 3 stützt die Produkt-Endabnehmer-Lesart nur implizit. Grenze: Genau diese Zurechnungskette ist offener Punkt U4 der Rollen-Engine – vor Cattwyk-Bestätigung keine verbindliche Auskunft im Produkt; Assistant antwortet mit Eskalationshinweis.</w:t>
      </w:r>
    </w:p>
    <w:p>
      <w:pPr>
        <w:spacing w:after="40" w:before="0"/>
      </w:pPr>
      <w:r>
        <w:rPr>
          <w:rFonts w:ascii="Arial" w:cs="Arial" w:eastAsia="Arial" w:hAnsi="Arial"/>
          <w:sz w:val="18"/>
          <w:szCs w:val="18"/>
        </w:rPr>
        <w:t xml:space="preserve">Aktualisierung 17.10.2026: Die 2. Edition der Kommissions-FAQ (Kap. II FAQ 5) bestätigt, dass unbedruckte Stretchfolie auf der Rolle Verpackung ist und ihr physischer Hersteller Erzeuger ist, nicht der Anwender. Vgl. A31 zur Divergenz mit der ZSVR-Lesart.</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15 lit. c PPWR; Art. 3 Abs. 1 Nr. 23 PPWR; EUNR-Papier Producer Definition (Sekundärquelle); Leitfaden C(2026) 3702 Abschn. 3</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 U4: Session-Pflicht, bis dahin nicht_ausspielen</w:t>
      </w:r>
    </w:p>
    <w:p>
      <w:pPr>
        <w:keepNext/>
        <w:pBdr>
          <w:top w:val="single" w:color="24A27F" w:sz="4" w:space="4"/>
        </w:pBdr>
        <w:spacing w:after="40" w:before="260"/>
      </w:pPr>
      <w:r>
        <w:rPr>
          <w:rFonts w:ascii="Arial" w:cs="Arial" w:eastAsia="Arial" w:hAnsi="Arial"/>
          <w:b/>
          <w:bCs/>
          <w:color w:val="004494"/>
          <w:sz w:val="22"/>
          <w:szCs w:val="22"/>
        </w:rPr>
        <w:t xml:space="preserve">A24  </w:t>
      </w:r>
      <w:r>
        <w:rPr>
          <w:rFonts w:ascii="Arial" w:cs="Arial" w:eastAsia="Arial" w:hAnsi="Arial"/>
          <w:b/>
          <w:bCs/>
          <w:sz w:val="22"/>
          <w:szCs w:val="22"/>
        </w:rPr>
        <w:t xml:space="preserve">Endvertreiber = alter Letztvertreiber?</w:t>
      </w:r>
    </w:p>
    <w:p>
      <w:pPr>
        <w:spacing w:after="60" w:before="0"/>
      </w:pPr>
      <w:r>
        <w:rPr>
          <w:rFonts w:ascii="Arial" w:cs="Arial" w:eastAsia="Arial" w:hAnsi="Arial"/>
          <w:color w:val="6B7280"/>
          <w:sz w:val="16"/>
          <w:szCs w:val="16"/>
        </w:rPr>
        <w:t xml:space="preserve">Rollen / EPR · rechtsverbindlich · Rechtsstand 2026-10-17 · Bezug: #36, #29, #25, #38</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Was heißt eigentlich „Endvertreiber“ – ist das dasselbe wie unser alter „Letztvertreiber“?</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Funktional ja, terminologisch neu. Endvertreiber ist die Person in der Lieferkette, die verpackte Produkte – auch im Wege der Wiederverwendung oder als Wiederbefüllung – an den Endabnehmer liefert (Art. 3 Abs. 1 Nr. 21 PPWR); das erfasst stationären Handel, Gastronomie und Fernabsatz gleichermaßen. Folge: Am Endvertreiber hängen die Praxispflichten am Point of Sale: EINWEG/MEHRWEG-Hinweisschilder in Preisauszeichnungsgröße, auch im Fernabsatz (§ 47 VerpackDG), Pfand-Rücknahme und -Erstattung (§ 46 Abs. 2), Mehrwegangebotspflicht für To-go (§ 60), Tragetaschenverbot (§ 12 Abs. 1), Rücknahmepflichten beschränkt auf das eigene Sortiment (§ 39 Abs. 1 Satz 2) sowie künftig die Mehrwegquote für Getränke (Art. 29 Abs. 6 PPWR ab 2030). Zusätzlich gelten die allgemeinen Vertreiber-Sorgfaltspflichten (Art. 19 PPWR, § 13 Abs. 3 VerpackDG). Quellen: Art. 3 Abs. 1 Nr. 21, Art. 19, Art. 29 Abs. 6 PPWR; §§ 12 Abs. 1, 13 Abs. 3, 39 Abs. 1, 46, 47, 60 VerpackDG. Grenze: Keine.</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21 PPWR; Art. 19 PPWR; §§ 46, 47, 60 VerpackDG; § 12 Abs. 1 VerpackDG</w:t>
      </w:r>
    </w:p>
    <w:p>
      <w:pPr>
        <w:keepNext/>
        <w:pBdr>
          <w:top w:val="single" w:color="24A27F" w:sz="4" w:space="4"/>
        </w:pBdr>
        <w:spacing w:after="40" w:before="260"/>
      </w:pPr>
      <w:r>
        <w:rPr>
          <w:rFonts w:ascii="Arial" w:cs="Arial" w:eastAsia="Arial" w:hAnsi="Arial"/>
          <w:b/>
          <w:bCs/>
          <w:color w:val="004494"/>
          <w:sz w:val="22"/>
          <w:szCs w:val="22"/>
        </w:rPr>
        <w:t xml:space="preserve">A25  </w:t>
      </w:r>
      <w:r>
        <w:rPr>
          <w:rFonts w:ascii="Arial" w:cs="Arial" w:eastAsia="Arial" w:hAnsi="Arial"/>
          <w:b/>
          <w:bCs/>
          <w:sz w:val="22"/>
          <w:szCs w:val="22"/>
        </w:rPr>
        <w:t xml:space="preserve">Eine Rolle je Firma – oder je Produktlinie?</w:t>
      </w:r>
    </w:p>
    <w:p>
      <w:pPr>
        <w:spacing w:after="60" w:before="0"/>
      </w:pPr>
      <w:r>
        <w:rPr>
          <w:rFonts w:ascii="Arial" w:cs="Arial" w:eastAsia="Arial" w:hAnsi="Arial"/>
          <w:color w:val="6B7280"/>
          <w:sz w:val="16"/>
          <w:szCs w:val="16"/>
        </w:rPr>
        <w:t xml:space="preserve">Rollen / EPR · rechtsverbindlich · Rechtsstand 2026-10-17 · Bezug: #08</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Gibt es eigentlich EINE Rolle, die für unsere ganze Firma gilt, oder müssen wir das wirklich für jede Produktlinie einzeln durchdeklinieren?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Es gibt keine pauschale Firmenrolle. Alle Rollen der PPWR (Erzeuger, Hersteller, Importeur, Vertreiber, Endvertreiber, Lieferant, Fulfilment-Dienstleister) knüpfen an konkrete Tätigkeiten in Bezug auf konkrete Verpackungen an (Art. 3 Abs. 1 Nr. 12–21 PPWR); der Hersteller ist zudem bewusst KEIN eigener Wirtschaftsakteur, sondern eine Querschnittsrolle aus Erzeuger, Importeur oder Vertreiber (Nr. 12 i. V. m. Nr. 15). Dasselbe Unternehmen kann daher je Produktlinie unterschiedliche Rollen-Sets tragen – etwa Erzeuger+Hersteller bei der Eigenproduktion, nur Vertreiber bei Handelsware, Importeur+Hersteller bei Drittlandsware. Folge: Rollenbestimmung je Produktlinie anhand der Tätigkeiten (genau das leistet der Onboarding-Wizard); Pflichten, Fristen und Risiken ergeben sich erst aus dem jeweiligen Set. Quellen: Art. 3 Abs. 1 Nr. 12–21 PPWR; Systematik bestätigt in Leitfaden C(2026) 3702 Abschn. 2–4. Grenze: Keine.</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12–21 PPWR; Leitfaden C(2026) 3702 Abschn. 2–4</w:t>
      </w:r>
    </w:p>
    <w:p>
      <w:pPr>
        <w:keepNext/>
        <w:pBdr>
          <w:top w:val="single" w:color="24A27F" w:sz="4" w:space="4"/>
        </w:pBdr>
        <w:spacing w:after="40" w:before="260"/>
      </w:pPr>
      <w:r>
        <w:rPr>
          <w:rFonts w:ascii="Arial" w:cs="Arial" w:eastAsia="Arial" w:hAnsi="Arial"/>
          <w:b/>
          <w:bCs/>
          <w:color w:val="004494"/>
          <w:sz w:val="22"/>
          <w:szCs w:val="22"/>
        </w:rPr>
        <w:t xml:space="preserve">A26  </w:t>
      </w:r>
      <w:r>
        <w:rPr>
          <w:rFonts w:ascii="Arial" w:cs="Arial" w:eastAsia="Arial" w:hAnsi="Arial"/>
          <w:b/>
          <w:bCs/>
          <w:sz w:val="22"/>
          <w:szCs w:val="22"/>
        </w:rPr>
        <w:t xml:space="preserve">Auslands-Direktvertrieb: Bevollmächtigter ab 12.08.2026 Pflicht?</w:t>
      </w:r>
    </w:p>
    <w:p>
      <w:pPr>
        <w:spacing w:after="60" w:before="0"/>
      </w:pPr>
      <w:r>
        <w:rPr>
          <w:rFonts w:ascii="Arial" w:cs="Arial" w:eastAsia="Arial" w:hAnsi="Arial"/>
          <w:color w:val="6B7280"/>
          <w:sz w:val="16"/>
          <w:szCs w:val="16"/>
        </w:rPr>
        <w:t xml:space="preserve">Rollen / EPR · rechtsverbindlich · Rechtsstand 2026-10-17 · Bezug: #09, #31, #08</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Wir sitzen in Österreich und verkaufen online direkt an Endkunden in Deutschland. Stimmt es, dass wir ab August zwingend einen Bevollmächtigten brauchen?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Ja. Wer ohne Niederlassung in Deutschland leere Verpackungen oder verpackte Produkte direkt an Endabnehmer im Bundesgebiet vertreibt, ist Hersteller nach Art. 3 Abs. 1 Nr. 15 lit. c bzw. d PPWR und muss einen Bevollmächtigten für die erweiterte Herstellerverantwortung benennen: für EU-ansässige Hersteller folgt das aus Art. 45 Abs. 3 Satz 1 PPWR, für Drittstaaten-Hersteller hat Deutschland die Option des Art. 45 Abs. 3 Satz 2 PPWR in § 5 Abs. 2 Satz 2 VerpackDG verbindlich ausgeübt. Konkrete Folge: Die Beauftragung muss vor dem erstmaligen Bereitstellen im Bundesgebiet erfolgen (§ 5 Abs. 2 VerpackDG); die bislang freiwillige Bevollmächtigung wird damit zum 12.08.2026 zur Pflicht. Eine Befreiung ist nicht vorgesehen. Grenze: Die Registrierung im Verpackungsregister LUCID bleibt ausgenommen – sie ist höchstpersönliche Pflicht des Herstellers (§ 5 Abs. 2 i. V. m. § 6 VerpackDG). Hinweis aus der Behördeninformation der ZSVR (keine Rechtsnorm): Bereits registrierte Hersteller mit Sitz im Ausland werden ab dem 12.08.2026 nach dem LUCID-Login auf eine fehlende Bevollmächtigung hingewiesen und müssen die Angabe ergänzen; bei Erstregistrierungen ist der Bevollmächtigte direkt im Schritt Stammdaten anzugeben, sonst kann die Registrierung nicht abgeschlossen werden.</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15 lit. c und d PPWR (VO (EU) 2025/40); Art. 45 Abs. 3 PPWR; § 5 Abs. 2 VerpackDG (BGBl. 2026 I Nr. 207); § 6 VerpackDG; ZSVR: „PPWR und VerpackDG – was sich für Sie ändert" und „Bevollmächtigung" (verpackungsregister.org, Behördeninformation)</w:t>
      </w:r>
    </w:p>
    <w:p>
      <w:pPr>
        <w:keepNext/>
        <w:pBdr>
          <w:top w:val="single" w:color="24A27F" w:sz="4" w:space="4"/>
        </w:pBdr>
        <w:spacing w:after="40" w:before="260"/>
      </w:pPr>
      <w:r>
        <w:rPr>
          <w:rFonts w:ascii="Arial" w:cs="Arial" w:eastAsia="Arial" w:hAnsi="Arial"/>
          <w:b/>
          <w:bCs/>
          <w:color w:val="004494"/>
          <w:sz w:val="22"/>
          <w:szCs w:val="22"/>
        </w:rPr>
        <w:t xml:space="preserve">A27  </w:t>
      </w:r>
      <w:r>
        <w:rPr>
          <w:rFonts w:ascii="Arial" w:cs="Arial" w:eastAsia="Arial" w:hAnsi="Arial"/>
          <w:b/>
          <w:bCs/>
          <w:sz w:val="22"/>
          <w:szCs w:val="22"/>
        </w:rPr>
        <w:t xml:space="preserve">Bevollmächtigter: Was übernimmt er, was bleibt beim Hersteller?</w:t>
      </w:r>
    </w:p>
    <w:p>
      <w:pPr>
        <w:spacing w:after="60" w:before="0"/>
      </w:pPr>
      <w:r>
        <w:rPr>
          <w:rFonts w:ascii="Arial" w:cs="Arial" w:eastAsia="Arial" w:hAnsi="Arial"/>
          <w:color w:val="6B7280"/>
          <w:sz w:val="16"/>
          <w:szCs w:val="16"/>
        </w:rPr>
        <w:t xml:space="preserve">Rollen / EPR · rechtsverbindlich · Rechtsstand 2026-10-17 · Bezug: #09, #31, #32, #34</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Welche Pflichten übernimmt der Bevollmächtigte konkret für uns – und was müssen wir trotzdem selbst erledigen?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Der Bevollmächtigte für die erweiterte Herstellerverantwortung tritt in die EPR-Pflichten nach Kapitel VIII PPWR und nach dem VerpackDG ein; er gilt insoweit als Hersteller und handelt im eigenen Namen (§ 5 Abs. 2 und 3 VerpackDG). Konkrete Folge: Er übernimmt nach der Behördeninformation der ZSVR insbesondere den Abschluss des Systembeteiligungsvertrags, die Datenmeldungen zu Verpackungsmengen in LUCID, die Abgabe von Vollständigkeitserklärungen, die Erfüllung der Rücknahmepflichten nach § 39 VerpackDG sowie die Beteiligung an einem bundesweiten Pfandsystem für pfandpflichtige Einweggetränkeverpackungen. Beim Hersteller selbst verbleibt allein die Registrierung in LUCID einschließlich der Pflege der Registrierungsdaten – sie ist von der Bevollmächtigung ausgenommen (§ 5 Abs. 2 VerpackDG). Grenze: Davon zu unterscheiden ist die einfache Beauftragung Dritter nach § 5 Abs. 1 VerpackDG – dort sind sowohl die Registrierung nach § 6 als auch die Datenmeldungen nach § 9 ausdrücklich ausgeschlossen (§ 5 Abs. 1 Satz 2 VerpackDG). Ein beauftragter Dritter darf Mengenmeldungen also nicht abgeben, der EPR-Bevollmächtigte schon, weil er kraft § 5 Abs. 3 als Hersteller gilt.</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 5 Abs. 1 bis 3 VerpackDG (BGBl. 2026 I Nr. 207); § 39 VerpackDG; Kapitel VIII PPWR (VO (EU) 2025/40), insb. Art. 44, 45; ZSVR: „Bevollmächtigung" (verpackungsregister.org, Behördeninformation)</w:t>
      </w:r>
    </w:p>
    <w:p>
      <w:pPr>
        <w:keepNext/>
        <w:pBdr>
          <w:top w:val="single" w:color="24A27F" w:sz="4" w:space="4"/>
        </w:pBdr>
        <w:spacing w:after="40" w:before="260"/>
      </w:pPr>
      <w:r>
        <w:rPr>
          <w:rFonts w:ascii="Arial" w:cs="Arial" w:eastAsia="Arial" w:hAnsi="Arial"/>
          <w:b/>
          <w:bCs/>
          <w:color w:val="004494"/>
          <w:sz w:val="22"/>
          <w:szCs w:val="22"/>
        </w:rPr>
        <w:t xml:space="preserve">A28  </w:t>
      </w:r>
      <w:r>
        <w:rPr>
          <w:rFonts w:ascii="Arial" w:cs="Arial" w:eastAsia="Arial" w:hAnsi="Arial"/>
          <w:b/>
          <w:bCs/>
          <w:sz w:val="22"/>
          <w:szCs w:val="22"/>
        </w:rPr>
        <w:t xml:space="preserve">Bevollmächtigter: Anforderungen an Person und Benennung?</w:t>
      </w:r>
    </w:p>
    <w:p>
      <w:pPr>
        <w:spacing w:after="60" w:before="0"/>
      </w:pPr>
      <w:r>
        <w:rPr>
          <w:rFonts w:ascii="Arial" w:cs="Arial" w:eastAsia="Arial" w:hAnsi="Arial"/>
          <w:color w:val="6B7280"/>
          <w:sz w:val="16"/>
          <w:szCs w:val="16"/>
        </w:rPr>
        <w:t xml:space="preserve">Rollen / EPR · rechtsverbindlich · Rechtsstand 2026-10-17 · Bezug: #09, #31</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Wer darf überhaupt unser Bevollmächtigter sein, und wie läuft die Benennung praktisch ab?</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Der Bevollmächtigte für die erweiterte Herstellerverantwortung muss in dem Mitgliedstaat niedergelassen sein, in dem der Hersteller die Verpackungen erstmals bereitstellt – für Deutschland also mit Sitz oder Niederlassung im Bundesgebiet (Art. 3 Abs. 1 Nr. 20 PPWR). Konkrete Folge: Jeder Hersteller darf nur einen Bevollmächtigten beauftragen; die Beauftragung erfolgt durch schriftliche Vollmacht in deutscher Sprache (§ 5 Abs. 4 VerpackDG). Der Bevollmächtigte ist der ZSVR unverzüglich nach der Beauftragung zu benennen; die Benennung erfolgt im Rahmen der LUCID-Registrierung und bedarf der Bestätigung durch die ZSVR (§ 5 Abs. 5 VerpackDG). Nach der Behördeninformation der ZSVR (keine Rechtsnorm) setzt die Benennung voraus, dass der Bevollmächtigte über einen eigenen Bevollmächtigten-Login in LUCID verfügt; die ZSVR veröffentlicht keine Liste registrierter Bevollmächtigter, die Auswahl eines Anbieters obliegt dem Hersteller. Die ZSVR gibt zudem an, dass nur eine unternehmensexterne Person Bevollmächtigter sein kann; eigene Mitarbeiter sind in LUCID als Bearbeiter der Herstellerregistrierung einzutragen (!). Grenze: Endet die Beauftragung, ist dies der ZSVR unverzüglich mitzuteilen; die Pflicht des Bevollmächtigten für während seiner Benennung entstandene Herstellerpflichten bleibt bestehen (§ 5 Abs. 6 VerpackDG).</w:t>
      </w:r>
    </w:p>
    <w:p>
      <w:pPr>
        <w:spacing w:after="40" w:before="0"/>
      </w:pPr>
      <w:r>
        <w:rPr>
          <w:rFonts w:ascii="Arial" w:cs="Arial" w:eastAsia="Arial" w:hAnsi="Arial"/>
          <w:sz w:val="18"/>
          <w:szCs w:val="18"/>
        </w:rPr>
        <w:t xml:space="preserve">Aktualisierung 17.10.2026: Nach der Behördeninformation der ZSVR (Themenseite Bevollmächtigung, Stand August/September 2026) wird die Benennung erst mit Bestätigung des Bevollmächtigten in LUCID wirksam. Der Bevollmächtigte kann die Bevollmächtigung nach ZSVR-Information von seiner Seite aus kündigen. Zur politischen Diskussion über eine Aussetzung der Pflicht siehe A35.</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20 PPWR (VO (EU) 2025/40); § 5 Abs. 4 bis 6 VerpackDG (BGBl. 2026 I Nr. 207); ZSVR: „Bevollmächtigung" (verpackungsregister.org, Behördeninformation)</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 Aussage „nur unternehmensexterne Person" nur als ZSVR-Information belegt, keine ausdrückliche Norm-Fundstelle identifiziert – Cattwyk-Einordnung erbeten | (!) Ergänzung 10/2026 aus ZSVR-Themenseite, Normzitat für Wirksamkeit mit LUCID-Bestätigung (§ 5 Abs. 4–6 VerpackDG?) pinnen</w:t>
      </w:r>
    </w:p>
    <w:p>
      <w:pPr>
        <w:keepNext/>
        <w:pBdr>
          <w:top w:val="single" w:color="24A27F" w:sz="4" w:space="4"/>
        </w:pBdr>
        <w:spacing w:after="40" w:before="260"/>
      </w:pPr>
      <w:r>
        <w:rPr>
          <w:rFonts w:ascii="Arial" w:cs="Arial" w:eastAsia="Arial" w:hAnsi="Arial"/>
          <w:b/>
          <w:bCs/>
          <w:color w:val="004494"/>
          <w:sz w:val="22"/>
          <w:szCs w:val="22"/>
        </w:rPr>
        <w:t xml:space="preserve">A29  </w:t>
      </w:r>
      <w:r>
        <w:rPr>
          <w:rFonts w:ascii="Arial" w:cs="Arial" w:eastAsia="Arial" w:hAnsi="Arial"/>
          <w:b/>
          <w:bCs/>
          <w:sz w:val="22"/>
          <w:szCs w:val="22"/>
        </w:rPr>
        <w:t xml:space="preserve">Erzeuger &amp; Hersteller: Prüfschema der ZSVR?</w:t>
      </w:r>
    </w:p>
    <w:p>
      <w:pPr>
        <w:spacing w:after="60" w:before="0"/>
      </w:pPr>
      <w:r>
        <w:rPr>
          <w:rFonts w:ascii="Arial" w:cs="Arial" w:eastAsia="Arial" w:hAnsi="Arial"/>
          <w:color w:val="6B7280"/>
          <w:sz w:val="16"/>
          <w:szCs w:val="16"/>
        </w:rPr>
        <w:t xml:space="preserve">Rollen / EPR · unverbindliche Auslegung · Rechtsstand 2026-10-17 · Bezug: #08</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Nach welchem Schema prüft die ZSVR künftig, wer Erzeuger und wer Hersteller einer Verpackung ist?</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Die ZSVR beschreibt in ihrer Behördeninformation ein zweistufiges Prüfschema, das die Definitionen der PPWR (Art. 3 Abs. 1 Nr. 13 „Erzeuger"/manufacturer für die Konformität, Nr. 15 „Hersteller"/producer für die EPR) praktisch handhabbar macht. Vorrangig gilt danach das Markenprinzip: Lässt ein Unternehmen Verpackungen oder verpackte Produkte unter eigenem Namen oder eigener Marke entwickeln oder herstellen, ist es selbst Erzeuger und zugleich Hersteller. Trägt die Verpackung nicht die Marke des Auftraggebers, werden beide Rollen getrennt bestimmt: Für die Erzeugereigenschaft kommt es auf die Verpackungsart und den Zeitpunkt der Vollständigkeit an – bei Transport-, Service- und Primärproduktionsverpackungen können die Pflichten schon für die leere Verpackung entstehen, bei Verkaufs- und Umverpackungen in der Regel erst mit Befüllung; EU-weit gibt es nach ZSVR-Lesart je Verpackung genau einen Erzeuger. Für die Herstellereigenschaft gilt der Inlandsvorrang: Maßgeblich ist das erste Unternehmen der Lieferkette in dem Mitgliedstaat, in dem die Verpackung zu Abfall wird; nur bei Direktlieferung aus dem Ausland an einen Endabnehmer ist das ausländische Unternehmen selbst Hersteller (vgl. Art. 3 Abs. 1 Nr. 15 lit. c und d PPWR). Grenze: Dieses Schema ist eine Auslegung der ZSVR und keine Rechtsnorm; die verbindliche Grundlage bleiben die PPWR-Definitionen. Einzelfragen der Abgrenzung (etwa Serviceverpackungen nach Art. 21 PPWR oder Fernabsatz-Konstellationen) sind gesondert zu prüfen.</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13 und 15 PPWR (VO (EU) 2025/40); Art. 21 PPWR; ZSVR: „PPWR und VerpackDG – was sich für Sie ändert" und „Abgrenzung Erzeuger &amp; Hersteller" (verpackungsregister.org, Behördeninformation/Auslegung der ZSVR); EUNR-Papier „Producer Definition" (gekennzeichnete Sekundärquelle)</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 ZSVR-Grundsätze (Markenvorrang, „EU-weit genau ein Erzeuger") ohne exakte Norm-Zitate auf der ZSVR-Seite – Abgleich mit EUNR-Lesart (vgl. A23) durch Cattwyk</w:t>
      </w:r>
    </w:p>
    <w:p>
      <w:pPr>
        <w:keepNext/>
        <w:pBdr>
          <w:top w:val="single" w:color="24A27F" w:sz="4" w:space="4"/>
        </w:pBdr>
        <w:spacing w:after="40" w:before="260"/>
      </w:pPr>
      <w:r>
        <w:rPr>
          <w:rFonts w:ascii="Arial" w:cs="Arial" w:eastAsia="Arial" w:hAnsi="Arial"/>
          <w:b/>
          <w:bCs/>
          <w:color w:val="004494"/>
          <w:sz w:val="22"/>
          <w:szCs w:val="22"/>
        </w:rPr>
        <w:t xml:space="preserve">A30  </w:t>
      </w:r>
      <w:r>
        <w:rPr>
          <w:rFonts w:ascii="Arial" w:cs="Arial" w:eastAsia="Arial" w:hAnsi="Arial"/>
          <w:b/>
          <w:bCs/>
          <w:sz w:val="22"/>
          <w:szCs w:val="22"/>
        </w:rPr>
        <w:t xml:space="preserve">Versandetikett auf dem Karton: Werden wir dadurch zum Erzeuger?</w:t>
      </w:r>
    </w:p>
    <w:p>
      <w:pPr>
        <w:spacing w:after="60" w:before="0"/>
      </w:pPr>
      <w:r>
        <w:rPr>
          <w:rFonts w:ascii="Arial" w:cs="Arial" w:eastAsia="Arial" w:hAnsi="Arial"/>
          <w:color w:val="6B7280"/>
          <w:sz w:val="16"/>
          <w:szCs w:val="16"/>
        </w:rPr>
        <w:t xml:space="preserve">Rollen / EPR · unverbindliche Auslegung · Rechtsstand 2026-10-17 · Bezug: #08, #07</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Wir sind Onlinehändler und kleben auf fertig gekaufte Versandkartons nur unser Versandetikett. Im Sommer hieß es, damit würden wir zum Erzeuger. Stimmt das?</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Die Frage ist derzeit zwischen EU-Kommission und ZSVR unterschiedlich beantwortet. Die Kommission stellt in der 2. Edition ihrer FAQ (Kap. II FAQ 6/7) klar, dass ein Aufkleber zu Versandzwecken kein „Branding“ ist und den Versender daher nicht zum Erzeuger im Sinne des Art. 3 Abs. 1 Nr. 13 PPWR macht; ein handelsüblicher Karton ist mit seiner Herstellung fertig (FAQ 5). Die ZSVR behandelt das Etikett auf ihrer Themenseite nicht gesondert, sieht aber denjenigen als Erzeuger, der Materialien erst zur vollständigen Versandverpackung zusammenfügt, und bei Hinzufügen zu einer fertigen Verpackung eine Erzeugereigenschaft nach Art. 21 PPWR nur, wenn die Recyclingfähigkeit beeinflusst werden kann. Folge: Nach der Kommissionslesart entsteht durch das reine Etikett keine Erzeugerrolle und damit keine Pflicht zur Konformitätsbewertung, technischen Dokumentation und Konformitätserklärung für den Karton; diese bleiben beim Kartonhersteller. Herstellerpflichten nach VerpackDG (Registrierung, Systembeteiligung) sind davon unabhängig und treffen den Versender ohnehin, weil Versandverpackungen systembeteiligungspflichtig sind. Quellen: Art. 3 Abs. 1 Nr. 13, Art. 21 PPWR; Kommissions-FAQ 2. Ed. Kap. II FAQ 5–7 (unverbindlich); ZSVR-Themenseite Versandhandel (Behördeninformation). Grenze: Beide Dokumente sind keine Rechtsnormen. Eine schriftliche ZSVR-Stellungnahme zum Versandetikett liegt nach unserem Stand nicht vor. Wer auf Nummer sicher gehen will, lässt sich vom Kartonlieferanten die Angaben nach Art. 16 PPWR geben und dokumentiert, dass der Karton unverändert verwendet wird.</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13 PPWR (VO (EU) 2025/40); Art. 21 PPWR; Kommissions-FAQ zur PPWR, 2. Edition (03.08.2026), Kap. II FAQ 5–7 (unverbindliche Auslegung der EU-Kommission); ZSVR: „Versand- und Onlinehandel: Was ändert sich durch die PPWR?“ (verpackungsregister.org, Behördeninformation, keine Rechtsnorm)</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(neu 10/2026) Divergenz Kommission (FAQ 2. Ed. Kap. II FAQ 6/7: Versandaufkleber ist kein Branding) vs. ZSVR-Themenseite Versandhandel (Zusammenfügen zur Versandverpackung macht zum Erzeuger; Etikett nicht eigens behandelt). Schriftliche ZSVR-Stellungnahme zum Etikett bis 17.10.2026 nicht auffindbar. Cattwyk-Einordnung, welche Lesart ausgespielt wird.</w:t>
      </w:r>
    </w:p>
    <w:p>
      <w:pPr>
        <w:keepNext/>
        <w:pBdr>
          <w:top w:val="single" w:color="24A27F" w:sz="4" w:space="4"/>
        </w:pBdr>
        <w:spacing w:after="40" w:before="260"/>
      </w:pPr>
      <w:r>
        <w:rPr>
          <w:rFonts w:ascii="Arial" w:cs="Arial" w:eastAsia="Arial" w:hAnsi="Arial"/>
          <w:b/>
          <w:bCs/>
          <w:color w:val="004494"/>
          <w:sz w:val="22"/>
          <w:szCs w:val="22"/>
        </w:rPr>
        <w:t xml:space="preserve">A31  </w:t>
      </w:r>
      <w:r>
        <w:rPr>
          <w:rFonts w:ascii="Arial" w:cs="Arial" w:eastAsia="Arial" w:hAnsi="Arial"/>
          <w:b/>
          <w:bCs/>
          <w:sz w:val="22"/>
          <w:szCs w:val="22"/>
        </w:rPr>
        <w:t xml:space="preserve">Flach gelieferter Karton, Klebeband, Füllmaterial: Wer ist Erzeuger der Versandverpackung?</w:t>
      </w:r>
    </w:p>
    <w:p>
      <w:pPr>
        <w:spacing w:after="60" w:before="0"/>
      </w:pPr>
      <w:r>
        <w:rPr>
          <w:rFonts w:ascii="Arial" w:cs="Arial" w:eastAsia="Arial" w:hAnsi="Arial"/>
          <w:color w:val="6B7280"/>
          <w:sz w:val="16"/>
          <w:szCs w:val="16"/>
        </w:rPr>
        <w:t xml:space="preserve">Rollen / EPR · unverbindliche Auslegung · Rechtsstand 2026-10-17 · Bezug: #08</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Wir kaufen Faltkartons flach ein, falten sie, kleben sie mit unserem Klebeband zu und füllen mit Luftpolsterfolie. Sind wir Erzeuger dieser Versandverpackung?</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Die Kommission betrachtet jedes Verpackungselement einzeln: Erzeuger einer Transportverpackung ist, wer die leere Verpackung in ihre endgültige Form bringt. Ein Faltkarton ist nach der Kommissions-FAQ bereits mit seiner Herstellung fertig, auch wenn er flach geliefert wird; Klebeband, Folie und Palette haben jeweils ihren eigenen Erzeuger, eine Sendung kann daher mehrere Erzeuger haben (FAQ 2. Ed. Kap. II FAQ 5). Die ZSVR sieht es enger: Wer Materialien zur vollständigen Versandverpackung zusammenfügt, ist nach ihrer Themenseite Erzeuger (Fall B.2); wer einer fertigen Verpackung Klebeband oder Füllmaterial hinzufügt, nur dann, wenn dies die Recyclingfähigkeit beeinflussen kann (Fall B.3, Art. 21 PPWR). Folge: Nach der Kommissionslesart bleiben Konformitätsbewertung und Konformitätserklärung beim jeweiligen Materialhersteller; Sie benötigen von jedem Lieferanten die Angaben nach Art. 16 PPWR. Nach der ZSVR-Lesart treffen Sie als Erzeuger der zusammengefügten Versandverpackung die Pflichten der Art. 15, 38 und 39 PPWR. Herstellerpflichten nach VerpackDG treffen Sie in beiden Lesarten. Quellen: Art. 3 Abs. 1 Nr. 13, Nr. 15 lit. a, Art. 21 PPWR; Kommissions-FAQ 2. Ed. Kap. II FAQ 4/5 (unverbindlich); ZSVR-Themenseite Versandhandel (Behördeninformation). Grenze: Solange die Divergenz nicht aufgelöst ist, empfiehlt sich die Dokumentation beider Wege: Lieferantenangaben nach Art. 16 einholen und zugleich festhalten, welche Elemente Sie selbst zusammenfügen.</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13 und Nr. 15 lit. a PPWR (VO (EU) 2025/40); Art. 21 PPWR; Kommissions-FAQ zur PPWR, 2. Edition (03.08.2026), Kap. II FAQ 4 und 5 (unverbindliche Auslegung der EU-Kommission); ZSVR: „Versand- und Onlinehandel“, Fälle B.2 und B.3 (verpackungsregister.org, Behördeninformation)</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(neu 10/2026) Kommissions-FAQ 2. Ed. Kap. II FAQ 5 („mehrere Hersteller je Sendung“) gegen ZSVR-Fälle B.2/B.3 (Zusammenfügen beim Händler). Abgleich mit Regel B1 und A5 der Rollen-Engine; B1-Flag ggf. auflösbar.</w:t>
      </w:r>
    </w:p>
    <w:p>
      <w:pPr>
        <w:keepNext/>
        <w:pBdr>
          <w:top w:val="single" w:color="24A27F" w:sz="4" w:space="4"/>
        </w:pBdr>
        <w:spacing w:after="40" w:before="260"/>
      </w:pPr>
      <w:r>
        <w:rPr>
          <w:rFonts w:ascii="Arial" w:cs="Arial" w:eastAsia="Arial" w:hAnsi="Arial"/>
          <w:b/>
          <w:bCs/>
          <w:color w:val="004494"/>
          <w:sz w:val="22"/>
          <w:szCs w:val="22"/>
        </w:rPr>
        <w:t xml:space="preserve">A32  </w:t>
      </w:r>
      <w:r>
        <w:rPr>
          <w:rFonts w:ascii="Arial" w:cs="Arial" w:eastAsia="Arial" w:hAnsi="Arial"/>
          <w:b/>
          <w:bCs/>
          <w:sz w:val="22"/>
          <w:szCs w:val="22"/>
        </w:rPr>
        <w:t xml:space="preserve">Handels-Eigenmarke mit genanntem Abfüller: Wer ist Erzeuger?</w:t>
      </w:r>
    </w:p>
    <w:p>
      <w:pPr>
        <w:spacing w:after="60" w:before="0"/>
      </w:pPr>
      <w:r>
        <w:rPr>
          <w:rFonts w:ascii="Arial" w:cs="Arial" w:eastAsia="Arial" w:hAnsi="Arial"/>
          <w:color w:val="6B7280"/>
          <w:sz w:val="16"/>
          <w:szCs w:val="16"/>
        </w:rPr>
        <w:t xml:space="preserve">Rollen / EPR · unverbindliche Auslegung · Rechtsstand 2026-10-17 · Bezug: #08</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Auf unserer Handelsmarke steht zusätzlich „hergestellt für … von Molkerei XY“. Sind wir trotzdem Erzeuger der Verpackung?</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Erzeuger ist nach Art. 3 Abs. 1 Nr. 13 lit. a PPWR, wer eine Verpackung unter eigenem Namen oder eigener Marke in Verkehr bringt. Die Kommissions-FAQ (2. Ed. Kap. II FAQ 6) stellt klar, dass bei Verpackungen mit Marke derjenige Erzeuger ist, dessen Name oder Marke aufgebracht ist, sofern er die maßgebliche vertragliche Kontrolle über Gestaltung und Herstellung hat; ist zusätzlich ein Fremdname genannt, entscheidet der Vertrag (FAQ 7). Die ZSVR liest das so, dass bei Handels-Eigenmarken das Handelsunternehmen Hersteller nach VerpackDG und in der Regel auch Erzeuger ist, auch wenn der Abfüller mitgenannt wird. Folge: Als Markeninhaber mit Gestaltungsvorgaben tragen Sie die Erzeugerpflichten (Art. 15, 38, 39 PPWR) und die Herstellerpflichten nach VerpackDG. Der Abfüller bleibt Lieferant nach Art. 16 PPWR und muss Ihnen die Konformitätsangaben liefern. Quellen: Art. 3 Abs. 1 Nr. 13 lit. a, Nr. 15 lit. b PPWR; Kommissions-FAQ 2. Ed. Kap. II FAQ 6/7 (unverbindlich); ZSVR-Meldung 12.08.2026 (Behördeninformation). Grenze: Bei echten Lizenzmodellen, in denen der Markeninhaber keinen Einfluss auf Gestaltung und Herstellung hat, verlangt die Kommission eine Einzelfallprüfung des Vertrags; hier ist eine Einordnung durch eine spezialisierte Kanzlei sinnvoll.</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13 lit. a und Nr. 15 lit. b PPWR (VO (EU) 2025/40); Kommissions-FAQ zur PPWR, 2. Edition (03.08.2026), Kap. II FAQ 6 und 7 (unverbindliche Auslegung der EU-Kommission); ZSVR-Meldung vom 12.08.2026: „Zweite Fassung der PPWR-FAQ: Klarstellung zur Erzeugereigenschaft bei Eigenmarken des Handels“ (Behördeninformation)</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(neu 10/2026) Ergänzt A03/A20 um Kommissions-FAQ 2. Ed. Kap. II FAQ 6/7 und ZSVR-Meldung vom 12.08.2026. ZSVR-Lesart („Handelsunternehmen in der Regel auch Erzeuger“) gegen Einzelfallvorbehalt der Kommission bei Lizenzmodellen abgleichen.</w:t>
      </w:r>
    </w:p>
    <w:p>
      <w:pPr>
        <w:keepNext/>
        <w:pBdr>
          <w:top w:val="single" w:color="24A27F" w:sz="4" w:space="4"/>
        </w:pBdr>
        <w:spacing w:after="40" w:before="260"/>
      </w:pPr>
      <w:r>
        <w:rPr>
          <w:rFonts w:ascii="Arial" w:cs="Arial" w:eastAsia="Arial" w:hAnsi="Arial"/>
          <w:b/>
          <w:bCs/>
          <w:color w:val="004494"/>
          <w:sz w:val="22"/>
          <w:szCs w:val="22"/>
        </w:rPr>
        <w:t xml:space="preserve">A33  </w:t>
      </w:r>
      <w:r>
        <w:rPr>
          <w:rFonts w:ascii="Arial" w:cs="Arial" w:eastAsia="Arial" w:hAnsi="Arial"/>
          <w:b/>
          <w:bCs/>
          <w:sz w:val="22"/>
          <w:szCs w:val="22"/>
        </w:rPr>
        <w:t xml:space="preserve">Maßgefertigte neutrale Transportverpackung: Erzeuger ist der Auftraggeber?</w:t>
      </w:r>
    </w:p>
    <w:p>
      <w:pPr>
        <w:spacing w:after="60" w:before="0"/>
      </w:pPr>
      <w:r>
        <w:rPr>
          <w:rFonts w:ascii="Arial" w:cs="Arial" w:eastAsia="Arial" w:hAnsi="Arial"/>
          <w:color w:val="6B7280"/>
          <w:sz w:val="16"/>
          <w:szCs w:val="16"/>
        </w:rPr>
        <w:t xml:space="preserve">Rollen / EPR · unverbindliche Auslegung · Rechtsstand 2026-10-17 · Bezug: #08, #40</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Wir lassen uns unbedruckte Transportkartons nach unseren Maßen und Spezifikationen fertigen. Ist der Kartonagenhersteller oder sind wir der Erzeuger?</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Bei kundenspezifisch gefertigter, unbedruckter Transportverpackung ordnet die Kommission die Erzeugerrolle dem Auftraggeber zu, der die Spezifikation festlegt (FAQ 2. Ed. Kap. X FAQ 14). Der fertigende Betrieb ist in diesem Fall Lieferant nach Art. 3 Abs. 1 Nr. 16 PPWR. Folge: Sie tragen als Erzeuger die Pflichten aus Art. 15 PPWR (Konformitätsbewertung nach Art. 38, technische Dokumentation nach Anhang VII, Konformitätserklärung nach Art. 39). Der Lieferant muss Ihnen nach Art. 16 Abs. 1 PPWR alle Informationen und Unterlagen liefern, die Sie für den Konformitätsnachweis brauchen; vereinbaren Sie das ausdrücklich im Liefervertrag. Quellen: Art. 3 Abs. 1 Nr. 13 und 16, Art. 15, 16 PPWR; Kommissions-FAQ 2. Ed. Kap. X FAQ 14 (unverbindlich). Grenze: Kauft derselbe Betrieb Standardkartons aus dem Katalog, bleibt der Kartonagenhersteller Erzeuger (vgl. A31).</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13 PPWR (VO (EU) 2025/40); Art. 16 Abs. 1 PPWR; Kommissions-FAQ zur PPWR, 2. Edition (03.08.2026), Kap. X FAQ 14 (unverbindliche Auslegung der EU-Kommission)</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(neu 10/2026) Kommissions-FAQ 2. Ed. Kap. X FAQ 14. Prüfen gegen Regel A4 (physische Herstellung) – FAQ ordnet bei kundenspezifischer Spezifikation dem Auftraggeber zu.</w:t>
      </w:r>
    </w:p>
    <w:p>
      <w:pPr>
        <w:keepNext/>
        <w:pBdr>
          <w:top w:val="single" w:color="24A27F" w:sz="4" w:space="4"/>
        </w:pBdr>
        <w:spacing w:after="40" w:before="260"/>
      </w:pPr>
      <w:r>
        <w:rPr>
          <w:rFonts w:ascii="Arial" w:cs="Arial" w:eastAsia="Arial" w:hAnsi="Arial"/>
          <w:b/>
          <w:bCs/>
          <w:color w:val="004494"/>
          <w:sz w:val="22"/>
          <w:szCs w:val="22"/>
        </w:rPr>
        <w:t xml:space="preserve">A34  </w:t>
      </w:r>
      <w:r>
        <w:rPr>
          <w:rFonts w:ascii="Arial" w:cs="Arial" w:eastAsia="Arial" w:hAnsi="Arial"/>
          <w:b/>
          <w:bCs/>
          <w:sz w:val="22"/>
          <w:szCs w:val="22"/>
        </w:rPr>
        <w:t xml:space="preserve">Konzerninterne Verbringung: Inverkehrbringen oder nicht?</w:t>
      </w:r>
    </w:p>
    <w:p>
      <w:pPr>
        <w:spacing w:after="60" w:before="0"/>
      </w:pPr>
      <w:r>
        <w:rPr>
          <w:rFonts w:ascii="Arial" w:cs="Arial" w:eastAsia="Arial" w:hAnsi="Arial"/>
          <w:color w:val="6B7280"/>
          <w:sz w:val="16"/>
          <w:szCs w:val="16"/>
        </w:rPr>
        <w:t xml:space="preserve">Rollen / EPR · unverbindliche Auslegung · Rechtsstand 2026-10-17 · Bezug: #08, #10</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Wir verpacken Teile in unserem Werk in Polen und schicken sie an unser eigenes Werk in Deutschland. Bringen wir diese Verpackung in Verkehr?</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Inverkehrbringen setzt eine erstmalige Bereitstellung auf dem Unionsmarkt voraus, also eine Abgabe im Rahmen einer Geschäftstätigkeit an einen anderen (Art. 3 Abs. 1 Nr. 10 und 11 PPWR). Die Kommission stellt klar, dass die Verbringung eigener Verpackungen innerhalb desselben Rechtsträgers ohne Handelsgeschäft kein Inverkehrbringen ist (FAQ 2. Ed. Kap. II FAQ 13). Folge: Für reine Werksverkehre innerhalb einer juristischen Person entstehen keine Erzeugerpflichten nach Art. 15 PPWR. Sobald die Verpackung einen anderen Rechtsträger erreicht, auch eine Konzernschwester, liegt eine Bereitstellung vor. Quellen: Art. 3 Abs. 1 Nr. 10 und 11 PPWR; Kommissions-FAQ 2. Ed. Kap. II FAQ 13 (unverbindlich). Grenze: Die Herstellerpflichten nach VerpackDG (Registrierung, Systembeteiligung) knüpfen an die erstmalige Bereitstellung im Bundesgebiet an; ob und ab wann diese im Konzern vorliegt, hängt von der konkreten Gesellschaftsstruktur ab (vgl. A21).</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10 und 11 PPWR (VO (EU) 2025/40); Kommissions-FAQ zur PPWR, 2. Edition (03.08.2026), Kap. II FAQ 13 (unverbindliche Auslegung der EU-Kommission)</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(neu 10/2026) Kommissions-FAQ 2. Ed. Kap. II FAQ 13. Verhältnis zur Definition Art. 3 Abs. 1 Nr. 10/11 und zu Datensatz #10 prüfen.</w:t>
      </w:r>
    </w:p>
    <w:p>
      <w:pPr>
        <w:keepNext/>
        <w:pBdr>
          <w:top w:val="single" w:color="24A27F" w:sz="4" w:space="4"/>
        </w:pBdr>
        <w:spacing w:after="40" w:before="260"/>
      </w:pPr>
      <w:r>
        <w:rPr>
          <w:rFonts w:ascii="Arial" w:cs="Arial" w:eastAsia="Arial" w:hAnsi="Arial"/>
          <w:b/>
          <w:bCs/>
          <w:color w:val="004494"/>
          <w:sz w:val="22"/>
          <w:szCs w:val="22"/>
        </w:rPr>
        <w:t xml:space="preserve">A35  </w:t>
      </w:r>
      <w:r>
        <w:rPr>
          <w:rFonts w:ascii="Arial" w:cs="Arial" w:eastAsia="Arial" w:hAnsi="Arial"/>
          <w:b/>
          <w:bCs/>
          <w:sz w:val="22"/>
          <w:szCs w:val="22"/>
        </w:rPr>
        <w:t xml:space="preserve">Bevollmächtigter nach Art. 45 Abs. 3: Gilt die Pflicht noch, oder wird sie ausgesetzt?</w:t>
      </w:r>
    </w:p>
    <w:p>
      <w:pPr>
        <w:spacing w:after="60" w:before="0"/>
      </w:pPr>
      <w:r>
        <w:rPr>
          <w:rFonts w:ascii="Arial" w:cs="Arial" w:eastAsia="Arial" w:hAnsi="Arial"/>
          <w:color w:val="6B7280"/>
          <w:sz w:val="16"/>
          <w:szCs w:val="16"/>
        </w:rPr>
        <w:t xml:space="preserve">Rollen / EPR · rechtsverbindlich · Rechtsstand 2026-10-30 · Bezug: #09</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Es heißt, die Pflicht zum Bevollmächtigten für ausländische Online-Händler werde wieder gekippt. Müssen wir jetzt überhaupt noch einen benennen?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Ja. Art. 45 Abs. 3 PPWR gilt seit dem 12.08.2026 unverändert, in Deutschland umgesetzt durch § 5 Abs. 2 VerpackDG (vgl. A26). Richtig ist, dass eine Änderung verhandelt wird (Omnibus VIII, Verfahren 2025/0395(COD)): Die Kommission hat mit COM(2025) 982 vorgeschlagen, die Pflicht vollständig bis zum 01.01.2035 auszusetzen. Das Europäische Parlament hat am 20.10.2026 seine Position beschlossen (616:9:39): Aussetzung nur für Kleinst- und Kleinunternehmen mit EU-Sitz (unter 50 Beschäftigte, Umsatz oder Bilanzsumme unter 10 Mio. Euro), längstens bis 2035; Drittstaaten-Hersteller bleiben pflichtig. Der Rat hat am 21.10.2026 sein Mandat beschlossen: Befreiung für EU-Hersteller unter einer Tonne Verpackung je Kalenderjahr im jeweiligen Mitgliedstaat, Überprüfung bis Ende 2030. Der Trilog folgt. Die Kommission hat die Mitgliedstaaten gebeten, bis zur Entscheidung auf Sanktionen zu verzichten (politische Aussage, keine Rechtsnorm); die ZSVR erklärt eine Befreiung für nicht möglich. Folge: Rechtlich besteht die Pflicht fort; die Benennung muss vor der ersten Bereitstellung erfolgen. Ein Verzicht im Vertrauen auf die Verhandlungen ist ein Risiko, das Sie bewusst eingehen würden. Quellen: Art. 45 Abs. 3 PPWR; § 5 Abs. 2 VerpackDG; COM(2025) 982, EP-Position T10-0345/2026, Ratsmandat PM 841/26 (Verfahren, nicht erlassen); DG-ENV-Seite (politische Aussage). Grenze: Ob, wann und für wen eine Aussetzung kommt, entscheidet der Trilog. Der PPWR Radar aktualisiert diesen Datensatz bei jedem Verfahrensschritt.</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45 Abs. 3 PPWR (VO (EU) 2025/40); § 5 Abs. 2 VerpackDG (BGBl. 2026 I Nr. 207); Kommissionsvorschlag COM(2025) 982 (Verfahren 2025/0395(COD)); ENVI-Bericht A10-0266/2026 vom 09.10.2026 (Gesetzgebungsverfahren, nicht erlassen); DG ENV: „Extended producer responsibility for packaging: small businesses“ (environment.ec.europa.eu, politische Aussage, unverbindlich); BMUKN-Meldung vom 08.09.2026: „Kritik an der EU-Verpackungsverordnung (PPWR): Bundesregierung setzt sich für Entlastungen ein“ (politische Position)</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(neu 10/2026) Watch-Item Omnibus VIII, Stand 26.10.2026 (EP-Position 20.10., Ratsmandat 21.10., Trilog offen). Antwort am 30.10.2026 konsolidiert. Frage an die Kanzlei: Kernaussage „Pflicht gilt, Verzicht ist bewusstes Risiko“ und Hinweis auf den Kommissions-Appell freigeben?</w:t>
      </w:r>
    </w:p>
    <w:p>
      <w:pPr>
        <w:keepNext/>
        <w:pBdr>
          <w:top w:val="single" w:color="24A27F" w:sz="4" w:space="4"/>
        </w:pBdr>
        <w:spacing w:after="40" w:before="260"/>
      </w:pPr>
      <w:r>
        <w:rPr>
          <w:rFonts w:ascii="Arial" w:cs="Arial" w:eastAsia="Arial" w:hAnsi="Arial"/>
          <w:b/>
          <w:bCs/>
          <w:color w:val="004494"/>
          <w:sz w:val="22"/>
          <w:szCs w:val="22"/>
        </w:rPr>
        <w:t xml:space="preserve">A36  </w:t>
      </w:r>
      <w:r>
        <w:rPr>
          <w:rFonts w:ascii="Arial" w:cs="Arial" w:eastAsia="Arial" w:hAnsi="Arial"/>
          <w:b/>
          <w:bCs/>
          <w:sz w:val="22"/>
          <w:szCs w:val="22"/>
        </w:rPr>
        <w:t xml:space="preserve">Verlag oder Versandhändler: Umschlag, Karton, Folie – welche Pflichten je Verpackung?</w:t>
      </w:r>
    </w:p>
    <w:p>
      <w:pPr>
        <w:spacing w:after="60" w:before="0"/>
      </w:pPr>
      <w:r>
        <w:rPr>
          <w:rFonts w:ascii="Arial" w:cs="Arial" w:eastAsia="Arial" w:hAnsi="Arial"/>
          <w:color w:val="6B7280"/>
          <w:sz w:val="16"/>
          <w:szCs w:val="16"/>
        </w:rPr>
        <w:t xml:space="preserve">Rollen / EPR · unverbindliche Auslegung · Rechtsstand 2026-10-17 · Bezug: #06, #07, #31, #32, #38, #18</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Wir sind ein Verlag und verschicken Zeitschriften und Bücher an Leser, teils in Folie eingeschweißt, teils im Umschlag oder Buchkarton. Betrifft uns die PPWR, und was müssen wir für welche Verpackung tun?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Betroffen sind Sie nicht wegen der Zeitschriften und Bücher, sondern wegen der Verpackung darum herum. Umschlag, Buchkarton, Folie und Füllmaterial sind E-Commerce-Verpackung und damit Transportverpackung (Art. 3 Abs. 1 Nr. 1 PPWR; FAQ 2. Ed. Kap. II FAQ 4); nach dem Katalog der ZSVR sind Versandverpackungen an Endkunden systembeteiligungspflichtig. Briefumschläge mit Rechnungen oder Korrespondenz sind keine Verpackung. Die Rolle bestimmt sich je Verpackung: Fertig gekaufte formstabile Umschläge und Kartons eines deutschen Lieferanten sind mit der Herstellung fertig; Erzeuger und Hersteller ist der Lieferant (Art. 3 Abs. 1 Nr. 13, Nr. 15 lit. a; ZSVR „Abgrenzung“; FAQ Kap. II FAQ 5). Sie sind dafür Vertreiber mit der Pflicht, die Registrierung des Lieferanten zu prüfen (Art. 19, § 13 Abs. 3 VerpackDG). Folie, die Sie oder Ihre Druckerei um die Zeitschrift schweißen, entsteht nach der ZSVR-Lesart erst bei der Anwendung; wer einschweißt und erstmals bereitstellt, ist Erzeuger und Hersteller. Kaufen Sie Kartons im EU-Ausland oder Drittland, sind Sie der erste Bereitsteller in Deutschland und damit Hersteller. Folge: Für zugekaufte deutsche Umschläge und Kartons keine Konformitätserklärung und keine Lizenzierung, aber die Registrierungsnummer des Lieferanten einholen. Für die selbst angewendete Folie Konformitätserklärung (Art. 15 Abs. 2, Anhang VIII), Erzeugerkennzeichnung (Art. 15 Abs. 5 und 6) und LUCID-Meldung der Folienmengen (§§ 6, 7, 9 VerpackDG); Ihre bestehende LUCID-Registrierung gilt fort (§ 68 Abs. 2). Für alle Versandkartons gilt ab 2030 die Leerraumquote von 50 Prozent (Art. 24). Quellen: siehe oben; ZSVR-Seiten sind Behördeninformation, die Kommissions-FAQ ist unverbindlich. Grenze: Richten Sie Kartons selbst auf und verkleben sie, sieht die ZSVR Sie als Erzeuger und Hersteller, die Kommission nicht (A30/A31). Lassen Sie die Folie durch eine Druckerei anbringen, entscheidet der Vertrag über die Rollen (A02). Beide Punkte liegen bei der Kanzlei zur Einordnung.</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 Nr. 13, Nr. 15 lit. a und Nr. 18 PPWR (VO (EU) 2025/40); Art. 15 Abs. 2, Art. 19, Art. 24 PPWR; §§ 6, 7, 13 Abs. 3, 68 Abs. 2 VerpackDG (BGBl. 2026 I Nr. 207); Kommissions-FAQ zur PPWR, 2. Edition (03.08.2026), Kap. II FAQ 4 und 5 (unverbindliche Auslegung der EU-Kommission); ZSVR: „Abgrenzung Erzeuger &amp; Hersteller“ und „Versand- und Onlinehandel“ (verpackungsregister.org, Behördeninformation, keine Rechtsnorm); ZSVR: Katalog systembeteiligungspflichtiger Verpackungen, Allgemeiner Teil, Stand 08/2026</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(neu 10/2026) Musterfall für die Verpackungs-Ebene (Regeln D1–D4). Beruht auf der ZSVR-Unterscheidung formstabil/flexibel und der Kommissions-FAQ 2. Ed.; Divergenz beim Zusammenfügen (A30/A31) und Lohnfertigung (A02) offen. Mit Regeln D1–D5 gemeinsam prüfen.</w:t>
      </w:r>
    </w:p>
    <w:p>
      <w:pPr>
        <w:pStyle w:val="Heading2"/>
        <w:keepNext/>
        <w:spacing w:after="100" w:before="280"/>
      </w:pPr>
      <w:r>
        <w:rPr>
          <w:rFonts w:ascii="Arial" w:cs="Arial" w:eastAsia="Arial" w:hAnsi="Arial"/>
          <w:b/>
          <w:bCs/>
          <w:color w:val="111111"/>
          <w:sz w:val="24"/>
          <w:szCs w:val="24"/>
        </w:rPr>
        <w:t xml:space="preserve">Block B – PPWR × VerpackDG</w:t>
      </w:r>
    </w:p>
    <w:p>
      <w:pPr>
        <w:keepNext/>
        <w:pBdr>
          <w:top w:val="single" w:color="24A27F" w:sz="4" w:space="4"/>
        </w:pBdr>
        <w:spacing w:after="40" w:before="260"/>
      </w:pPr>
      <w:r>
        <w:rPr>
          <w:rFonts w:ascii="Arial" w:cs="Arial" w:eastAsia="Arial" w:hAnsi="Arial"/>
          <w:b/>
          <w:bCs/>
          <w:color w:val="004494"/>
          <w:sz w:val="22"/>
          <w:szCs w:val="22"/>
        </w:rPr>
        <w:t xml:space="preserve">B01  </w:t>
      </w:r>
      <w:r>
        <w:rPr>
          <w:rFonts w:ascii="Arial" w:cs="Arial" w:eastAsia="Arial" w:hAnsi="Arial"/>
          <w:b/>
          <w:bCs/>
          <w:sz w:val="22"/>
          <w:szCs w:val="22"/>
        </w:rPr>
        <w:t xml:space="preserve">LUCID: Gilt die alte Registrierung weiter?</w:t>
      </w:r>
    </w:p>
    <w:p>
      <w:pPr>
        <w:spacing w:after="60" w:before="0"/>
      </w:pPr>
      <w:r>
        <w:rPr>
          <w:rFonts w:ascii="Arial" w:cs="Arial" w:eastAsia="Arial" w:hAnsi="Arial"/>
          <w:color w:val="6B7280"/>
          <w:sz w:val="16"/>
          <w:szCs w:val="16"/>
        </w:rPr>
        <w:t xml:space="preserve">Rollen / EPR · rechtsverbindlich · Rechtsstand 2026-10-17 · Bezug: #31, #08</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Gilt unsere alte LUCID-Registrierung noch, oder müssen wir uns komplett neu registrieren?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Sie gilt fort. Wer nach § 9 VerpackG (Fassung bis 11.08.2026) registriert ist, gilt auch nach § 6 VerpackDG als registriert (§ 68 Abs. 2 Satz 1 VerpackDG). Folge: Keine Neuregistrierung – aber eine Pflicht zur Aktualisierung: Änderungen der Registrierungsdaten nach neuem Recht (z. B. neue Angaben nach § 6 Abs. 2, etwa zum EHV-Bevollmächtigten oder zur neuen Verpackungs-Aufschlüsselung inkl. § 39-Verpackungen und Pfand-Verpackungen) sind bis zum 12. November 2026 vorzunehmen (§ 68 Abs. 2 Satz 2). Prüfen Sie außerdem, ob durch den Rollen-Systemwechsel zusätzliche Registrierungstatbestände entstanden sind (z. B. Auspacker-Fälle – dann gilt B02). Quellen: § 68 Abs. 2 Satz 1 u. 2, § 6 Abs. 1 u. 2 VerpackDG. Grenze: Die Fortgeltung betrifft die Registrierung als solche; sie heilt keine inhaltlich falsche oder unvollständige Alt-Registrierung.</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 68 Abs. 2 Satz 1 u. 2 VerpackDG; § 6 Abs. 1 u. 2 VerpackDG</w:t>
      </w:r>
    </w:p>
    <w:p>
      <w:pPr>
        <w:keepNext/>
        <w:pBdr>
          <w:top w:val="single" w:color="24A27F" w:sz="4" w:space="4"/>
        </w:pBdr>
        <w:spacing w:after="40" w:before="260"/>
      </w:pPr>
      <w:r>
        <w:rPr>
          <w:rFonts w:ascii="Arial" w:cs="Arial" w:eastAsia="Arial" w:hAnsi="Arial"/>
          <w:b/>
          <w:bCs/>
          <w:color w:val="004494"/>
          <w:sz w:val="22"/>
          <w:szCs w:val="22"/>
        </w:rPr>
        <w:t xml:space="preserve">B02  </w:t>
      </w:r>
      <w:r>
        <w:rPr>
          <w:rFonts w:ascii="Arial" w:cs="Arial" w:eastAsia="Arial" w:hAnsi="Arial"/>
          <w:b/>
          <w:bCs/>
          <w:sz w:val="22"/>
          <w:szCs w:val="22"/>
        </w:rPr>
        <w:t xml:space="preserve">Erstmals registrierungspflichtig: Frist?</w:t>
      </w:r>
    </w:p>
    <w:p>
      <w:pPr>
        <w:spacing w:after="60" w:before="0"/>
      </w:pPr>
      <w:r>
        <w:rPr>
          <w:rFonts w:ascii="Arial" w:cs="Arial" w:eastAsia="Arial" w:hAnsi="Arial"/>
          <w:color w:val="6B7280"/>
          <w:sz w:val="16"/>
          <w:szCs w:val="16"/>
        </w:rPr>
        <w:t xml:space="preserve">Rollen / EPR · rechtsverbindlich · Rechtsstand 2026-10-17 · Bezug: #31, #08</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Durch die neue Auspacker-Regel sind wir wohl erstmals registrierungspflichtig. Bis wann müssen wir das erledigt haben?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Für Bestands-Konstellationen gibt es eine Nachfrist: Hersteller, die nach § 6 Abs. 1 VerpackDG erstmals registrierungspflichtig sind und nicht bereits nach § 9 VerpackG a. F. registrierungspflichtig waren, müssen sich bis zum 12. September 2026 registrieren (§ 68 Abs. 2 Satz 3). Folge: Wenn Ihre Auspack-Tätigkeit schon vor dem 12.08.2026 lief, haben Sie bis 12.09.2026 Zeit; nehmen Sie die Tätigkeit dagegen erst neu auf, gilt die reguläre Regel „Registrierung VOR dem Auspacken“ (§ 6 Abs. 1 Satz 1). Beachten Sie die Sanktionslage: Das Auspack-/Bereitstellungsverbot ohne Registrierung (§ 13 Abs. 1) und die nationalen Bußgeldtatbestände (§ 66 Abs. 1) gelten bereits seit 12.08.2026 – die Nachfrist ist eine Registrierungsfrist, kein Freibrief für andere Pflichten (insbesondere Systembeteiligung vor dem Auspacken, § 7 Abs. 1). Quellen: § 68 Abs. 2 Satz 3, § 6 Abs. 1, § 7 Abs. 1, § 13 Abs. 1, § 66 Abs. 1 VerpackDG. Grenze: Ob eine Konstellation „bereits nach § 9 VerpackG registrierungspflichtig“ war, kann im Einzelfall streitig sein – im Zweifel früh registrieren.</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 68 Abs. 2 Satz 3 VerpackDG; § 6 Abs. 1 VerpackDG; § 13 Abs. 1 VerpackDG</w:t>
      </w:r>
    </w:p>
    <w:p>
      <w:pPr>
        <w:keepNext/>
        <w:pBdr>
          <w:top w:val="single" w:color="24A27F" w:sz="4" w:space="4"/>
        </w:pBdr>
        <w:spacing w:after="40" w:before="260"/>
      </w:pPr>
      <w:r>
        <w:rPr>
          <w:rFonts w:ascii="Arial" w:cs="Arial" w:eastAsia="Arial" w:hAnsi="Arial"/>
          <w:b/>
          <w:bCs/>
          <w:color w:val="004494"/>
          <w:sz w:val="22"/>
          <w:szCs w:val="22"/>
        </w:rPr>
        <w:t xml:space="preserve">B03  </w:t>
      </w:r>
      <w:r>
        <w:rPr>
          <w:rFonts w:ascii="Arial" w:cs="Arial" w:eastAsia="Arial" w:hAnsi="Arial"/>
          <w:b/>
          <w:bCs/>
          <w:sz w:val="22"/>
          <w:szCs w:val="22"/>
        </w:rPr>
        <w:t xml:space="preserve">Systemvertrag bis 2027: Weiterlaufen lassen?</w:t>
      </w:r>
    </w:p>
    <w:p>
      <w:pPr>
        <w:spacing w:after="60" w:before="0"/>
      </w:pPr>
      <w:r>
        <w:rPr>
          <w:rFonts w:ascii="Arial" w:cs="Arial" w:eastAsia="Arial" w:hAnsi="Arial"/>
          <w:color w:val="6B7280"/>
          <w:sz w:val="16"/>
          <w:szCs w:val="16"/>
        </w:rPr>
        <w:t xml:space="preserve">Rollen / EPR · rechtsverbindlich · Rechtsstand 2026-10-17 · Bezug: #32, #31</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Unser Systemvertrag mit dem dualen System läuft noch bis Ende 2027. Können wir den einfach weiterlaufen lassen?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Nur begrenzt. Systembeteiligungen nach § 7 VerpackG a. F., die vor dem 12.08.2026 erfolgt sind, gelten – vorbehaltlich abweichender privatrechtlicher Vereinbarungen – fort, längstens jedoch bis zum Ablauf des 31. Dezember 2026 (§ 68 Abs. 1 VerpackDG). Folge: Spätestens zum 01.01.2027 brauchen Sie eine Systembeteiligung nach neuem Recht (§ 7 Abs. 1 VerpackDG); planen Sie die Vertragsmigration im Q4/2026, inklusive der neuen Mengen-/Rollenabgrenzung (Export-Ausnahme § 11 Nr. 4, geänderte Herstellerzuordnung je Produktlinie). Ohne wirksame Beteiligung ab 2027 drohen Bereitstellungsverbot (§ 13 Abs. 1 Satz 2) und Bußgeld (§ 66 Abs. 1). Quellen: § 68 Abs. 1, § 7 Abs. 1, § 13 Abs. 1, § 66 Abs. 1 VerpackDG. Grenze: Was Ihr konkreter Vertrag zivilrechtlich für die Umstellung vorsieht (Laufzeit, Anpassungsklauseln), ist Vertragsprüfung im Einzelfall.</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 68 Abs. 1 VerpackDG; § 7 Abs. 1 VerpackDG; § 13 Abs. 1 VerpackDG</w:t>
      </w:r>
    </w:p>
    <w:p>
      <w:pPr>
        <w:keepNext/>
        <w:pBdr>
          <w:top w:val="single" w:color="24A27F" w:sz="4" w:space="4"/>
        </w:pBdr>
        <w:spacing w:after="40" w:before="260"/>
      </w:pPr>
      <w:r>
        <w:rPr>
          <w:rFonts w:ascii="Arial" w:cs="Arial" w:eastAsia="Arial" w:hAnsi="Arial"/>
          <w:b/>
          <w:bCs/>
          <w:color w:val="004494"/>
          <w:sz w:val="22"/>
          <w:szCs w:val="22"/>
        </w:rPr>
        <w:t xml:space="preserve">B04  </w:t>
      </w:r>
      <w:r>
        <w:rPr>
          <w:rFonts w:ascii="Arial" w:cs="Arial" w:eastAsia="Arial" w:hAnsi="Arial"/>
          <w:b/>
          <w:bCs/>
          <w:sz w:val="22"/>
          <w:szCs w:val="22"/>
        </w:rPr>
        <w:t xml:space="preserve">Bußgeld-Moratorium bis 2027: Zeit lassen?</w:t>
      </w:r>
    </w:p>
    <w:p>
      <w:pPr>
        <w:spacing w:after="60" w:before="0"/>
      </w:pPr>
      <w:r>
        <w:rPr>
          <w:rFonts w:ascii="Arial" w:cs="Arial" w:eastAsia="Arial" w:hAnsi="Arial"/>
          <w:color w:val="6B7280"/>
          <w:sz w:val="16"/>
          <w:szCs w:val="16"/>
        </w:rPr>
        <w:t xml:space="preserve">Sonstiges · rechtsverbindlich · Rechtsstand 2026-10-17 · Bezug: #08, #31, #32, #10</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Stimmt das Gerücht, dass es bis Anfang 2027 sowieso keine Bußgelder gibt und wir uns Zeit lassen können?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Das Gerücht verkürzt gefährlich. Richtig ist nur: Die Bußgeldtatbestände für Verstöße gegen die PPWR selbst (§ 66 Abs. 2 VerpackDG) sind erst ab dem 12. Februar 2027 anzuwenden (§ 68 Abs. 17). Falsch ist der Umkehrschluss: Die NATIONALEN Bußgeldtatbestände (§ 66 Abs. 1 – z. B. fehlende Registrierung, fehlende Systembeteiligung, Pfand- und Hinweispflichtverstöße) gelten seit dem 12.08.2026. Unabhängig von Bußgeldern gelten ab sofort außerdem: Vertriebs-, Bereitstellungs- und Auspackverbote (§ 13), zivilrechtliche Abmahnrisiken und die volle Marktüberwachung nach der PPWR (Art. 58 ff.). Folge: Die Zeitschiene ist eine Sanktions-Staffelung, keine Schonfrist – Pflichten bestehen seit 12.08.2026. Quellen: § 66 Abs. 1 u. 2, § 68 Abs. 17, § 13 VerpackDG; Art. 58 ff. PPWR. Grenze: Keine.</w:t>
      </w:r>
    </w:p>
    <w:p>
      <w:pPr>
        <w:spacing w:after="40" w:before="0"/>
      </w:pPr>
      <w:r>
        <w:rPr>
          <w:rFonts w:ascii="Arial" w:cs="Arial" w:eastAsia="Arial" w:hAnsi="Arial"/>
          <w:sz w:val="18"/>
          <w:szCs w:val="18"/>
        </w:rPr>
        <w:t xml:space="preserve">Aktualisierung 17.10.2026: Die Kommission empfiehlt in ihrer FAQ (2. Ed. Kap. XVI FAQ 1) den Marktüberwachungsbehörden einen unterstützenden Ansatz nach Art. 62 PPWR (Details C17). Die Übergangsregel des § 68 Abs. 17 VerpackDG gilt unverändert.</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 66 Abs. 1 u. 2 VerpackDG; § 68 Abs. 17 VerpackDG; § 13 VerpackDG</w:t>
      </w:r>
    </w:p>
    <w:p>
      <w:pPr>
        <w:keepNext/>
        <w:pBdr>
          <w:top w:val="single" w:color="24A27F" w:sz="4" w:space="4"/>
        </w:pBdr>
        <w:spacing w:after="40" w:before="260"/>
      </w:pPr>
      <w:r>
        <w:rPr>
          <w:rFonts w:ascii="Arial" w:cs="Arial" w:eastAsia="Arial" w:hAnsi="Arial"/>
          <w:b/>
          <w:bCs/>
          <w:color w:val="004494"/>
          <w:sz w:val="22"/>
          <w:szCs w:val="22"/>
        </w:rPr>
        <w:t xml:space="preserve">B05  </w:t>
      </w:r>
      <w:r>
        <w:rPr>
          <w:rFonts w:ascii="Arial" w:cs="Arial" w:eastAsia="Arial" w:hAnsi="Arial"/>
          <w:b/>
          <w:bCs/>
          <w:sz w:val="22"/>
          <w:szCs w:val="22"/>
        </w:rPr>
        <w:t xml:space="preserve">Vollständigkeitserklärung 2026: altes oder neues Recht?</w:t>
      </w:r>
    </w:p>
    <w:p>
      <w:pPr>
        <w:spacing w:after="60" w:before="0"/>
      </w:pPr>
      <w:r>
        <w:rPr>
          <w:rFonts w:ascii="Arial" w:cs="Arial" w:eastAsia="Arial" w:hAnsi="Arial"/>
          <w:color w:val="6B7280"/>
          <w:sz w:val="16"/>
          <w:szCs w:val="16"/>
        </w:rPr>
        <w:t xml:space="preserve">Rollen / EPR · rechtsverbindlich · Rechtsstand 2026-10-17 · Bezug: #33</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Wie läuft das mit der Vollständigkeitserklärung für 2026 – nach altem oder neuem Recht?</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Nach neuem Recht, ohne Doppelabgabe. Für Verpackungen, die im Kalenderjahr 2026 im Bundesgebiet bereitgestellt wurden, gilt ausschließlich § 10 VerpackDG; eine zusätzliche Vollständigkeitserklärung nach § 11 VerpackG a. F. ist für 2026 nicht zu hinterlegen (§ 68 Abs. 5 Satz 3 u. 4). Für die Aufschlüsselung der 2026er-Angaben gelten übergangsweise die alten Einordnungsmaßstäbe fort (§ 68 Abs. 5 Satz 5). Alt-Hersteller nach VerpackG-Logik, die nach neuem Recht keine Hersteller mehr sind, bleiben für ihre 2026er-Alt-Mengen entsprechend melde- und VE-pflichtig (§ 68 Abs. 5 Satz 1). Folge: VE für das Berichtsjahr 2026 bis zum 15. Mai 2027 über die ZSVR-Plattform, geprüft durch registrierten Sachverständigen bzw. Prüfer (§ 10 Abs. 1); Prüfer-Slot früh sichern. Quellen: § 68 Abs. 5, § 10 Abs. 1 u. 3, § 56 VerpackDG. Grenze: (!) § 66 Abs. 1 Nr. 6/7 verweisen für die Bußgeldbewehrung auf „§ 68 Absatz 3 Satz 1“, während die VE-Übergangsregel in Abs. 5 steht – dieses Zitat ist in der Session zu klären (mögliches Redaktionsversehen; Eskalation E06).</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 68 Abs. 5 VerpackDG; § 10 Abs. 1 u. 3 VerpackDG; § 66 Abs. 1 Nr. 6 u. 7 VerpackDG</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 E06: Verweis § 66 Abs. 1 Nr. 6/7 auf § 68 Abs. 3 prüfen</w:t>
      </w:r>
    </w:p>
    <w:p>
      <w:pPr>
        <w:keepNext/>
        <w:pBdr>
          <w:top w:val="single" w:color="24A27F" w:sz="4" w:space="4"/>
        </w:pBdr>
        <w:spacing w:after="40" w:before="260"/>
      </w:pPr>
      <w:r>
        <w:rPr>
          <w:rFonts w:ascii="Arial" w:cs="Arial" w:eastAsia="Arial" w:hAnsi="Arial"/>
          <w:b/>
          <w:bCs/>
          <w:color w:val="004494"/>
          <w:sz w:val="22"/>
          <w:szCs w:val="22"/>
        </w:rPr>
        <w:t xml:space="preserve">B06  </w:t>
      </w:r>
      <w:r>
        <w:rPr>
          <w:rFonts w:ascii="Arial" w:cs="Arial" w:eastAsia="Arial" w:hAnsi="Arial"/>
          <w:b/>
          <w:bCs/>
          <w:sz w:val="22"/>
          <w:szCs w:val="22"/>
        </w:rPr>
        <w:t xml:space="preserve">Vollständigkeitserklärung: Ab welchen Mengen?</w:t>
      </w:r>
    </w:p>
    <w:p>
      <w:pPr>
        <w:spacing w:after="60" w:before="0"/>
      </w:pPr>
      <w:r>
        <w:rPr>
          <w:rFonts w:ascii="Arial" w:cs="Arial" w:eastAsia="Arial" w:hAnsi="Arial"/>
          <w:color w:val="6B7280"/>
          <w:sz w:val="16"/>
          <w:szCs w:val="16"/>
        </w:rPr>
        <w:t xml:space="preserve">Rollen / EPR · rechtsverbindlich · Rechtsstand 2026-10-17 · Bezug: #33</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Ab welchen Mengen brauchen wir überhaupt eine Vollständigkeitserklärung?</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Die Schwellen stehen jetzt in § 10 Abs. 4 VerpackDG: Befreit ist, wer systembeteiligungspflichtige Verpackungen im vorangegangenen Kalenderjahr höchstens in folgenden Mengen im Bundesgebiet bereitgestellt hat – Glas unter 80 Tonnen, Papier/Pappe/Karton unter 50 Tonnen, übrige Materialarten (nach § 42 Abs. 2 Satz 1) unter 30 Tonnen. Folge: Liegen Sie in ALLEN Fraktionen unter den Schwellen, entfällt die Hinterlegungspflicht; ZSVR oder Landesbehörde können die VE aber unabhängig davon jederzeit mit Fristsetzung verlangen (§ 10 Abs. 4 Satz 2). Oberhalb der Schwellen: jährlich bis 15. Mai, elektronisch, mit Prüfbestätigung (registrierter Sachverständiger oder registrierter Wirtschaftsprüfer/Steuerberater/vereidigter Buchprüfer, § 10 Abs. 1 u. 3, § 56 Abs. 2). Quellen: § 10 Abs. 1, 3 u. 4, § 56 Abs. 2 VerpackDG. Grenze: Die Schwellen betreffen nur die VE; Datenmeldungen nach § 9 laufen unabhängig (Erleichterung erst unter 10 t Gesamtmenge, B07).</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 10 Abs. 4 VerpackDG; § 10 Abs. 1 u. 3 VerpackDG; § 56 Abs. 2 VerpackDG</w:t>
      </w:r>
    </w:p>
    <w:p>
      <w:pPr>
        <w:keepNext/>
        <w:pBdr>
          <w:top w:val="single" w:color="24A27F" w:sz="4" w:space="4"/>
        </w:pBdr>
        <w:spacing w:after="40" w:before="260"/>
      </w:pPr>
      <w:r>
        <w:rPr>
          <w:rFonts w:ascii="Arial" w:cs="Arial" w:eastAsia="Arial" w:hAnsi="Arial"/>
          <w:b/>
          <w:bCs/>
          <w:color w:val="004494"/>
          <w:sz w:val="22"/>
          <w:szCs w:val="22"/>
        </w:rPr>
        <w:t xml:space="preserve">B07  </w:t>
      </w:r>
      <w:r>
        <w:rPr>
          <w:rFonts w:ascii="Arial" w:cs="Arial" w:eastAsia="Arial" w:hAnsi="Arial"/>
          <w:b/>
          <w:bCs/>
          <w:sz w:val="22"/>
          <w:szCs w:val="22"/>
        </w:rPr>
        <w:t xml:space="preserve">Parallelmeldung an die ZSVR: Wirklich sofort?</w:t>
      </w:r>
    </w:p>
    <w:p>
      <w:pPr>
        <w:spacing w:after="60" w:before="0"/>
      </w:pPr>
      <w:r>
        <w:rPr>
          <w:rFonts w:ascii="Arial" w:cs="Arial" w:eastAsia="Arial" w:hAnsi="Arial"/>
          <w:color w:val="6B7280"/>
          <w:sz w:val="16"/>
          <w:szCs w:val="16"/>
        </w:rPr>
        <w:t xml:space="preserve">Rollen / EPR · rechtsverbindlich · Rechtsstand 2026-10-17 · Bezug: #33</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Müssen wir wirklich jede einzelne Systemmeldung sofort parallel an die ZSVR schicken? Wir sind ein Kleinbetrieb.</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Grundsatz ja, mit Kleinmengen-Erleichterung. Hersteller müssen die im Rahmen der Systembeteiligung getätigten Angaben (Registrierungsnummer, Materialart/Masse, System, Zeitraum) unverzüglich nach Übermittlung an das System auch der ZSVR melden (§ 9 Abs. 1 VerpackDG). ABER: Wer im Vorjahr insgesamt weniger als 10 Tonnen systembeteiligungspflichtige Verpackungen bereitgestellt (bzw. nach Nr. 15 lit. e ausgepackt) hat, ist von der laufenden Spiegelmeldung befreit und meldet stattdessen sämtliche Angaben gebündelt bis zum 1. Juni des Folgejahres (§ 9 Abs. 2). Folge: Vorjahresmenge prüfen; unter 10 t genügt die Jahres-Sammelmeldung. Wichtig: Die Meldung ist höchstpersönlich – Datenmeldungen nach § 9 sind nicht auf Dritte delegierbar (§ 5 Abs. 1 Satz 2). Quellen: § 9 Abs. 1 u. 2, § 5 Abs. 1 Satz 2 VerpackDG. Grenze: Die 10-t-Erleichterung ändert nichts an der Systembeteiligung selbst und nicht an der VE-Prüfung nach B06.</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 9 Abs. 1 u. 2 VerpackDG; § 5 Abs. 1 Satz 2 VerpackDG</w:t>
      </w:r>
    </w:p>
    <w:p>
      <w:pPr>
        <w:keepNext/>
        <w:pBdr>
          <w:top w:val="single" w:color="24A27F" w:sz="4" w:space="4"/>
        </w:pBdr>
        <w:spacing w:after="40" w:before="260"/>
      </w:pPr>
      <w:r>
        <w:rPr>
          <w:rFonts w:ascii="Arial" w:cs="Arial" w:eastAsia="Arial" w:hAnsi="Arial"/>
          <w:b/>
          <w:bCs/>
          <w:color w:val="004494"/>
          <w:sz w:val="22"/>
          <w:szCs w:val="22"/>
        </w:rPr>
        <w:t xml:space="preserve">B08  </w:t>
      </w:r>
      <w:r>
        <w:rPr>
          <w:rFonts w:ascii="Arial" w:cs="Arial" w:eastAsia="Arial" w:hAnsi="Arial"/>
          <w:b/>
          <w:bCs/>
          <w:sz w:val="22"/>
          <w:szCs w:val="22"/>
        </w:rPr>
        <w:t xml:space="preserve">Pfand: Was ändert sich für Saft und Limo?</w:t>
      </w:r>
    </w:p>
    <w:p>
      <w:pPr>
        <w:spacing w:after="60" w:before="0"/>
      </w:pPr>
      <w:r>
        <w:rPr>
          <w:rFonts w:ascii="Arial" w:cs="Arial" w:eastAsia="Arial" w:hAnsi="Arial"/>
          <w:color w:val="6B7280"/>
          <w:sz w:val="16"/>
          <w:szCs w:val="16"/>
        </w:rPr>
        <w:t xml:space="preserve">Rollen / EPR · rechtsverbindlich · Rechtsstand 2026-10-17 · Bezug: #36, #31</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Was ändert sich beim Pfand? Wir bringen Säfte und Limonaden in Flaschen und Dosen in den Handel.</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Inhaltlich weitgehend Kontinuität, jetzt in §§ 46/47 VerpackDG. Es bleibt beim Mindestpfand von 0,25 € je Einweggetränkeverpackung, der Pfandkennzeichnung vor der Bereitstellung, der Teilnahme am bundesweit einheitlichen Pfandsystem und den Rücknahme-/Erstattungspflichten auf allen Handelsstufen (§ 46 Abs. 1–3). Der Ausnahmenkatalog steht in § 46 Abs. 4 (u. a. unter 0,1 l, über 3,0 l, bestimmte Getränkekartons, Milch- und Wein-Tatbestände) – ABER mit Rückausnahme: Die Getränke-Ausnahmen der Nr. 7 gelten NICHT, wenn in Kunststoff-Einwegflaschen oder Dosen abgefüllt wird (§ 46 Abs. 4 Satz 2) – Ihre Säfte in PET/Dose sind also pfandpflichtig. Folge: Sortiment gegen § 46 Abs. 4 prüfen; pfandpflichtige Verpackungen sind von der Systembeteiligung ausgenommen (§ 11 Nr. 2), die Registrierung nach § 6 bleibt. Getrenntsammelziel für Kunststoff-Einwegflaschen: 77 %, ab 2029 90 % (§ 46 Abs. 5 Satz 3). Quellen: §§ 46, 47, § 11 Nr. 2, § 6 VerpackDG; EU-Rahmen Art. 50 PPWR. Grenze: Einzelne Getränke-Einordnungen (z. B. Milchmisch-Anteile) sind Rezepturfragen des Einzelfalls.</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 46 Abs. 1–5 VerpackDG; § 47 VerpackDG; § 11 Nr. 2 VerpackDG; Art. 50 PPWR</w:t>
      </w:r>
    </w:p>
    <w:p>
      <w:pPr>
        <w:keepNext/>
        <w:pBdr>
          <w:top w:val="single" w:color="24A27F" w:sz="4" w:space="4"/>
        </w:pBdr>
        <w:spacing w:after="40" w:before="260"/>
      </w:pPr>
      <w:r>
        <w:rPr>
          <w:rFonts w:ascii="Arial" w:cs="Arial" w:eastAsia="Arial" w:hAnsi="Arial"/>
          <w:b/>
          <w:bCs/>
          <w:color w:val="004494"/>
          <w:sz w:val="22"/>
          <w:szCs w:val="22"/>
        </w:rPr>
        <w:t xml:space="preserve">B09  </w:t>
      </w:r>
      <w:r>
        <w:rPr>
          <w:rFonts w:ascii="Arial" w:cs="Arial" w:eastAsia="Arial" w:hAnsi="Arial"/>
          <w:b/>
          <w:bCs/>
          <w:sz w:val="22"/>
          <w:szCs w:val="22"/>
        </w:rPr>
        <w:t xml:space="preserve">EINWEG/MEHRWEG-Kennzeichnung im Onlineshop</w:t>
      </w:r>
    </w:p>
    <w:p>
      <w:pPr>
        <w:spacing w:after="60" w:before="0"/>
      </w:pPr>
      <w:r>
        <w:rPr>
          <w:rFonts w:ascii="Arial" w:cs="Arial" w:eastAsia="Arial" w:hAnsi="Arial"/>
          <w:color w:val="6B7280"/>
          <w:sz w:val="16"/>
          <w:szCs w:val="16"/>
        </w:rPr>
        <w:t xml:space="preserve">Kennzeichnung · rechtsverbindlich · Rechtsstand 2026-10-17 · Bezug: #36</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Brauchen wir die EINWEG/MEHRWEG-Schilder auch im Onlineshop – und wie groß müssen die sein?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Ja. Die Hinweispflichten der Endvertreiber (EINWEG bei pfandpflichtigen Einweg-Getränkeverpackungen, MEHRWEG bei wiederverwendbaren Getränkeverpackungen) gelten im Fernabsatz entsprechend – die Hinweise sind in den jeweils verwendeten Darstellungsmedien zu geben (§ 47 Abs. 1–3 VerpackDG), also z. B. auf der Produktseite. Größenvorgabe: Die Hinweise müssen in Gestalt und Schriftgröße mindestens der Preisauszeichnung des jeweiligen Produkts entsprechen (§ 47 Abs. 4). Ausgenommen sind Endvertreiber, die für die betreffenden Getränkeverpackungen von der Grundpreisangabe befreit sind (§ 47 Abs. 5), sowie MEHRWEG-Hinweise bei Gebinden über 3,0 l oder den Getränken des § 46 Abs. 4 Nr. 7 (§ 47 Abs. 2 Satz 2). Folge: Shop-Templates prüfen – der fehlende oder zu kleine Online-Hinweis ist ein klassischer Abmahnfall und seit 12.08.2026 nach § 66 Abs. 1 Nr. 26 bußgeldbewehrt. Quellen: § 47 Abs. 1–5, § 66 Abs. 1 Nr. 26 VerpackDG. Grenze: Keine.</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 47 Abs. 1–5 VerpackDG; § 66 Abs. 1 Nr. 26 VerpackDG</w:t>
      </w:r>
    </w:p>
    <w:p>
      <w:pPr>
        <w:keepNext/>
        <w:pBdr>
          <w:top w:val="single" w:color="24A27F" w:sz="4" w:space="4"/>
        </w:pBdr>
        <w:spacing w:after="40" w:before="260"/>
      </w:pPr>
      <w:r>
        <w:rPr>
          <w:rFonts w:ascii="Arial" w:cs="Arial" w:eastAsia="Arial" w:hAnsi="Arial"/>
          <w:b/>
          <w:bCs/>
          <w:color w:val="004494"/>
          <w:sz w:val="22"/>
          <w:szCs w:val="22"/>
        </w:rPr>
        <w:t xml:space="preserve">B10  </w:t>
      </w:r>
      <w:r>
        <w:rPr>
          <w:rFonts w:ascii="Arial" w:cs="Arial" w:eastAsia="Arial" w:hAnsi="Arial"/>
          <w:b/>
          <w:bCs/>
          <w:sz w:val="22"/>
          <w:szCs w:val="22"/>
        </w:rPr>
        <w:t xml:space="preserve">Hersteller vs. Erstinverkehrbringer</w:t>
      </w:r>
    </w:p>
    <w:p>
      <w:pPr>
        <w:spacing w:after="60" w:before="0"/>
      </w:pPr>
      <w:r>
        <w:rPr>
          <w:rFonts w:ascii="Arial" w:cs="Arial" w:eastAsia="Arial" w:hAnsi="Arial"/>
          <w:color w:val="6B7280"/>
          <w:sz w:val="16"/>
          <w:szCs w:val="16"/>
        </w:rPr>
        <w:t xml:space="preserve">Rollen / EPR · rechtsverbindlich · Rechtsstand 2026-10-17 · Bezug: #08, #36</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Im Gesetz taucht neben dem „Hersteller“ auch noch der „Erstinverkehrbringer“ auf. Ist das nicht dasselbe?</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Nein – Vorsicht Begriffsfalle. „Erstinverkehrbringer“ (jede Person, die Verpackungen erstmals gewerbsmäßig im Bundesgebiet bereitstellt) und „Inverkehrbringer“ sind rein nationale Hilfsbegriffe des § 3 Abs. 17 u. 18 VerpackDG; sie steuern punktuell einzelne Normen – vor allem die Pfandpflichten (§ 46: Pfanderhebung/Kennzeichnung durch den Erstinverkehrbringer, Pfandkette über alle Inverkehrbringer) und Bereitstellungsbeschränkungen. Die PPWR-Rollen Hersteller/Erzeuger sind davon getrennt definiert und lösen die EPR- bzw. Konformitätspflichten aus. Meist fallen Hersteller (Nr. 15 lit. a/b) und Erstinverkehrbringer zusammen, aber nicht zwingend (z. B. beim Auspacker-Tatbestand lit. e). Folge: In Verträgen und internen Prozessen sauber trennen, welche Norm an welchen Begriff anknüpft; im Nutzer-Frontend weisen wir die nationalen Hilfsbegriffe nicht als eigene Rollen aus. Quellen: § 3 Abs. 17 u. 18, § 46 VerpackDG; Art. 3 Abs. 1 Nr. 13 u. 15 PPWR. Grenze: Keine.</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 3 Abs. 17 u. 18 VerpackDG; § 46 VerpackDG; Art. 3 Abs. 1 Nr. 13 u. 15 PPWR</w:t>
      </w:r>
    </w:p>
    <w:p>
      <w:pPr>
        <w:keepNext/>
        <w:pBdr>
          <w:top w:val="single" w:color="24A27F" w:sz="4" w:space="4"/>
        </w:pBdr>
        <w:spacing w:after="40" w:before="260"/>
      </w:pPr>
      <w:r>
        <w:rPr>
          <w:rFonts w:ascii="Arial" w:cs="Arial" w:eastAsia="Arial" w:hAnsi="Arial"/>
          <w:b/>
          <w:bCs/>
          <w:color w:val="004494"/>
          <w:sz w:val="22"/>
          <w:szCs w:val="22"/>
        </w:rPr>
        <w:t xml:space="preserve">B11  </w:t>
      </w:r>
      <w:r>
        <w:rPr>
          <w:rFonts w:ascii="Arial" w:cs="Arial" w:eastAsia="Arial" w:hAnsi="Arial"/>
          <w:b/>
          <w:bCs/>
          <w:sz w:val="22"/>
          <w:szCs w:val="22"/>
        </w:rPr>
        <w:t xml:space="preserve">Mehrwegkisten: Lizenz und Registrierung nötig?</w:t>
      </w:r>
    </w:p>
    <w:p>
      <w:pPr>
        <w:spacing w:after="60" w:before="0"/>
      </w:pPr>
      <w:r>
        <w:rPr>
          <w:rFonts w:ascii="Arial" w:cs="Arial" w:eastAsia="Arial" w:hAnsi="Arial"/>
          <w:color w:val="6B7280"/>
          <w:sz w:val="16"/>
          <w:szCs w:val="16"/>
        </w:rPr>
        <w:t xml:space="preserve">Mehrweg · rechtsverbindlich · Rechtsstand 2026-10-17 · Bezug: #31, #03, #30, #34</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Für unsere Mehrwegkisten haben wir nie lizenziert. Bleibt das so – und müssen wir trotzdem irgendwo gemeldet sein?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Beides ja. Die Systembeteiligungspflicht (und §§ 8–10) gilt nicht für Hersteller wiederverwendbarer Verpackungen, deren tatsächliche Rücknahme und Wiederverwendung durch ein bestehendes Wiederverwendungssystem ermöglicht wird (§ 11 Nr. 1 VerpackDG). Die Registrierungspflicht bleibt davon aber unberührt: § 6 Abs. 1 erfasst Hersteller ALLER Verpackungen, und die Registrierungsangaben schlüsseln ausdrücklich auch die § 39-Verpackungen auf, zu denen Mehrweg gehört (§ 6 Abs. 2 Nr. 6 i. V. m. § 39 Abs. 1 Satz 1 Nr. 6). Zusätzlich treffen Sie die Rücknahme- und Verwertungspflichten für Mehrweg (§ 39 Abs. 1 Satz 1 Nr. 6) und – auf EU-Ebene – die Mehrweg-Anforderungen des Art. 11 i. V. m. Anhang VI PPWR samt Systemzugehörigkeit. Folge: Registrierung prüfen/aktualisieren; Nachweis des funktionierenden Wiederverwendungssystems dokumentieren, denn er trägt die § 11-Nr. 1-Ausnahme. Quellen: § 11 Nr. 1, § 6 Abs. 1 u. 2 Nr. 6, § 39 Abs. 1 Satz 1 Nr. 6 VerpackDG; Art. 11, Anhang VI PPWR. Grenze: Zur Frage, wann ein System „funktionierend“ ist, siehe C07 (teils Auslegung).</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 11 Nr. 1 VerpackDG; § 6 Abs. 1 u. 2 VerpackDG; § 39 Abs. 1 Satz 1 Nr. 6 VerpackDG; Art. 11 PPWR</w:t>
      </w:r>
    </w:p>
    <w:p>
      <w:pPr>
        <w:keepNext/>
        <w:pBdr>
          <w:top w:val="single" w:color="24A27F" w:sz="4" w:space="4"/>
        </w:pBdr>
        <w:spacing w:after="40" w:before="260"/>
      </w:pPr>
      <w:r>
        <w:rPr>
          <w:rFonts w:ascii="Arial" w:cs="Arial" w:eastAsia="Arial" w:hAnsi="Arial"/>
          <w:b/>
          <w:bCs/>
          <w:color w:val="004494"/>
          <w:sz w:val="22"/>
          <w:szCs w:val="22"/>
        </w:rPr>
        <w:t xml:space="preserve">B12  </w:t>
      </w:r>
      <w:r>
        <w:rPr>
          <w:rFonts w:ascii="Arial" w:cs="Arial" w:eastAsia="Arial" w:hAnsi="Arial"/>
          <w:b/>
          <w:bCs/>
          <w:sz w:val="22"/>
          <w:szCs w:val="22"/>
        </w:rPr>
        <w:t xml:space="preserve">Reine B2B-Transportverpackungen: Befreit?</w:t>
      </w:r>
    </w:p>
    <w:p>
      <w:pPr>
        <w:spacing w:after="60" w:before="0"/>
      </w:pPr>
      <w:r>
        <w:rPr>
          <w:rFonts w:ascii="Arial" w:cs="Arial" w:eastAsia="Arial" w:hAnsi="Arial"/>
          <w:color w:val="6B7280"/>
          <w:sz w:val="16"/>
          <w:szCs w:val="16"/>
        </w:rPr>
        <w:t xml:space="preserve">Rollen / EPR · rechtsverbindlich · Rechtsstand 2026-10-17 · Bezug: #34, #31, #32</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Unsere B2B-Transportverpackungen landen nie beim Privatkunden. Sind wir da wirklich komplett raus?</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Aus der Systembeteiligung meist ja, aus dem Pflichtenkreis nein. Systembeteiligungspflichtig sind nur Verpackungen, die typischerweise mehrheitlich in privaten Haushaltungen oder vergleichbaren Anfallstellen als Abfall anfallen (§ 3 Abs. 6 VerpackDG) – reine B2B-Transportverpackungen regelmäßig nicht. Es bleiben aber: (1) Registrierung nach § 6 (gilt für alle Verpackungen, Aufschlüsselung nach § 39-Kategorien), (2) unentgeltliche Rücknahme gebrauchter, restentleerter Verpackungen gleicher Art/Form/Größe am Übergabeort plus Verwertung und jährlicher Nachweis bis 15. Mai (§ 39 Abs. 1 u. 3, § 42), (3) perspektivisch die Zulassungspflicht nach § 19 – übergangsweise dürfen Hersteller nicht systembeteiligungspflichtiger Verpackungen noch bis 31.12.2027 ohne Zulassung bereitstellen (§ 68 Abs. 9). Achtung „vergleichbare Anfallstellen“: Gastronomie, Verwaltungen, viele Handwerksbetriebe zählen zum haushaltsnahen Anfall (§ 3 Abs. 7) – die B2B-Einstufung ist je Verpackung zu prüfen. Quellen: § 3 Abs. 6 u. 7, § 6, § 39 Abs. 1 u. 3, § 19, § 68 Abs. 9 VerpackDG. Grenze: Einstufungs-Zweifelsfälle sind ZSVR-Einordnungspraxis (Eskalation möglich).</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 3 Abs. 6 u. 7 VerpackDG; § 39 Abs. 1 u. 3 VerpackDG; § 19 VerpackDG; § 68 Abs. 9 VerpackDG</w:t>
      </w:r>
    </w:p>
    <w:p>
      <w:pPr>
        <w:keepNext/>
        <w:pBdr>
          <w:top w:val="single" w:color="24A27F" w:sz="4" w:space="4"/>
        </w:pBdr>
        <w:spacing w:after="40" w:before="260"/>
      </w:pPr>
      <w:r>
        <w:rPr>
          <w:rFonts w:ascii="Arial" w:cs="Arial" w:eastAsia="Arial" w:hAnsi="Arial"/>
          <w:b/>
          <w:bCs/>
          <w:color w:val="004494"/>
          <w:sz w:val="22"/>
          <w:szCs w:val="22"/>
        </w:rPr>
        <w:t xml:space="preserve">B13  </w:t>
      </w:r>
      <w:r>
        <w:rPr>
          <w:rFonts w:ascii="Arial" w:cs="Arial" w:eastAsia="Arial" w:hAnsi="Arial"/>
          <w:b/>
          <w:bCs/>
          <w:sz w:val="22"/>
          <w:szCs w:val="22"/>
        </w:rPr>
        <w:t xml:space="preserve">Branchenlösung: Bleibt sie zulässig?</w:t>
      </w:r>
    </w:p>
    <w:p>
      <w:pPr>
        <w:spacing w:after="60" w:before="0"/>
      </w:pPr>
      <w:r>
        <w:rPr>
          <w:rFonts w:ascii="Arial" w:cs="Arial" w:eastAsia="Arial" w:hAnsi="Arial"/>
          <w:color w:val="6B7280"/>
          <w:sz w:val="16"/>
          <w:szCs w:val="16"/>
        </w:rPr>
        <w:t xml:space="preserve">Rollen / EPR · rechtsverbindlich · Rechtsstand 2026-10-17 · Bezug: #34, #32</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Wir betreiben seit Jahren eine Branchenlösung für unsere Kantinenbelieferung. Fliegt uns die jetzt um die Ohren?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Nein, aber es gibt eine Zulassungs-Uhr. Branchenlösungen bleiben als Erfüllungsweg erhalten (§ 8 VerpackDG: unentgeltliche Rücknahme bei nachweislich belieferten vergleichbaren Anfallstellen statt Systembeteiligung), neu ist eine Zulassungspflicht. Übergang: Wer den Betrieb vor dem 12.08.2026 nach § 8 Abs. 2 VerpackG a. F. angezeigt hatte, darf längstens bis zum 31. Oktober 2027 ohne neue Zulassung weitermachen; dasselbe Enddatum gilt für nach dem 11.08.2026 neu aufgenommene Branchenlösungen (§ 68 Abs. 6 u. 7). Folge: Zulassungsverfahren (§ 8 Abs. 3 i. V. m. § 22, inkl. Sachverständigen-Bescheinigung der Erfassungsstruktur, Bestätigungen der Anfallstellen, Finanzierungsvereinbarung) rechtzeitig vor Ende Oktober 2027 anstoßen; Mengenstromnachweis jährlich bis 1. Juni hinterlegen (§ 8 Abs. 5). Quellen: § 8, § 68 Abs. 6 u. 7 VerpackDG. Grenze: Keine.</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 8 VerpackDG; § 68 Abs. 6 u. 7 VerpackDG</w:t>
      </w:r>
    </w:p>
    <w:p>
      <w:pPr>
        <w:keepNext/>
        <w:pBdr>
          <w:top w:val="single" w:color="24A27F" w:sz="4" w:space="4"/>
        </w:pBdr>
        <w:spacing w:after="40" w:before="260"/>
      </w:pPr>
      <w:r>
        <w:rPr>
          <w:rFonts w:ascii="Arial" w:cs="Arial" w:eastAsia="Arial" w:hAnsi="Arial"/>
          <w:b/>
          <w:bCs/>
          <w:color w:val="004494"/>
          <w:sz w:val="22"/>
          <w:szCs w:val="22"/>
        </w:rPr>
        <w:t xml:space="preserve">B14  </w:t>
      </w:r>
      <w:r>
        <w:rPr>
          <w:rFonts w:ascii="Arial" w:cs="Arial" w:eastAsia="Arial" w:hAnsi="Arial"/>
          <w:b/>
          <w:bCs/>
          <w:sz w:val="22"/>
          <w:szCs w:val="22"/>
        </w:rPr>
        <w:t xml:space="preserve">Händler-Prüfpflicht: Lieferanten in LUCID checken?</w:t>
      </w:r>
    </w:p>
    <w:p>
      <w:pPr>
        <w:spacing w:after="60" w:before="0"/>
      </w:pPr>
      <w:r>
        <w:rPr>
          <w:rFonts w:ascii="Arial" w:cs="Arial" w:eastAsia="Arial" w:hAnsi="Arial"/>
          <w:color w:val="6B7280"/>
          <w:sz w:val="16"/>
          <w:szCs w:val="16"/>
        </w:rPr>
        <w:t xml:space="preserve">Konformität · rechtsverbindlich · Rechtsstand 2026-10-17 · Bezug: #38, #31</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Als Händler: Müssen wir jetzt wirklich bei jedem Lieferanten prüfen, ob der in LUCID steht, bevor wir seine Ware ins Regal stellen?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Ja, das ist zweifach angeordnet. EU-Ebene: Vertreiber müssen vor der Bereitstellung überprüfen, dass der Hersteller im Herstellerregister des jeweiligen Mitgliedstaats registriert ist (Art. 19 PPWR i. V. m. Art. 44) und dass die Kennzeichnungen nach Art. 15 Abs. 5/6 bzw. Art. 18 Abs. 3 vorhanden sind. Deutsche Ebene: Vertreiber dürfen Verpackungen nicht bereitstellen, wenn die Hersteller nicht ordnungsgemäß registriert sind, und systembeteiligungspflichtige Verpackungen nicht, wenn keine Systembeteiligung besteht (§ 13 Abs. 3 VerpackDG). Das LUCID-Register ist dafür öffentlich einsehbar (§ 6 Abs. 4). Folge: Lieferanten-Onboarding um Registrierungsnummer-Abfrage und Registercheck erweitern (Generator-Checkliste); bei Zweifeln nicht bereitstellen. Praktisch ist die Registrierung damit Listungsvoraussetzung. Quellen: Art. 19, Art. 44 PPWR; § 13 Abs. 3, § 6 Abs. 4 VerpackDG. Grenze: Zum Umfang zumutbarer laufender Kontrollen (Stichproben vs. Vollprüfung) gibt es noch keine Vollzugspraxis.</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19 PPWR; Art. 44 PPWR; § 13 Abs. 3 VerpackDG; § 6 Abs. 4 VerpackDG</w:t>
      </w:r>
    </w:p>
    <w:p>
      <w:pPr>
        <w:keepNext/>
        <w:pBdr>
          <w:top w:val="single" w:color="24A27F" w:sz="4" w:space="4"/>
        </w:pBdr>
        <w:spacing w:after="40" w:before="260"/>
      </w:pPr>
      <w:r>
        <w:rPr>
          <w:rFonts w:ascii="Arial" w:cs="Arial" w:eastAsia="Arial" w:hAnsi="Arial"/>
          <w:b/>
          <w:bCs/>
          <w:color w:val="004494"/>
          <w:sz w:val="22"/>
          <w:szCs w:val="22"/>
        </w:rPr>
        <w:t xml:space="preserve">B15  </w:t>
      </w:r>
      <w:r>
        <w:rPr>
          <w:rFonts w:ascii="Arial" w:cs="Arial" w:eastAsia="Arial" w:hAnsi="Arial"/>
          <w:b/>
          <w:bCs/>
          <w:sz w:val="22"/>
          <w:szCs w:val="22"/>
        </w:rPr>
        <w:t xml:space="preserve">Ökomodulation: Neue Zuschläge rechtens?</w:t>
      </w:r>
    </w:p>
    <w:p>
      <w:pPr>
        <w:spacing w:after="60" w:before="0"/>
      </w:pPr>
      <w:r>
        <w:rPr>
          <w:rFonts w:ascii="Arial" w:cs="Arial" w:eastAsia="Arial" w:hAnsi="Arial"/>
          <w:color w:val="6B7280"/>
          <w:sz w:val="16"/>
          <w:szCs w:val="16"/>
        </w:rPr>
        <w:t xml:space="preserve">Rollen / EPR · rechtsverbindlich · Rechtsstand 2026-10-17 · Bezug: #35</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Ökomodulation: Unser dualer System-Anbieter kündigt neue Zuschläge für schlecht recycelbare Verpackungen an. Dürfen die das einfach?</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Sie müssen es sogar. Systeme sind verpflichtet, die Beteiligungsentgelte ökologisch zu gestalten – insbesondere nach Recyclingfähigkeit und Rezyklateinsatz (§ 26 VerpackDG); die Detailvorgaben kommen per Rechtsverordnung nach § 26a, bis dahin bleibt der ZSVR-Mindeststandard Recyclingfähigkeit Bemessungsmaßstab (§ 26a Abs. 2 Nr. 1 lit. a). Der EU-Rahmen dafür ist Art. 45 PPWR i. V. m. den EPR-Grundsätzen der Abfallrahmenrichtlinie. Folge: Die Entgeltdifferenzierung ist kein Kulanzthema, sondern Regulierungsfolge – für Sie wird die Recyclingfähigkeit je SKU zum direkten Kostenhebel. Konkrete Handlung: Portfolio gegen den aktuellen Mindeststandard raten lassen, Redesign-Kandidaten priorisieren, RVO-Erlass beobachten (Radar R12). Quellen: §§ 26, 26a VerpackDG; Art. 45 PPWR. Grenze: Ob eine konkrete Zuschlagshöhe zulässig kalkuliert ist, ist Vertrags-/Kartellrechtsfrage des Einzelfalls; die Fundstelle des AbfRRL-Bezugs (Art. 8/8a) ist als V16 noch zu pinnen.</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 26 VerpackDG; § 26a VerpackDG; Art. 45 PPWR</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 V16: AbfRRL-Zitat pinnen</w:t>
      </w:r>
    </w:p>
    <w:p>
      <w:pPr>
        <w:keepNext/>
        <w:pBdr>
          <w:top w:val="single" w:color="24A27F" w:sz="4" w:space="4"/>
        </w:pBdr>
        <w:spacing w:after="40" w:before="260"/>
      </w:pPr>
      <w:r>
        <w:rPr>
          <w:rFonts w:ascii="Arial" w:cs="Arial" w:eastAsia="Arial" w:hAnsi="Arial"/>
          <w:b/>
          <w:bCs/>
          <w:color w:val="004494"/>
          <w:sz w:val="22"/>
          <w:szCs w:val="22"/>
        </w:rPr>
        <w:t xml:space="preserve">B16  </w:t>
      </w:r>
      <w:r>
        <w:rPr>
          <w:rFonts w:ascii="Arial" w:cs="Arial" w:eastAsia="Arial" w:hAnsi="Arial"/>
          <w:b/>
          <w:bCs/>
          <w:sz w:val="22"/>
          <w:szCs w:val="22"/>
        </w:rPr>
        <w:t xml:space="preserve">Nicht-systembeteiligungspflichtig: Zulassung bei der ZSVR nötig?</w:t>
      </w:r>
    </w:p>
    <w:p>
      <w:pPr>
        <w:spacing w:after="60" w:before="0"/>
      </w:pPr>
      <w:r>
        <w:rPr>
          <w:rFonts w:ascii="Arial" w:cs="Arial" w:eastAsia="Arial" w:hAnsi="Arial"/>
          <w:color w:val="6B7280"/>
          <w:sz w:val="16"/>
          <w:szCs w:val="16"/>
        </w:rPr>
        <w:t xml:space="preserve">Rollen / EPR · rechtsverbindlich · Rechtsstand 2026-10-17 · Bezug: #34, #31</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Unsere Verpackungen sind nicht systembeteiligungspflichtig. Jetzt lese ich, dass wir künftig eine Zulassung brauchen – was kommt da auf uns zu?</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Die bestehenden EPR-Pflichten für Verpackungen ohne Systembeteiligungspflicht – insbesondere Rücknahme und Zuführung zur Wiederverwendung oder Verwertung nach § 39 VerpackDG – bleiben bestehen. Neu ist die Zulassungspflicht: Art. 47 PPWR verlangt für die individuelle oder kollektive Erfüllung der EPR eine behördliche Zulassung; national setzt § 19 VerpackDG das um. Hersteller von nicht systembeteiligungspflichtigen Verpackungen und von Verpackungen nach § 39 Abs. 1 Satz 1 Nr. 4 müssen sich vor dem erstmaligen Bereitstellen (bzw. dem Auspacken) durch die ZSVR zulassen lassen (§ 19 Abs. 1 VerpackDG); die Pflicht entfällt, wenn die EPR-Erfüllung vollständig auf eine oder mehrere zugelassene sonstige Organisationen für Herstellerverantwortung übertragen und dies der ZSVR elektronisch benannt wurde (§ 19 Abs. 1 Satz 3). Konkrete Folge: Übergangsweise dürfen diese Hersteller ohne Zulassung längstens bis zum 31.12.2027 Verpackungen im Bundesgebiet bereitstellen (§ 68 Abs. 9 VerpackDG); ab dem 01.01.2028 ist die Zulassung erforderlich. Der Antrag läuft ausschließlich über das elektronische System der ZSVR (§ 19 Abs. 5); nach der Behördeninformation der ZSVR werden die elektronischen Verfahren voraussichtlich im Spätsommer/Herbst 2027 bereitstehen. Die Zulassung ist kostenpflichtig (Finanzierungsvereinbarung nach § 51 Abs. 1 Satz 2 als Zulassungsvoraussetzung, § 19 Abs. 2 Nr. 6). Grenze: Voraussetzungen sind u. a. eine insolvenzfeste Sicherheit (§ 19 Abs. 2 Nr. 4, Abs. 4) und der Nachweis der Zuführung zu Vorbehandlung und hochwertigem Recycling (§ 19 Abs. 2 Nr. 5); entscheidet die ZSVR nicht binnen vier Wochen ab vollständigen Unterlagen, gilt die Zulassung als erteilt (§ 19 Abs. 2 und 6).</w:t>
      </w:r>
    </w:p>
    <w:p>
      <w:pPr>
        <w:spacing w:after="40" w:before="0"/>
      </w:pPr>
      <w:r>
        <w:rPr>
          <w:rFonts w:ascii="Arial" w:cs="Arial" w:eastAsia="Arial" w:hAnsi="Arial"/>
          <w:sz w:val="18"/>
          <w:szCs w:val="18"/>
        </w:rPr>
        <w:t xml:space="preserve">Aktualisierung 17.10.2026: Nach der Behördeninformation der ZSVR sollen die elektronischen Zulassungsverfahren im Sommer 2027 für Organisationen und im Herbst 2027 für Hersteller bereitstehen. Für sonstige Organisationen für Herstellerverantwortung gilt die Übergangsfrist bis zum 31.10.2027 (vgl. B17). Gebühren, Antragsinhalte und Prüfschritte der Zulassung sind noch nicht veröffentlicht.</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47 PPWR (VO (EU) 2025/40); § 19 VerpackDG (BGBl. 2026 I Nr. 207); § 39 VerpackDG; § 51 Abs. 1 Satz 2 VerpackDG; § 68 Abs. 9 VerpackDG; ZSVR: „Zulassungsverfahren" (verpackungsregister.org, Behördeninformation)</w:t>
      </w:r>
    </w:p>
    <w:p>
      <w:pPr>
        <w:keepNext/>
        <w:pBdr>
          <w:top w:val="single" w:color="24A27F" w:sz="4" w:space="4"/>
        </w:pBdr>
        <w:spacing w:after="40" w:before="260"/>
      </w:pPr>
      <w:r>
        <w:rPr>
          <w:rFonts w:ascii="Arial" w:cs="Arial" w:eastAsia="Arial" w:hAnsi="Arial"/>
          <w:b/>
          <w:bCs/>
          <w:color w:val="004494"/>
          <w:sz w:val="22"/>
          <w:szCs w:val="22"/>
        </w:rPr>
        <w:t xml:space="preserve">B17  </w:t>
      </w:r>
      <w:r>
        <w:rPr>
          <w:rFonts w:ascii="Arial" w:cs="Arial" w:eastAsia="Arial" w:hAnsi="Arial"/>
          <w:b/>
          <w:bCs/>
          <w:sz w:val="22"/>
          <w:szCs w:val="22"/>
        </w:rPr>
        <w:t xml:space="preserve">sOfH: EPR-Pflichten auf eine Organisation übertragen?</w:t>
      </w:r>
    </w:p>
    <w:p>
      <w:pPr>
        <w:spacing w:after="60" w:before="0"/>
      </w:pPr>
      <w:r>
        <w:rPr>
          <w:rFonts w:ascii="Arial" w:cs="Arial" w:eastAsia="Arial" w:hAnsi="Arial"/>
          <w:color w:val="6B7280"/>
          <w:sz w:val="16"/>
          <w:szCs w:val="16"/>
        </w:rPr>
        <w:t xml:space="preserve">Rollen / EPR · rechtsverbindlich · Rechtsstand 2026-10-17 · Bezug: #34, #31</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Können wir die Rücknahme- und Verwertungspflichten für unsere B2B-Verpackungen komplett an einen Dienstleister abgeben?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Ja, dafür sieht das VerpackDG die „sonstige Organisation für Herstellerverantwortung" (sOfH) vor. Hersteller nicht systembeteiligungspflichtiger Verpackungen können ihre EPR-Pflichten selbst erfüllen oder ganz oder teilweise auf eine oder mehrere sOfH übertragen; die Pflichten der sOfH regelt § 41 VerpackDG. Konkrete Folge: Auch dieser Weg ist zulassungsgebunden – die sOfH benötigt eine Zulassung der ZSVR nach § 22 VerpackDG (u. a. mit insolvenzfester Sicherheit, § 22 Abs. 3). Überträgt der Hersteller die Erfüllung für die Gesamtheit seiner Verpackungen auf zugelassene sOfH und benennt diese der ZSVR elektronisch, entfällt seine eigene Zulassungspflicht nach § 19 (§ 19 Abs. 1 Satz 3 VerpackDG); bei nur teilweiser Übertragung bleibt sie für den verbleibenden Teil bestehen. Übergangsweise dürfen privatrechtlich organisierte Organisationen sOfH-Aufgaben ohne Zulassung längstens bis zum 31.10.2027 wahrnehmen (§ 68 Abs. 12 VerpackDG); ab dem 01.11.2027 ist die Zulassung erforderlich. Nach der Behördeninformation der ZSVR sollen die elektronischen Zulassungsverfahren für Organisationen ab Sommer 2027 bereitstehen. Grenze: Die Registrierung nach § 6 VerpackDG bleibt in jedem Fall Pflicht des Herstellers; die Übertragung auf eine sOfH ersetzt sie nicht.</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 19 Abs. 1 Satz 3 VerpackDG (BGBl. 2026 I Nr. 207); § 22 VerpackDG; § 41 VerpackDG; § 68 Abs. 12 VerpackDG; Art. 47 PPWR (VO (EU) 2025/40); ZSVR: „Zulassungsverfahren" (verpackungsregister.org, Behördeninformation)</w:t>
      </w:r>
    </w:p>
    <w:p>
      <w:pPr>
        <w:keepNext/>
        <w:pBdr>
          <w:top w:val="single" w:color="24A27F" w:sz="4" w:space="4"/>
        </w:pBdr>
        <w:spacing w:after="40" w:before="260"/>
      </w:pPr>
      <w:r>
        <w:rPr>
          <w:rFonts w:ascii="Arial" w:cs="Arial" w:eastAsia="Arial" w:hAnsi="Arial"/>
          <w:b/>
          <w:bCs/>
          <w:color w:val="004494"/>
          <w:sz w:val="22"/>
          <w:szCs w:val="22"/>
        </w:rPr>
        <w:t xml:space="preserve">B18  </w:t>
      </w:r>
      <w:r>
        <w:rPr>
          <w:rFonts w:ascii="Arial" w:cs="Arial" w:eastAsia="Arial" w:hAnsi="Arial"/>
          <w:b/>
          <w:bCs/>
          <w:sz w:val="22"/>
          <w:szCs w:val="22"/>
        </w:rPr>
        <w:t xml:space="preserve">Vollständigkeitserklärung für 2026: Welche Regeln gelten für das Übergangsjahr?</w:t>
      </w:r>
    </w:p>
    <w:p>
      <w:pPr>
        <w:spacing w:after="60" w:before="0"/>
      </w:pPr>
      <w:r>
        <w:rPr>
          <w:rFonts w:ascii="Arial" w:cs="Arial" w:eastAsia="Arial" w:hAnsi="Arial"/>
          <w:color w:val="6B7280"/>
          <w:sz w:val="16"/>
          <w:szCs w:val="16"/>
        </w:rPr>
        <w:t xml:space="preserve">Rollen / EPR · rechtsverbindlich · Rechtsstand 2026-10-17 · Bezug: #33</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Unser Wirtschaftsprüfer fragt, ob wir für 2026 zwei Vollständigkeitserklärungen brauchen, eine nach altem und eine nach neuem Recht. Wie läuft das?</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Für das Bezugsjahr 2026 ist nach den Hinweisen der ZSVR nur eine Vollständigkeitserklärung je Hersteller zu hinterlegen, und zwar nach § 10 VerpackDG (§ 68 Abs. 5 VerpackDG). Die Prüfleitlinien vom 19.11.2024 gelten für das gesamte Jahr 2026 fort, ab dem 12.08.2026 sinngemäß. Für Mengen bis zum 11.08.2026 richten sich Herstellereigenschaft und Verpackungsarten nach dem VerpackG und dem alten Katalog, ab dem 12.08.2026 nach PPWR, VerpackDG und dem neuen Katalog; bestandskräftige Einordnungsentscheidungen bleiben wirksam (§ 68 Abs. 15 VerpackDG). Folge: Eine Erklärung, aber zwei Bewertungsmaßstäbe innerhalb des Jahres; Ihr Prüfer muss die Mengen entsprechend trennen. Neu ist außerdem die Schulungspflicht für registrierte Prüfer: Bestandsprüfer müssen den Nachweis bis zum 31.12.2027 erbringen, sonst wird die Registrierung ab dem 01.01.2028 aufgehoben (§ 56 Abs. 4, § 68 Abs. 16 VerpackDG). Quellen: §§ 10, 56 Abs. 4, 68 Abs. 5, 15 und 16 VerpackDG; ZSVR-Hinweise VE 2026 (Behördeninformation). Grenze: Neue Prüfleitlinien erscheinen erst für das Bezugsjahr 2027; die Schwellenwerte der VE-Pflicht (§ 10 Abs. 4) sind in B06 beschrieben.</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 10 VerpackDG (BGBl. 2026 I Nr. 207); § 68 Abs. 5 VerpackDG; § 56 Abs. 4 Satz 3 und 4 VerpackDG; § 68 Abs. 16 VerpackDG; ZSVR: „Aktuelle Hinweise zur Prüfung der Vollständigkeitserklärung 2026 und Schulungspflicht VE-Prüfung 2026“ (verpackungsregister.org, Behördeninformation, keine Rechtsnorm)</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(neu 10/2026) Grundlage ZSVR-Hinweise 2026 (PDF undatiert, verbreitet 13.08.2026); Normzitate § 68 Abs. 5 Satz 4, § 56 Abs. 4, § 68 Abs. 16 VerpackDG am Volltext prüfen. Ergänzt B05/B06.</w:t>
      </w:r>
    </w:p>
    <w:p>
      <w:pPr>
        <w:keepNext/>
        <w:pBdr>
          <w:top w:val="single" w:color="24A27F" w:sz="4" w:space="4"/>
        </w:pBdr>
        <w:spacing w:after="40" w:before="260"/>
      </w:pPr>
      <w:r>
        <w:rPr>
          <w:rFonts w:ascii="Arial" w:cs="Arial" w:eastAsia="Arial" w:hAnsi="Arial"/>
          <w:b/>
          <w:bCs/>
          <w:color w:val="004494"/>
          <w:sz w:val="22"/>
          <w:szCs w:val="22"/>
        </w:rPr>
        <w:t xml:space="preserve">B19  </w:t>
      </w:r>
      <w:r>
        <w:rPr>
          <w:rFonts w:ascii="Arial" w:cs="Arial" w:eastAsia="Arial" w:hAnsi="Arial"/>
          <w:b/>
          <w:bCs/>
          <w:sz w:val="22"/>
          <w:szCs w:val="22"/>
        </w:rPr>
        <w:t xml:space="preserve">Mindeststandard 2026 veröffentlicht: Was ändert sich für die Ökomodulation?</w:t>
      </w:r>
    </w:p>
    <w:p>
      <w:pPr>
        <w:spacing w:after="60" w:before="0"/>
      </w:pPr>
      <w:r>
        <w:rPr>
          <w:rFonts w:ascii="Arial" w:cs="Arial" w:eastAsia="Arial" w:hAnsi="Arial"/>
          <w:color w:val="6B7280"/>
          <w:sz w:val="16"/>
          <w:szCs w:val="16"/>
        </w:rPr>
        <w:t xml:space="preserve">Rollen / EPR · rechtsverbindlich · Rechtsstand 2026-10-17 · Bezug: #35, #12</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Die ZSVR hat einen neuen Mindeststandard veröffentlicht. Gilt der schon, und was heißt das für unsere Beteiligungsentgelte?</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ZSVR und Umweltbundesamt haben am 31.08.2026 den Mindeststandard 2026 nach § 26 Abs. 3 VerpackDG veröffentlicht. Er gilt für Verpackungen, die im Kalenderjahr nach der Veröffentlichung, also 2027, in Verkehr gebracht werden. Die Methodik bleibt unverändert; Gestaltungsparameter wurden ergänzt und zusammengefasst, recyclingunverträgliche Merkmale führen weiterhin zu einer Recyclingfähigkeit von null Prozent, pauschale Materialboni gibt es nicht. Folge: Die Systeme müssen ihre Beteiligungsentgelte nach § 26 VerpackDG an der Recyclingfähigkeit ausrichten; bis die delegierten Rechtsakte nach Art. 6 Abs. 4 PPWR (Leistungsklassen A bis C) gelten, bleiben Verordnungen zur Ökomodulierung nach § 26a VerpackDG an den Mindeststandard gebunden. Prüfen Sie Ihre Verpackungen für 2027 gegen den neuen Katalog der Gestaltungsparameter. Quellen: §§ 26, 26a VerpackDG; Art. 6 Abs. 4 PPWR; Mindeststandard 2026 (ZSVR/UBA, Verwaltungsvorschrift). Grenze: Der Mindeststandard ist kein Gesetz, sondern eine Verwaltungsvorschrift; eine Rechtsverordnung nach § 26a VerpackDG liegt noch nicht vor.</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 26 Abs. 3 VerpackDG (BGBl. 2026 I Nr. 207); § 26a VerpackDG; Art. 6 Abs. 4 PPWR (VO (EU) 2025/40); ZSVR/UBA: „Mindeststandard für die Bemessung der Recyclingfähigkeit systembeteiligungspflichtiger Verpackungen gemäß § 26 Abs. 3 VerpackDG“, Osnabrück 31.08.2026 (Verwaltungsvorschrift, Behördeninformation)</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(neu 10/2026) Mindeststandard ist Verwaltungsvorschrift nach § 26 Abs. 3 VerpackDG; Verhältnis zu künftigen Verordnungen nach § 26a und zu den delegierten Rechtsakten nach Art. 6 Abs. 4 PPWR prüfen. Ergänzt B15/#35.</w:t>
      </w:r>
    </w:p>
    <w:p>
      <w:pPr>
        <w:keepNext/>
        <w:pBdr>
          <w:top w:val="single" w:color="24A27F" w:sz="4" w:space="4"/>
        </w:pBdr>
        <w:spacing w:after="40" w:before="260"/>
      </w:pPr>
      <w:r>
        <w:rPr>
          <w:rFonts w:ascii="Arial" w:cs="Arial" w:eastAsia="Arial" w:hAnsi="Arial"/>
          <w:b/>
          <w:bCs/>
          <w:color w:val="004494"/>
          <w:sz w:val="22"/>
          <w:szCs w:val="22"/>
        </w:rPr>
        <w:t xml:space="preserve">B20  </w:t>
      </w:r>
      <w:r>
        <w:rPr>
          <w:rFonts w:ascii="Arial" w:cs="Arial" w:eastAsia="Arial" w:hAnsi="Arial"/>
          <w:b/>
          <w:bCs/>
          <w:sz w:val="22"/>
          <w:szCs w:val="22"/>
        </w:rPr>
        <w:t xml:space="preserve">Permanenttragetaschen: Systembeteiligungspflichtig trotz Mehrfachnutzung?</w:t>
      </w:r>
    </w:p>
    <w:p>
      <w:pPr>
        <w:spacing w:after="60" w:before="0"/>
      </w:pPr>
      <w:r>
        <w:rPr>
          <w:rFonts w:ascii="Arial" w:cs="Arial" w:eastAsia="Arial" w:hAnsi="Arial"/>
          <w:color w:val="6B7280"/>
          <w:sz w:val="16"/>
          <w:szCs w:val="16"/>
        </w:rPr>
        <w:t xml:space="preserve">Rollen / EPR · rechtsverbindlich · Rechtsstand 2026-10-17 · Bezug: #32</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Wir geben an der Kasse stabile Mehrfach-Tragetaschen aus recyceltem PET ab. Sind das Produkte oder lizenzpflichtige Verpackungen?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Das Bundesverwaltungsgericht hat am 23.07.2026 entschieden, dass eine Permanenttragetasche, die am Verkaufsort zum Transport der gekauften Waren abgegeben wird, systembeteiligungspflichtige Verpackung ist, unabhängig von Material, Haltbarkeit, Zweitnutzung und davon, ob sie entgeltlich oder unentgeltlich abgegeben wird (10 C 6.25, zu § 3 Abs. 8, § 7 VerpackG). Maßgeblich ist die Zweckbestimmung zum Transport am Verkaufsort. Die Definitionen des VerpackDG (§ 3 Abs. 6, § 7 Abs. 1) sind insoweit inhaltsgleich. Folge: Wer solche Taschen als Letztvertreiber oder Hersteller erstmals in Verkehr bringt, muss sie registrieren und an einem System beteiligen. Die ZSVR weist darauf hin, dass sich daraus auch rückwirkende Beteiligungspflichten ergeben können und Prüfer der Vollständigkeitserklärung dies künftig kontrollieren. Quellen: § 3 Abs. 6, § 7 Abs. 1 VerpackDG; BVerwG 10 C 6.25; ZSVR-PM 23.07.2026. Grenze: Das Urteil ist zum alten Recht ergangen; die Übertragung auf das VerpackDG ist naheliegend, aber noch nicht gerichtlich bestätigt.</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 3 Abs. 6 und § 7 Abs. 1 VerpackDG (BGBl. 2026 I Nr. 207); BVerwG, Urteil vom 23.07.2026 – 10 C 6.25 (Pressemitteilung Nr. 57/2026; ergangen zu § 3 Abs. 8, § 7 VerpackG); ZSVR-Pressemitteilung vom 23.07.2026 (Behördeninformation)</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(neu 10/2026) BVerwG-Urteil 23.07.2026 ergangen zu § 3 Abs. 8, § 7 VerpackG; Übertragung auf § 3 Abs. 6, § 7 Abs. 1 VerpackDG ist unsere Zuordnung, nicht die des Gerichts. Rückwirkende Beteiligungspflichten laut ZSVR möglich.</w:t>
      </w:r>
    </w:p>
    <w:p>
      <w:pPr>
        <w:keepNext/>
        <w:pBdr>
          <w:top w:val="single" w:color="24A27F" w:sz="4" w:space="4"/>
        </w:pBdr>
        <w:spacing w:after="40" w:before="260"/>
      </w:pPr>
      <w:r>
        <w:rPr>
          <w:rFonts w:ascii="Arial" w:cs="Arial" w:eastAsia="Arial" w:hAnsi="Arial"/>
          <w:b/>
          <w:bCs/>
          <w:color w:val="004494"/>
          <w:sz w:val="22"/>
          <w:szCs w:val="22"/>
        </w:rPr>
        <w:t xml:space="preserve">B21  </w:t>
      </w:r>
      <w:r>
        <w:rPr>
          <w:rFonts w:ascii="Arial" w:cs="Arial" w:eastAsia="Arial" w:hAnsi="Arial"/>
          <w:b/>
          <w:bCs/>
          <w:sz w:val="22"/>
          <w:szCs w:val="22"/>
        </w:rPr>
        <w:t xml:space="preserve">Neuer Katalog 2026: E-Commerce-Verpackungen immer systembeteiligungspflichtig?</w:t>
      </w:r>
    </w:p>
    <w:p>
      <w:pPr>
        <w:spacing w:after="60" w:before="0"/>
      </w:pPr>
      <w:r>
        <w:rPr>
          <w:rFonts w:ascii="Arial" w:cs="Arial" w:eastAsia="Arial" w:hAnsi="Arial"/>
          <w:color w:val="6B7280"/>
          <w:sz w:val="16"/>
          <w:szCs w:val="16"/>
        </w:rPr>
        <w:t xml:space="preserve">Rollen / EPR · rechtsverbindlich · Rechtsstand 2026-10-17 · Bezug: #32</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Wir versenden ausschließlich an Gewerbekunden. Trotzdem sagt die ZSVR, unsere Versandkartons seien systembeteiligungspflichtig. Wie passt das?</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Der zum 12.08.2026 neu gefasste Allgemeine Teil des Katalogs stellt auf eine Gesamtmarktbetrachtung ab: Entscheidend ist, wo Verpackungen einer Art typischerweise als Abfall anfallen, nicht die individuelle Vertriebsstruktur eines Unternehmens. Transportverpackungen für den Versand an Endkunden gelten danach als systembeteiligungspflichtig, Transportverpackungen für die Speditionslogistik in der Regel nicht; Serviceverpackungen sind stets pflichtig. Das VG Osnabrück hat diese typisierende Betrachtung am 30.09.2026 bestätigt und den Katalog als norminterpretierende Verwaltungsvorschrift eingeordnet (7 A 112/24, nicht rechtskräftig). Folge: Versandkartons an gewerbliche Kunden sind systembeteiligungspflichtig, wenn sie einer Katalogposition entsprechen, die typischerweise beim privaten Endverbraucher oder vergleichbaren Anfallstellen (§ 3 Abs. 7 VerpackDG) anfällt. Eine Befreiung über den Nachweis eigener B2B-Kunden ist nicht vorgesehen; eine herstellereigene Rücknahme ist keine Branchenlösung nach § 8 VerpackDG. Quellen: § 3 Abs. 6 und 7, § 7 Abs. 1, § 8 VerpackDG; Katalog Allgemeiner Teil 08/2026; VG Osnabrück 7 A 112/24. Grenze: Der Katalog regelt nicht, wer verpflichtet ist, sondern nur, welche Verpackungen pflichtig sind; die Herstellerfrage richtet sich nach Art. 3 Abs. 1 Nr. 15 PPWR (vgl. B10, B12).</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 3 Abs. 6 und 7 VerpackDG (BGBl. 2026 I Nr. 207); § 7 Abs. 1 Satz 1, § 8, § 54 Abs. 1 Satz 2 Nr. 33 VerpackDG; ZSVR: Katalog systembeteiligungspflichtiger Verpackungen, Allgemeiner Teil, Stand 08/2026, gültig ab 12.08.2026 (Verwaltungsvorschrift, Behördeninformation); VG Osnabrück, Urteil vom 30.09.2026 – 7 A 112/24 (nicht rechtskräftig)</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(neu 10/2026) Katalog Allgemeiner Teil Stand 08/2026 ist norminterpretierende Verwaltungsvorschrift (§ 54 Abs. 1 Satz 2 Nr. 33 VerpackDG); VG Osnabrück 30.09.2026 nicht rechtskräftig. Verhältnis zu B12 prüfen.</w:t>
      </w:r>
    </w:p>
    <w:p>
      <w:pPr>
        <w:pStyle w:val="Heading2"/>
        <w:keepNext/>
        <w:spacing w:after="100" w:before="280"/>
      </w:pPr>
      <w:r>
        <w:rPr>
          <w:rFonts w:ascii="Arial" w:cs="Arial" w:eastAsia="Arial" w:hAnsi="Arial"/>
          <w:b/>
          <w:bCs/>
          <w:color w:val="111111"/>
          <w:sz w:val="24"/>
          <w:szCs w:val="24"/>
        </w:rPr>
        <w:t xml:space="preserve">Block C – Konformität, Stoffe, Mehrweg, Kennzeichnung</w:t>
      </w:r>
    </w:p>
    <w:p>
      <w:pPr>
        <w:keepNext/>
        <w:pBdr>
          <w:top w:val="single" w:color="24A27F" w:sz="4" w:space="4"/>
        </w:pBdr>
        <w:spacing w:after="40" w:before="260"/>
      </w:pPr>
      <w:r>
        <w:rPr>
          <w:rFonts w:ascii="Arial" w:cs="Arial" w:eastAsia="Arial" w:hAnsi="Arial"/>
          <w:b/>
          <w:bCs/>
          <w:color w:val="004494"/>
          <w:sz w:val="22"/>
          <w:szCs w:val="22"/>
        </w:rPr>
        <w:t xml:space="preserve">C01  </w:t>
      </w:r>
      <w:r>
        <w:rPr>
          <w:rFonts w:ascii="Arial" w:cs="Arial" w:eastAsia="Arial" w:hAnsi="Arial"/>
          <w:b/>
          <w:bCs/>
          <w:sz w:val="22"/>
          <w:szCs w:val="22"/>
        </w:rPr>
        <w:t xml:space="preserve">Lagerbestand aus 2025: Abverkauf erlaubt?</w:t>
      </w:r>
    </w:p>
    <w:p>
      <w:pPr>
        <w:spacing w:after="60" w:before="0"/>
      </w:pPr>
      <w:r>
        <w:rPr>
          <w:rFonts w:ascii="Arial" w:cs="Arial" w:eastAsia="Arial" w:hAnsi="Arial"/>
          <w:color w:val="6B7280"/>
          <w:sz w:val="16"/>
          <w:szCs w:val="16"/>
        </w:rPr>
        <w:t xml:space="preserve">Stoffrecht · rechtsverbindlich · Rechtsstand 2026-10-17 · Bezug: #02, #10</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Wir haben noch ein volles Lager beschichteter Burger-Boxen aus 2025. Dürfen wir die nach dem Stichtag noch abverkaufen?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Entscheidend ist nicht das Produktionsdatum, sondern das Inverkehrbringen – die ERSTMALIGE Bereitstellung (Art. 3 Abs. 1 Nr. 10 u. 11 PPWR). Lebensmittelkontakt-Verpackungen, die ab dem 12.08.2026 in Verkehr gebracht werden, müssen die PFAS-Grenzwerte des Art. 5 Abs. 5 einhalten; eine Abverkaufsfrist für Lagerbestände sieht die PPWR ausdrücklich nicht vor („no transitional period for the exhaustion of stocks“, Leitfaden Abschn. 5). Folge: Unverkaufte Lagerware bei Ihnen als Erzeuger/Importeur ist noch NICHT in Verkehr gebracht – sie darf ab Stichtag nur bereitgestellt werden, wenn sie konform ist. Was dagegen vor dem 12.08.2026 bereits in Verkehr gebracht wurde (z. B. Ware beim Handel), darf am Markt bleiben und abverkauft werden. Bei Import gilt als Zeitpunkt die zollrechtliche Überlassung zum freien Verkehr (Leitfaden Abschn. 5). Quellen: Art. 3 Abs. 1 Nr. 10 u. 11, Art. 5 Abs. 5 PPWR; Leitfaden C(2026) 3702 Abschn. 5 (unverbindliche Auslegung). Grenze: Die verbreitete Verkürzung „Lagerbestände sind sicher“ ist falsch – bitte nicht weitertragen.</w:t>
      </w:r>
    </w:p>
    <w:p>
      <w:pPr>
        <w:spacing w:after="40" w:before="0"/>
      </w:pPr>
      <w:r>
        <w:rPr>
          <w:rFonts w:ascii="Arial" w:cs="Arial" w:eastAsia="Arial" w:hAnsi="Arial"/>
          <w:sz w:val="18"/>
          <w:szCs w:val="18"/>
        </w:rPr>
        <w:t xml:space="preserve">Aktualisierung 17.10.2026: Die Kommission hat in der 2. Edition ihrer FAQ (Kap. X FAQ 5) klargestellt, dass sie für Lagerware von vor dem 12.08.2026 keine Umetikettierung erwartet und die Erzeugerangaben nach Art. 15 Abs. 5 und 6 per Begleitdokument zulässt (Details C15). An der stofflichen Anforderung des Art. 5 Abs. 5 für neu in Verkehr gebrachte Ware ändert das nichts.</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10 u. 11 PPWR; Art. 5 Abs. 5 PPWR; Leitfaden C(2026) 3702 Abschn. 5</w:t>
      </w:r>
    </w:p>
    <w:p>
      <w:pPr>
        <w:keepNext/>
        <w:pBdr>
          <w:top w:val="single" w:color="24A27F" w:sz="4" w:space="4"/>
        </w:pBdr>
        <w:spacing w:after="40" w:before="260"/>
      </w:pPr>
      <w:r>
        <w:rPr>
          <w:rFonts w:ascii="Arial" w:cs="Arial" w:eastAsia="Arial" w:hAnsi="Arial"/>
          <w:b/>
          <w:bCs/>
          <w:color w:val="004494"/>
          <w:sz w:val="22"/>
          <w:szCs w:val="22"/>
        </w:rPr>
        <w:t xml:space="preserve">C02  </w:t>
      </w:r>
      <w:r>
        <w:rPr>
          <w:rFonts w:ascii="Arial" w:cs="Arial" w:eastAsia="Arial" w:hAnsi="Arial"/>
          <w:b/>
          <w:bCs/>
          <w:sz w:val="22"/>
          <w:szCs w:val="22"/>
        </w:rPr>
        <w:t xml:space="preserve">PFAS-Grenzwerte: Was müssen Lieferanten liefern?</w:t>
      </w:r>
    </w:p>
    <w:p>
      <w:pPr>
        <w:spacing w:after="60" w:before="0"/>
      </w:pPr>
      <w:r>
        <w:rPr>
          <w:rFonts w:ascii="Arial" w:cs="Arial" w:eastAsia="Arial" w:hAnsi="Arial"/>
          <w:color w:val="6B7280"/>
          <w:sz w:val="16"/>
          <w:szCs w:val="16"/>
        </w:rPr>
        <w:t xml:space="preserve">Stoffrecht · rechtsverbindlich · Rechtsstand 2026-10-17 · Bezug: #02, #05, #40</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Welche PFAS-Grenzwerte gelten genau, und was müssen uns unsere Lieferanten dazu liefern?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Seit 12.08.2026 darf Lebensmittelkontakt-Verpackung nicht in Verkehr gebracht werden, wenn sie PFAS in folgenden Konzentrationen enthält: 25 ppb je Einzelsubstanz (gezielte Analyse, polymere PFAS ausgenommen), 250 ppb als Summe der gezielten Analysen (ggf. nach Vorläufer-Abbau, polymere PFAS ausgenommen), 50 ppm für PFAS einschließlich polymerer PFAS (Art. 5 Abs. 5 lit. a–c PPWR). Lieferkette: Übersteigt der Gesamtfluorgehalt 50 mg/kg, müssen Hersteller, Importeure oder nachgeschaltete Anwender im Sinne der REACH-Verordnung dem Erzeuger/Importeur auf Anfrage den Nachweis liefern, welcher Fluoranteil PFAS bzw. Nicht-PFAS ist – als Grundlage der technischen Dokumentation (Art. 5 Abs. 5 lit. c a. E.). Folge: LMK-Portfolio filtern, Lieferantenerklärungen anfordern (Generator-Muster); als Nachweislogik empfiehlt die Kommission die dreistufige Prüfkaskade Gesamtfluor → Pyrolyse-GC/MS → TOP-Analyse (Leitfaden Abschn. 5 – unverbindliche Empfehlung, keine harmonisierte Methode). Quellen: Art. 5 Abs. 5 PPWR; Leitfaden C(2026) 3702 Abschn. 5. Grenze: Vorrang strengerer anderer EU-Rechtsakte bleibt unberührt (Wortlaut Abs. 5); keine Ausnahme für Rezyklateinsatz.</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5 Abs. 5 PPWR; Leitfaden C(2026) 3702 Abschn. 5</w:t>
      </w:r>
    </w:p>
    <w:p>
      <w:pPr>
        <w:keepNext/>
        <w:pBdr>
          <w:top w:val="single" w:color="24A27F" w:sz="4" w:space="4"/>
        </w:pBdr>
        <w:spacing w:after="40" w:before="260"/>
      </w:pPr>
      <w:r>
        <w:rPr>
          <w:rFonts w:ascii="Arial" w:cs="Arial" w:eastAsia="Arial" w:hAnsi="Arial"/>
          <w:b/>
          <w:bCs/>
          <w:color w:val="004494"/>
          <w:sz w:val="22"/>
          <w:szCs w:val="22"/>
        </w:rPr>
        <w:t xml:space="preserve">C03  </w:t>
      </w:r>
      <w:r>
        <w:rPr>
          <w:rFonts w:ascii="Arial" w:cs="Arial" w:eastAsia="Arial" w:hAnsi="Arial"/>
          <w:b/>
          <w:bCs/>
          <w:sz w:val="22"/>
          <w:szCs w:val="22"/>
        </w:rPr>
        <w:t xml:space="preserve">Eine Konformitätserklärung fürs Sortiment? Sprache?</w:t>
      </w:r>
    </w:p>
    <w:p>
      <w:pPr>
        <w:spacing w:after="60" w:before="0"/>
      </w:pPr>
      <w:r>
        <w:rPr>
          <w:rFonts w:ascii="Arial" w:cs="Arial" w:eastAsia="Arial" w:hAnsi="Arial"/>
          <w:color w:val="6B7280"/>
          <w:sz w:val="16"/>
          <w:szCs w:val="16"/>
        </w:rPr>
        <w:t xml:space="preserve">Konformität · rechtsverbindlich · Rechtsstand 2026-10-17 · Bezug: #04, #05, #06</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Reicht EINE Konformitätserklärung für unser gesamtes Sortiment, und dürfen wir die auf Englisch schreiben?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Eine Sammel-Erklärung „für alle Verpackungen“ genügt nicht: Die EU-Konformitätserklärung ist je Verpackungstyp nach dem Muster des Anhangs VIII auszustellen, aktuell zu halten und mit der technischen Dokumentation zu verknüpfen; mit der Ausstellung übernimmt der Erzeuger die Verantwortung für die Konformität (Art. 39 PPWR). Vorgelagert ist je Typ das Konformitätsbewertungsverfahren nach Art. 38 i. V. m. Anhang VII (Modul A, interne Fertigungskontrolle). Sprache: In Deutschland muss eine unterzeichnete Version nach Wahl des Herstellers in deutscher ODER englischer Sprache vorgehalten werden; eine deutsche Übersetzung ist nur auf Behördenverlangen beizubringen (§ 62 VerpackDG). Folge: Verpackungstypen inventarisieren (Compliance-Profil), je Typ Bewertung dokumentieren, Erklärung aus dem Generator vorbefüllen, unterzeichnen, versioniert ablegen. Quellen: Art. 38, Art. 39, Anhang VII u. VIII PPWR; § 62 VerpackDG. Grenze: Die Absatz-Fundstellen zu Aufbewahrungsfristen und behördlicher Vorlagefrist (Art. 15) sind als V1 noch final zu pinnen – die Pflichten selbst sind unstreitig.</w:t>
      </w:r>
    </w:p>
    <w:p>
      <w:pPr>
        <w:spacing w:after="40" w:before="0"/>
      </w:pPr>
      <w:r>
        <w:rPr>
          <w:rFonts w:ascii="Arial" w:cs="Arial" w:eastAsia="Arial" w:hAnsi="Arial"/>
          <w:sz w:val="18"/>
          <w:szCs w:val="18"/>
        </w:rPr>
        <w:t xml:space="preserve">Aktualisierung 17.10.2026: Die Kommission bestätigt in der 2. Edition ihrer FAQ (Kap. XV FAQ 5), dass eine Konformitätserklärung die gesamte Verpackungseinheit abdecken kann, und lässt die Ausstellung durch einen Bevollmächtigten nach Art. 17 mit schriftlichem Mandat zu (Details C16).</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38 PPWR; Art. 39 i. V. m. Anhang VIII PPWR; § 62 VerpackDG</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 V1: Absatz-Pins Art. 15 offen</w:t>
      </w:r>
    </w:p>
    <w:p>
      <w:pPr>
        <w:keepNext/>
        <w:pBdr>
          <w:top w:val="single" w:color="24A27F" w:sz="4" w:space="4"/>
        </w:pBdr>
        <w:spacing w:after="40" w:before="260"/>
      </w:pPr>
      <w:r>
        <w:rPr>
          <w:rFonts w:ascii="Arial" w:cs="Arial" w:eastAsia="Arial" w:hAnsi="Arial"/>
          <w:b/>
          <w:bCs/>
          <w:color w:val="004494"/>
          <w:sz w:val="22"/>
          <w:szCs w:val="22"/>
        </w:rPr>
        <w:t xml:space="preserve">C04  </w:t>
      </w:r>
      <w:r>
        <w:rPr>
          <w:rFonts w:ascii="Arial" w:cs="Arial" w:eastAsia="Arial" w:hAnsi="Arial"/>
          <w:b/>
          <w:bCs/>
          <w:sz w:val="22"/>
          <w:szCs w:val="22"/>
        </w:rPr>
        <w:t xml:space="preserve">Private Label: Wer unterschreibt die Erklärung?</w:t>
      </w:r>
    </w:p>
    <w:p>
      <w:pPr>
        <w:spacing w:after="60" w:before="0"/>
      </w:pPr>
      <w:r>
        <w:rPr>
          <w:rFonts w:ascii="Arial" w:cs="Arial" w:eastAsia="Arial" w:hAnsi="Arial"/>
          <w:color w:val="6B7280"/>
          <w:sz w:val="16"/>
          <w:szCs w:val="16"/>
        </w:rPr>
        <w:t xml:space="preserve">Konformität · rechtsverbindlich · Rechtsstand 2026-10-17 · Bezug: #06, #04, #40</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Bei unserem Private-Label-Geschäft: Wer muss die Konformitätserklärung unterschreiben – und darf das ein externes Labor übernehmen?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Die Erklärung ist Sache des Erzeugers – beim Private Label also des Markeninhabers (Art. 3 Abs. 1 Nr. 13 lit. a, Art. 39 PPWR). Delegation ist zweistufig möglich: (1) Das Konformitätsbewertungsverfahren selbst darf ein Dritter im Auftrag durchführen (z. B. Labor oder Zertifizierungsstelle), die rechtliche Verantwortung bleibt beim Erzeuger (Art. 15 Abs. 2; Leitfaden Abschn. 2: der Erzeuger ist „sole economic operator bearing legal responsibility“). (2) Die Ausstellung der EU-Konformitätserklärung kann ein Bevollmächtigter nach Art. 17 übernehmen, den der Erzeuger schriftlich mandatiert; der Lieferant muss dem Erzeuger dafür alle erforderlichen Informationen und Unterlagen bereitstellen (Art. 16 Abs. 1). Folge: Vertraglich sauber regeln, wer Bewertung, Doku-Zulieferung und Unterschrift übernimmt; das Labor „haftet“ nicht an Ihrer Stelle. Quellen: Art. 3 Abs. 1 Nr. 13 lit. a, Art. 15 Abs. 2, Art. 16 Abs. 1, Art. 17, Art. 39 PPWR; Leitfaden Abschn. 2 (unverbindliche Auslegung). Grenze: Bei Kleinstunternehmen-Markeninhabern verschiebt sich die Erzeuger-Rolle (A04).</w:t>
      </w:r>
    </w:p>
    <w:p>
      <w:pPr>
        <w:spacing w:after="40" w:before="0"/>
      </w:pPr>
      <w:r>
        <w:rPr>
          <w:rFonts w:ascii="Arial" w:cs="Arial" w:eastAsia="Arial" w:hAnsi="Arial"/>
          <w:sz w:val="18"/>
          <w:szCs w:val="18"/>
        </w:rPr>
        <w:t xml:space="preserve">Aktualisierung 17.10.2026: Die Kommission bestätigt in der 2. Edition ihrer FAQ (Kap. XV FAQ 5), dass eine Konformitätserklärung die gesamte Verpackungseinheit abdecken kann, und lässt die Ausstellung durch einen Bevollmächtigten nach Art. 17 mit schriftlichem Mandat zu (Details C16).</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39 PPWR; Art. 15 Abs. 2 PPWR; Art. 16 Abs. 1 PPWR; Art. 17 PPWR; Leitfaden C(2026) 3702 Abschn. 2</w:t>
      </w:r>
    </w:p>
    <w:p>
      <w:pPr>
        <w:keepNext/>
        <w:pBdr>
          <w:top w:val="single" w:color="24A27F" w:sz="4" w:space="4"/>
        </w:pBdr>
        <w:spacing w:after="40" w:before="260"/>
      </w:pPr>
      <w:r>
        <w:rPr>
          <w:rFonts w:ascii="Arial" w:cs="Arial" w:eastAsia="Arial" w:hAnsi="Arial"/>
          <w:b/>
          <w:bCs/>
          <w:color w:val="004494"/>
          <w:sz w:val="22"/>
          <w:szCs w:val="22"/>
        </w:rPr>
        <w:t xml:space="preserve">C05  </w:t>
      </w:r>
      <w:r>
        <w:rPr>
          <w:rFonts w:ascii="Arial" w:cs="Arial" w:eastAsia="Arial" w:hAnsi="Arial"/>
          <w:b/>
          <w:bCs/>
          <w:sz w:val="22"/>
          <w:szCs w:val="22"/>
        </w:rPr>
        <w:t xml:space="preserve">Rezyklat vs. Schwermetall-Grenzwert bei Mehrweg</w:t>
      </w:r>
    </w:p>
    <w:p>
      <w:pPr>
        <w:spacing w:after="60" w:before="0"/>
      </w:pPr>
      <w:r>
        <w:rPr>
          <w:rFonts w:ascii="Arial" w:cs="Arial" w:eastAsia="Arial" w:hAnsi="Arial"/>
          <w:color w:val="6B7280"/>
          <w:sz w:val="16"/>
          <w:szCs w:val="16"/>
        </w:rPr>
        <w:t xml:space="preserve">Stoffrecht · rechtsverbindlich · Rechtsstand 2026-10-17 · Bezug: #01</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Unsere Mehrweg-Kunststoffkästen reißen wegen des Rezyklateinsatzes den Schwermetall-Grenzwert. Ist das jetzt ein Vertriebsverbot?</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Der Summengrenzwert für Blei, Cadmium, Quecksilber und Chrom VI von 100 mg/kg gilt seit 12.08.2026 als PPWR-Pflicht fort (Art. 5 Abs. 4). Deutschland hat aber von einer nationalen Ausnahme Gebrauch gemacht: Für Kunststoffkästen und -paletten gilt die Bereitstellungsbeschränkung im Bundesgebiet NICHT, wenn die Überschreitung allein auf Sekundärrohstoff-Einsatz beruht, die Kästen/Paletten in geschlossenen und kontrollierten Produktkreisläufen zirkulieren, ein Bestandserfassungs- und Kontrollsystem nach § 15 eingerichtet ist und die Herstellung im kontrollierten Verwertungsverfahren erfolgt (§ 14 VerpackDG; für Glas: §§ 17/18 mit 250 mg/kg-Deckel). Dazu gehören Konformitätserklärung und Jahresbericht nach § 16. Folge: Prüfen, ob Ihr Kreislauf die § 14-Kriterien dokumentiert erfüllt – dann kein Vertriebsverbot in Deutschland; für andere EU-Märkte gilt die Ausnahme NICHT. Quellen: Art. 5 Abs. 4 PPWR; §§ 14–16 VerpackDG. Grenze: (!) Die Fortgeltungs-Mechanik (Streichung der §§ 14–18 bei Erlass der delegierten Rechtsakte, Mantelgesetz Art. 4) ist als V2 in der Session zu bestätigen.</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5 Abs. 4 PPWR; §§ 14–16 VerpackDG; §§ 17–18 VerpackDG</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 V2: Fortgeltungs-Mechanik bestätigen</w:t>
      </w:r>
    </w:p>
    <w:p>
      <w:pPr>
        <w:keepNext/>
        <w:pBdr>
          <w:top w:val="single" w:color="24A27F" w:sz="4" w:space="4"/>
        </w:pBdr>
        <w:spacing w:after="40" w:before="260"/>
      </w:pPr>
      <w:r>
        <w:rPr>
          <w:rFonts w:ascii="Arial" w:cs="Arial" w:eastAsia="Arial" w:hAnsi="Arial"/>
          <w:b/>
          <w:bCs/>
          <w:color w:val="004494"/>
          <w:sz w:val="22"/>
          <w:szCs w:val="22"/>
        </w:rPr>
        <w:t xml:space="preserve">C06  </w:t>
      </w:r>
      <w:r>
        <w:rPr>
          <w:rFonts w:ascii="Arial" w:cs="Arial" w:eastAsia="Arial" w:hAnsi="Arial"/>
          <w:b/>
          <w:bCs/>
          <w:sz w:val="22"/>
          <w:szCs w:val="22"/>
        </w:rPr>
        <w:t xml:space="preserve">Als „Mehrweg" vermarkten: Was ist nötig?</w:t>
      </w:r>
    </w:p>
    <w:p>
      <w:pPr>
        <w:spacing w:after="60" w:before="0"/>
      </w:pPr>
      <w:r>
        <w:rPr>
          <w:rFonts w:ascii="Arial" w:cs="Arial" w:eastAsia="Arial" w:hAnsi="Arial"/>
          <w:color w:val="6B7280"/>
          <w:sz w:val="16"/>
          <w:szCs w:val="16"/>
        </w:rPr>
        <w:t xml:space="preserve">Mehrweg · rechtsverbindlich · Rechtsstand 2026-10-17 · Bezug: #03, #30</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Wir wollen unsere Transportboxen ab sofort als „Mehrweg“ vermarkten. Reicht es, dass sie stabil sind und mehrfach benutzt werden können?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Nein. Als wiederverwendbar gilt eine Verpackung nur, wenn sie ALLE Kriterien des Art. 11 Abs. 1 lit. a–i PPWR erfüllt (u. a. Konzeption für Mehrfachumläufe, Entleer-/Wiederbefüllbarkeit ohne Beschädigung, Rekonditionierbarkeit nach Anhang VI Teil B, Kennzeichnungsfähigkeit, Recyclingfähigkeit am Lebensende) UND Teil eines Wiederverwendungssystems nach Anhang VI ist. Das gilt materiell für alles, was ab dem 11.02.2025 in Verkehr gebracht wurde; davor in Verkehr gebrachte Mehrwegverpackungen müssen nicht nachgerüstet werden (Art. 15 Abs. 9; Leitfaden Abschn. 12). Folge: Je SKU Kriterien-Check plus Systemnachweis (Rücknahme, Rekonditionierung) dokumentieren – erst dann Mehrweg-Einstufung und die daran hängenden Vorteile (z. B. § 11 Nr. 1 VerpackDG). Falsch-Einstufung kippt in die Einweg-Folgen: Systembeteiligung bzw. Pfandpflicht, falsche Kennzeichnung, Vertriebsrisiko. Quellen: Art. 11 Abs. 1 i. V. m. Anhang VI, Art. 15 Abs. 9 PPWR; Leitfaden C(2026) 3702 Abschn. 12 (unverbindliche Auslegung); § 11 Nr. 1 VerpackDG. Grenze: Mindest-Rotationszahlen kommen erst per delegiertem Rechtsakt (Art. 11 Abs. 2, Radar R3).</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11 Abs. 1 i. V. m. Anhang VI PPWR; Art. 15 Abs. 9 PPWR; Leitfaden C(2026) 3702 Abschn. 12; § 11 Nr. 1 VerpackDG</w:t>
      </w:r>
    </w:p>
    <w:p>
      <w:pPr>
        <w:keepNext/>
        <w:pBdr>
          <w:top w:val="single" w:color="24A27F" w:sz="4" w:space="4"/>
        </w:pBdr>
        <w:spacing w:after="40" w:before="260"/>
      </w:pPr>
      <w:r>
        <w:rPr>
          <w:rFonts w:ascii="Arial" w:cs="Arial" w:eastAsia="Arial" w:hAnsi="Arial"/>
          <w:b/>
          <w:bCs/>
          <w:color w:val="004494"/>
          <w:sz w:val="22"/>
          <w:szCs w:val="22"/>
        </w:rPr>
        <w:t xml:space="preserve">C07  </w:t>
      </w:r>
      <w:r>
        <w:rPr>
          <w:rFonts w:ascii="Arial" w:cs="Arial" w:eastAsia="Arial" w:hAnsi="Arial"/>
          <w:b/>
          <w:bCs/>
          <w:sz w:val="22"/>
          <w:szCs w:val="22"/>
        </w:rPr>
        <w:t xml:space="preserve">Mehrweg-Paletten: Systembeitritt nötig?</w:t>
      </w:r>
    </w:p>
    <w:p>
      <w:pPr>
        <w:spacing w:after="60" w:before="0"/>
      </w:pPr>
      <w:r>
        <w:rPr>
          <w:rFonts w:ascii="Arial" w:cs="Arial" w:eastAsia="Arial" w:hAnsi="Arial"/>
          <w:color w:val="6B7280"/>
          <w:sz w:val="16"/>
          <w:szCs w:val="16"/>
        </w:rPr>
        <w:t xml:space="preserve">Mehrweg · unverbindliche Auslegung · Rechtsstand 2026-10-17 · Bezug: #30, #03, #27</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Müssen wir als Nutzer von Mehrweg-Paletten irgendeinem „System“ beitreten, oder reicht der Poolvertrag mit unserem Dienstleister?</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Die PPWR verlangt, dass Wirtschaftsakteure, die wiederverwendbare Verpackungen verwenden, einem Wiederverwendungssystem angehören, das die Anforderungen des Anhangs VI erfüllt (Art. 27 PPWR); Anhang VI unterscheidet offene und geschlossene Kreislaufsysteme mit Anforderungen an Governance, Rücknahme und Rekonditionierung. Ein professioneller Poolvertrag (z. B. Paletten-Pooling) IST typischerweise die Teilnahme an einem solchen System – entscheidend ist, dass der Systembetreiber die Anhang-VI-Anforderungen abdeckt und Sie das belegen können. Folge: Systemzugehörigkeit je Mehrweg-SKU dokumentieren (Vertrag + Systembeschreibung des Betreibers); das zahlt zugleich auf die Mehrweg-Einstufung (C06) und die deutsche § 11-Nr. 1-Ausnahme ein. Quellen: Art. 27 i. V. m. Anhang VI PPWR; § 11 Nr. 1 VerpackDG. Grenze: (!) Die genauen Absatz-Pins zu Art. 27/28 sind offen (V14 Anforderungspaket); die Subsumtion „Poolvertrag = Systemteilnahme“ ist Auslegung und in der Session zu bestätigen.</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27 i. V. m. Anhang VI PPWR; § 11 Nr. 1 VerpackDG</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 V14: Absatz-Pins Art. 27/28</w:t>
      </w:r>
    </w:p>
    <w:p>
      <w:pPr>
        <w:keepNext/>
        <w:pBdr>
          <w:top w:val="single" w:color="24A27F" w:sz="4" w:space="4"/>
        </w:pBdr>
        <w:spacing w:after="40" w:before="260"/>
      </w:pPr>
      <w:r>
        <w:rPr>
          <w:rFonts w:ascii="Arial" w:cs="Arial" w:eastAsia="Arial" w:hAnsi="Arial"/>
          <w:b/>
          <w:bCs/>
          <w:color w:val="004494"/>
          <w:sz w:val="22"/>
          <w:szCs w:val="22"/>
        </w:rPr>
        <w:t xml:space="preserve">C08  </w:t>
      </w:r>
      <w:r>
        <w:rPr>
          <w:rFonts w:ascii="Arial" w:cs="Arial" w:eastAsia="Arial" w:hAnsi="Arial"/>
          <w:b/>
          <w:bCs/>
          <w:sz w:val="22"/>
          <w:szCs w:val="22"/>
        </w:rPr>
        <w:t xml:space="preserve">Kleines Café: Mehrweg-Angebotspflicht?</w:t>
      </w:r>
    </w:p>
    <w:p>
      <w:pPr>
        <w:spacing w:after="60" w:before="0"/>
      </w:pPr>
      <w:r>
        <w:rPr>
          <w:rFonts w:ascii="Arial" w:cs="Arial" w:eastAsia="Arial" w:hAnsi="Arial"/>
          <w:color w:val="6B7280"/>
          <w:sz w:val="16"/>
          <w:szCs w:val="16"/>
        </w:rPr>
        <w:t xml:space="preserve">Mehrweg · rechtsverbindlich · Rechtsstand 2026-10-17 · Bezug: #29</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Ich habe ein kleines Café mit drei Aushilfen. Muss ich wirklich ein Mehrweg-Pfandsystem für Coffee-to-go anbieten?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Die Mehrwegangebotspflicht gilt weiter (Fortführung aus §§ 33/34 VerpackG): Endvertreiber, die Einwegkunststoff-Lebensmittelverpackungen oder Einweg-Getränkebecher erst vor Ort befüllen, müssen die Ware auch in wiederverwendbaren Verpackungen anbieten – nicht teurer und nicht zu schlechteren Bedingungen, einschließlich Deckel/Verschlüsse (§ 60 Abs. 1 VerpackDG), mit Hinweispflicht am POS und bei Lieferung (§ 60 Abs. 2). ABER für Sie greift die Kleinbetriebs-Erleichterung: Bei insgesamt höchstens fünf Beschäftigten und maximal 80 m² Verkaufsfläche genügt es, Kundengefäße zu befüllen (§ 61 Abs. 1) – Teilzeitkräfte zählen mit 0,5 (bis 20 Wochenstunden) bzw. 0,75 (bis 30 Wochenstunden); bei Lieferung zählen Lager-/Versandflächen zur Fläche. Auch dann: Hinweisschild auf das Befüll-Angebot (§ 61 Abs. 4) und Haftungsprivileg nur für Vorsatz/grobe Fahrlässigkeit (§ 61 Abs. 3). Quellen: §§ 60, 61 VerpackDG. Grenze: Zum 12.02.2028 wird § 60 auf „Einwegkunststoffgetränkebecher“ umgefasst (Mantelgesetz Art. 4) – der Radar meldet die Änderung (R10).</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 60 VerpackDG; § 61 VerpackDG</w:t>
      </w:r>
    </w:p>
    <w:p>
      <w:pPr>
        <w:keepNext/>
        <w:pBdr>
          <w:top w:val="single" w:color="24A27F" w:sz="4" w:space="4"/>
        </w:pBdr>
        <w:spacing w:after="40" w:before="260"/>
      </w:pPr>
      <w:r>
        <w:rPr>
          <w:rFonts w:ascii="Arial" w:cs="Arial" w:eastAsia="Arial" w:hAnsi="Arial"/>
          <w:b/>
          <w:bCs/>
          <w:color w:val="004494"/>
          <w:sz w:val="22"/>
          <w:szCs w:val="22"/>
        </w:rPr>
        <w:t xml:space="preserve">C09  </w:t>
      </w:r>
      <w:r>
        <w:rPr>
          <w:rFonts w:ascii="Arial" w:cs="Arial" w:eastAsia="Arial" w:hAnsi="Arial"/>
          <w:b/>
          <w:bCs/>
          <w:sz w:val="22"/>
          <w:szCs w:val="22"/>
        </w:rPr>
        <w:t xml:space="preserve">Adresspflicht auf der Verpackung? QR-Label?</w:t>
      </w:r>
    </w:p>
    <w:p>
      <w:pPr>
        <w:spacing w:after="60" w:before="0"/>
      </w:pPr>
      <w:r>
        <w:rPr>
          <w:rFonts w:ascii="Arial" w:cs="Arial" w:eastAsia="Arial" w:hAnsi="Arial"/>
          <w:color w:val="6B7280"/>
          <w:sz w:val="16"/>
          <w:szCs w:val="16"/>
        </w:rPr>
        <w:t xml:space="preserve">Konformität · rechtsverbindlich · Rechtsstand 2026-10-17 · Bezug: #07, #19</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Muss auf jeder Verpackung jetzt unsere Adresse stehen? Und ist das dasselbe wie dieses neue EU-Sortierlabel?</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Zwei verschiedene Regime. JETZT gilt die Identifikations- und Kontaktkennzeichnung: Auf ab dem 12.08.2026 in Verkehr gebrachten Verpackungen muss (a) eine Typen-, Chargen- oder Seriennummer oder ein anderes Identifikationselement und (b) Name oder eingetragene Marke, Postanschrift und eine digitale Kontaktmöglichkeit des Erzeugers angegeben sein – auf der Verpackung oder über einen Datenträger (z. B. QR-Code) abrufbar (Art. 15 Abs. 5 u. 6 PPWR); Importeure ergänzen ihre eigenen Angaben (Art. 18 Abs. 3). NOCH NICHT gilt das harmonisierte EU-Sortierlabel (Art. 12): Es kommt erst ab 12.08.2028 bzw. 24 Monate nach dem Durchführungsrechtsakt; bis dahin bleibt die deutsche Materialkennzeichnung nach § 4 VerpackDG freiwillig, aber exklusiv (nur die Nummern/Abkürzungen der Anlage 2). Folge: Druckdaten aller SKUs auf die Art.-15-Angaben prüfen; keine Investitionen in nationale Sortierhinweise mehr. Quellen: Art. 15 Abs. 5 u. 6, Art. 18 Abs. 3, Art. 12 PPWR; § 4 VerpackDG. Grenze: Detail-Pins zu Art. 15 (Mehrfachverpackungen, Verdeckungsverbot) sind V1-Positionen der Session.</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15 Abs. 5 u. 6 PPWR; Art. 18 Abs. 3 PPWR; Art. 12 PPWR; § 4 VerpackDG</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 V1: Detail-Pins Art. 15</w:t>
      </w:r>
    </w:p>
    <w:p>
      <w:pPr>
        <w:keepNext/>
        <w:pBdr>
          <w:top w:val="single" w:color="24A27F" w:sz="4" w:space="4"/>
        </w:pBdr>
        <w:spacing w:after="40" w:before="260"/>
      </w:pPr>
      <w:r>
        <w:rPr>
          <w:rFonts w:ascii="Arial" w:cs="Arial" w:eastAsia="Arial" w:hAnsi="Arial"/>
          <w:b/>
          <w:bCs/>
          <w:color w:val="004494"/>
          <w:sz w:val="22"/>
          <w:szCs w:val="22"/>
        </w:rPr>
        <w:t xml:space="preserve">C10  </w:t>
      </w:r>
      <w:r>
        <w:rPr>
          <w:rFonts w:ascii="Arial" w:cs="Arial" w:eastAsia="Arial" w:hAnsi="Arial"/>
          <w:b/>
          <w:bCs/>
          <w:sz w:val="22"/>
          <w:szCs w:val="22"/>
        </w:rPr>
        <w:t xml:space="preserve">PET-Rezyklatquote: deutsch oder europäisch?</w:t>
      </w:r>
    </w:p>
    <w:p>
      <w:pPr>
        <w:spacing w:after="60" w:before="0"/>
      </w:pPr>
      <w:r>
        <w:rPr>
          <w:rFonts w:ascii="Arial" w:cs="Arial" w:eastAsia="Arial" w:hAnsi="Arial"/>
          <w:color w:val="6B7280"/>
          <w:sz w:val="16"/>
          <w:szCs w:val="16"/>
        </w:rPr>
        <w:t xml:space="preserve">Stoffrecht · rechtsverbindlich · Rechtsstand 2026-10-17 · Bezug: #15, #14</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Für unsere PET-Einwegflaschen: Welche Rezyklatquote gilt denn nun – die deutsche oder die aus der EU-Verordnung?</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Aktuell allein die deutsche. § 45 VerpackDG führt die nationale Quote fort: Einweggetränkeflaschen, die hauptsächlich aus PET bestehen, dürfen nur bereitgestellt werden, wenn sie zu mindestens 25 Masseprozent aus Kunststoffrezyklaten bestehen – wahlweise je Flasche oder im Jahresmittel des Herstellers mit nachprüfbarer Dokumentation gegenüber der Landesbehörde (§ 45 Abs. 1 u. 3). Ab dem 01.01.2030 gilt national 30 % für ALLE Einweggetränkeflaschen aus Kunststoff (§ 45 Abs. 2). Die EU-Rezyklatquoten des Art. 7 PPWR (je Kategorie, inkl. kontaktempfindlicher Verpackungen) greifen ebenfalls erst ab 2030 – dann laufen beide Regime parallel. Folge: Rezyklatanteil je Flaschen-SKU erfassen; bei Jahresmittel-Option den Dokumentationsprozess jetzt aufsetzen; Beschaffungsstrategie Richtung 2030 planen (Radar R4: Methodik-Rechtsakt). Quellen: § 45 Abs. 1–3 VerpackDG; Art. 7 PPWR. Grenze: (!) Das Konkurrenzverhältnis § 45 ↔ Art. 7 ab 2030 (strengster Wert? Anrechnung?) ist offene Session-Frage (V5); die EU-Prozentwerte je Kategorie sind als V4 gegen den Volltext zu pinnen – bis dahin nennen wir sie nicht.</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 45 Abs. 1–3 VerpackDG; Art. 7 PPWR</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 V4/V5: EU-Werte pinnen; Konkurrenz 2030 klären</w:t>
      </w:r>
    </w:p>
    <w:p>
      <w:pPr>
        <w:keepNext/>
        <w:pBdr>
          <w:top w:val="single" w:color="24A27F" w:sz="4" w:space="4"/>
        </w:pBdr>
        <w:spacing w:after="40" w:before="260"/>
      </w:pPr>
      <w:r>
        <w:rPr>
          <w:rFonts w:ascii="Arial" w:cs="Arial" w:eastAsia="Arial" w:hAnsi="Arial"/>
          <w:b/>
          <w:bCs/>
          <w:color w:val="004494"/>
          <w:sz w:val="22"/>
          <w:szCs w:val="22"/>
        </w:rPr>
        <w:t xml:space="preserve">C11  </w:t>
      </w:r>
      <w:r>
        <w:rPr>
          <w:rFonts w:ascii="Arial" w:cs="Arial" w:eastAsia="Arial" w:hAnsi="Arial"/>
          <w:b/>
          <w:bCs/>
          <w:sz w:val="22"/>
          <w:szCs w:val="22"/>
        </w:rPr>
        <w:t xml:space="preserve">Palettenfolie &amp; Umreifungsbänder: Von der 100 %-Mehrwegpflicht befreit?</w:t>
      </w:r>
    </w:p>
    <w:p>
      <w:pPr>
        <w:spacing w:after="60" w:before="0"/>
      </w:pPr>
      <w:r>
        <w:rPr>
          <w:rFonts w:ascii="Arial" w:cs="Arial" w:eastAsia="Arial" w:hAnsi="Arial"/>
          <w:color w:val="6B7280"/>
          <w:sz w:val="16"/>
          <w:szCs w:val="16"/>
        </w:rPr>
        <w:t xml:space="preserve">Mehrweg · rechtsverbindlich · Rechtsstand 2026-10-17 · Bezug: #27, #03</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Müssen wir ab 2030 wirklich auf wiederverwendbare Stretchfolie und Mehrweg-Umreifungsbänder umstellen, wenn wir Paletten für den Versand sichern?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Für die 100 %-Pflichten gibt es eine Ausnahme. Art. 29 Abs. 2 und 3 PPWR verlangen ab dem 01.01.2030, dass die dort erfassten Transport- und Versand-Verkaufsverpackungen bei Transporten zwischen eigenen Standorten bzw. zu verbundenen oder Partnerunternehmen sowie bei Lieferungen an andere Wirtschaftsakteure im selben Mitgliedstaat stets wiederverwendbar innerhalb eines Wiederverwendungssystems sind – Palettenumhüllungen und Umreifungsbänder sind in der Formatliste des Art. 29 Abs. 1 ausdrücklich genannt. Mit dem Delegierten Beschluss C(2026) 511 final vom 25.02.2026 (gestützt auf Art. 29 Abs. 18 lit. a PPWR) nimmt die Kommission Wirtschaftsakteure, die Palettenumhüllungen oder Umreifungsbänder zur Stabilisierung und zum Schutz von auf Paletten transportierten Produkten verwenden, von den 100 %-Wiederverwendungspflichten des Art. 29 Abs. 2 und 3 aus (Art. 1 des Beschlusses). Konkrete Folge: Für diese beiden Formate entfällt in den genannten Konstellationen die Pflicht zur ausschließlichen Mehrwegnutzung ab 2030. Nach Erwägungsgrund 2 des Beschlusses folgt aus der Ausnahme zudem, dass für diese Verwendungsarten auch die Quoten des Art. 29 Abs. 1 (40 %-Ziel) nicht gelten (!). Grenze: Der Beschluss betrifft nur Palettenumhüllungen und Umreifungsbänder – Paletten, Kisten, Fässer und die übrigen Formate des Art. 29 Abs. 1 bleiben von den Wiederverwendungszielen unberührt. Er tritt am zwanzigsten Tag nach der Veröffentlichung im Amtsblatt in Kraft (Art. 2); die ABl.-Veröffentlichung ist noch zu verifizieren (!).</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29 Abs. 1, 2, 3 und 18 lit. a PPWR (VO (EU) 2025/40); Delegierter Beschluss der Kommission C(2026) 511 final vom 25.02.2026, Art. 1 und 2 sowie ErwGr. 1–5 (rechtsverbindlicher EU-Rechtsakt nach Inkrafttreten)</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 1. Reichweite ggü. Art. 29 Abs. 1: Art. 1 des Beschlusses nimmt nur von Abs. 2 und 3 aus, ErwGr. 2 erstreckt die Wirkung auf die Quoten des Abs. 1 – Cattwyk-Klärung; 2. ABl.-Veröffentlichung/Inkrafttreten noch nicht verifiziert (nur C-final-Fassung ausgewertet)</w:t>
      </w:r>
    </w:p>
    <w:p>
      <w:pPr>
        <w:keepNext/>
        <w:pBdr>
          <w:top w:val="single" w:color="24A27F" w:sz="4" w:space="4"/>
        </w:pBdr>
        <w:spacing w:after="40" w:before="260"/>
      </w:pPr>
      <w:r>
        <w:rPr>
          <w:rFonts w:ascii="Arial" w:cs="Arial" w:eastAsia="Arial" w:hAnsi="Arial"/>
          <w:b/>
          <w:bCs/>
          <w:color w:val="004494"/>
          <w:sz w:val="22"/>
          <w:szCs w:val="22"/>
        </w:rPr>
        <w:t xml:space="preserve">C12  </w:t>
      </w:r>
      <w:r>
        <w:rPr>
          <w:rFonts w:ascii="Arial" w:cs="Arial" w:eastAsia="Arial" w:hAnsi="Arial"/>
          <w:b/>
          <w:bCs/>
          <w:sz w:val="22"/>
          <w:szCs w:val="22"/>
        </w:rPr>
        <w:t xml:space="preserve">PET-Flaschen: Neue EU-Regeln zur Rezyklat-Berechnung?</w:t>
      </w:r>
    </w:p>
    <w:p>
      <w:pPr>
        <w:spacing w:after="60" w:before="0"/>
      </w:pPr>
      <w:r>
        <w:rPr>
          <w:rFonts w:ascii="Arial" w:cs="Arial" w:eastAsia="Arial" w:hAnsi="Arial"/>
          <w:color w:val="6B7280"/>
          <w:sz w:val="16"/>
          <w:szCs w:val="16"/>
        </w:rPr>
        <w:t xml:space="preserve">Stoffrecht · rechtsverbindlich · Rechtsstand 2026-10-17 · Bezug: #15, #14</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Wie wird der Rezyklatanteil unserer PET-Einwegflaschen künftig berechnet und nachgewiesen – zählt jetzt auch chemisch recycelter Kunststoff?</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Die EU-Kommission hat mit dem Durchführungsbeschluss (EU) 2026/1425 vom 30.06.2026 (ABl. L, 2026/1425, 03.07.2026) neue Vorschriften für die Berechnung, die Überprüfung und die Übermittlung von Daten über den Gehalt an recyceltem Kunststoff in Einweggetränkeflaschen aus Kunststoff erlassen; der bisherige Durchführungsbeschluss (EU) 2023/2683 wird aufgehoben. Rechtsgrundlage ist die Einwegkunststoff-Richtlinie (EU) 2019/904 (SUPD), nicht die PPWR. Der Beschluss ist am 23.07.2026 in Kraft getreten. Nach der Pressemitteilung der Kommission (IP/26/1467) wird damit erstmals eine Methodik festgelegt, mit der auch chemisch recycelter Anteil berechnet, überprüft und gemeldet werden kann; die Regeln sollen technologieoffen für mechanisches wie chemisches Recycling gelten (!). Konkrete Folge: Für den Nachweis der Rezyklatanteile von PET-Einwegflaschen sind künftig die Berechnungs-, Prüf- und Meldevorgaben dieses Beschlusses maßgeblich – das betrifft die Dokumentation gegenüber Behörden und in der Lieferkette. Grenze: Die materiellen Mindestquoten selbst ändern sich dadurch nicht: National gilt weiterhin § 45 VerpackDG (mindestens 25 Masseprozent Rezyklat bei PET-Einweggetränkeflaschen, ab 01.01.2030 30 Prozent für alle Einweggetränkeflaschen aus Kunststoff); daneben bestehen die EU-Vorgaben aus SUPD und – ab ihren jeweiligen Stichtagen – Art. 7 PPWR. Zum Verhältnis dieser Quoten siehe C10.</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Durchführungsbeschluss (EU) 2026/1425 der Kommission vom 30.06.2026 (ABl. L, 2026/1425, 03.07.2026; ELI: data.europa.eu/eli/dec_impl/2026/1425/oj), in Kraft seit 23.07.2026; Richtlinie (EU) 2019/904 (SUPD); § 45 VerpackDG (BGBl. 2026 I Nr. 207); Art. 7 PPWR (VO (EU) 2025/40); Pressemitteilung der EU-Kommission IP/26/1467 vom 30.06.2026 (Sekundärdarstellung des Beschlussinhalts)</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 Detailaussagen zur Methodik (Einbeziehung chemisches Recycling, Drittstaaten-Anrechnung) beruhen auf Kommissions-PM und Sekundärberichten – ABl.-Volltext des DB (EU) 2026/1425 vor Freigabe im Wortlaut prüfen</w:t>
      </w:r>
    </w:p>
    <w:p>
      <w:pPr>
        <w:keepNext/>
        <w:pBdr>
          <w:top w:val="single" w:color="24A27F" w:sz="4" w:space="4"/>
        </w:pBdr>
        <w:spacing w:after="40" w:before="260"/>
      </w:pPr>
      <w:r>
        <w:rPr>
          <w:rFonts w:ascii="Arial" w:cs="Arial" w:eastAsia="Arial" w:hAnsi="Arial"/>
          <w:b/>
          <w:bCs/>
          <w:color w:val="004494"/>
          <w:sz w:val="22"/>
          <w:szCs w:val="22"/>
        </w:rPr>
        <w:t xml:space="preserve">C13  </w:t>
      </w:r>
      <w:r>
        <w:rPr>
          <w:rFonts w:ascii="Arial" w:cs="Arial" w:eastAsia="Arial" w:hAnsi="Arial"/>
          <w:b/>
          <w:bCs/>
          <w:sz w:val="22"/>
          <w:szCs w:val="22"/>
        </w:rPr>
        <w:t xml:space="preserve">Berichtigung der deutschen Fassung: Art. 29 Abs. 4 lit. b PPWR sagt jetzt „Waren“</w:t>
      </w:r>
    </w:p>
    <w:p>
      <w:pPr>
        <w:spacing w:after="60" w:before="0"/>
      </w:pPr>
      <w:r>
        <w:rPr>
          <w:rFonts w:ascii="Arial" w:cs="Arial" w:eastAsia="Arial" w:hAnsi="Arial"/>
          <w:color w:val="6B7280"/>
          <w:sz w:val="16"/>
          <w:szCs w:val="16"/>
        </w:rPr>
        <w:t xml:space="preserve">Mehrweg · rechtsverbindlich · Rechtsstand 2026-10-19 · Bezug: #27</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In unserem Ausdruck der PPWR steht bei den Mehrweg-Ausnahmen für Transportverpackungen „Rohstoffe“. Gilt die Ausnahme nur für Rohstofftransporte?</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Nein. Die deutsche Sprachfassung des Art. 29 Abs. 4 lit. b PPWR enthielt einen Übersetzungsfehler, der mit Berichtigung vom 04.08.2026 (ABl. L 2026/90654) korrigiert wurde: Die Ausnahme von den Mehrwegquoten gilt für Transportverpackungen, die für den Transport großer Maschinen, Ausrüstungen und „Waren“ verwendet werden, für die die Verpackung nach den individuellen Anforderungen des beauftragenden Wirtschaftsakteurs konzipiert ist; bisher stand dort „Rohstoffe“. Die anderen Sprachfassungen waren bereits korrekt. Folge: Maßgefertigte Transportverpackungen für individuelle Güter aller Art fallen unter die Ausnahme, nicht nur Rohstofftransporte. Prüfen Sie, ob Ihre Transportverpackungen kundenspezifisch konzipiert sind; dann greift Art. 29 Abs. 4 lit. b. Quellen: Art. 29 Abs. 4 lit. b PPWR in der berichtigten Fassung; ABl. L 2026/90654. Grenze: Die Berichtigung ändert nichts an den übrigen Voraussetzungen der Mehrwegquoten ab 2030 (vgl. #27) und an der Ausnahme für Palettenwicklungen und Umreifungsbänder (vgl. C11).</w:t>
      </w:r>
    </w:p>
    <w:p>
      <w:pPr>
        <w:spacing w:after="40" w:before="0"/>
      </w:pPr>
      <w:r>
        <w:rPr>
          <w:rFonts w:ascii="Arial" w:cs="Arial" w:eastAsia="Arial" w:hAnsi="Arial"/>
          <w:sz w:val="18"/>
          <w:szCs w:val="18"/>
        </w:rPr>
        <w:t xml:space="preserve">Aktualisierung 19.10.2026: EUR-Lex weist sieben Berichtigungen R(01) bis R(07) aus (ES/FR/SV, BG/ES/CS/ET, SV, IT, CS/ES, DE, IT). Nur R(06) betrifft die deutsche Fassung.</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29 Abs. 4 lit. b PPWR (VO (EU) 2025/40); Berichtigung der Verordnung (EU) 2025/40, ABl. L 2026/90654 vom 04.08.2026 (deutsche Sprachfassung, rechtsverbindlich)</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(neu 10/2026) Berichtigung ABl. L 2026/90654 vom 04.08.2026 betrifft nur die deutsche Sprachfassung. Datensatz #27 und Glossar-/Erklärtexte, die „Rohstoffe“ zitieren, anpassen.</w:t>
      </w:r>
    </w:p>
    <w:p>
      <w:pPr>
        <w:keepNext/>
        <w:pBdr>
          <w:top w:val="single" w:color="24A27F" w:sz="4" w:space="4"/>
        </w:pBdr>
        <w:spacing w:after="40" w:before="260"/>
      </w:pPr>
      <w:r>
        <w:rPr>
          <w:rFonts w:ascii="Arial" w:cs="Arial" w:eastAsia="Arial" w:hAnsi="Arial"/>
          <w:b/>
          <w:bCs/>
          <w:color w:val="004494"/>
          <w:sz w:val="22"/>
          <w:szCs w:val="22"/>
        </w:rPr>
        <w:t xml:space="preserve">C14  </w:t>
      </w:r>
      <w:r>
        <w:rPr>
          <w:rFonts w:ascii="Arial" w:cs="Arial" w:eastAsia="Arial" w:hAnsi="Arial"/>
          <w:b/>
          <w:bCs/>
          <w:sz w:val="22"/>
          <w:szCs w:val="22"/>
        </w:rPr>
        <w:t xml:space="preserve">Kennzeichnungspflichten: Verschieben sich die Termine 2028/2029?</w:t>
      </w:r>
    </w:p>
    <w:p>
      <w:pPr>
        <w:spacing w:after="60" w:before="0"/>
      </w:pPr>
      <w:r>
        <w:rPr>
          <w:rFonts w:ascii="Arial" w:cs="Arial" w:eastAsia="Arial" w:hAnsi="Arial"/>
          <w:color w:val="6B7280"/>
          <w:sz w:val="16"/>
          <w:szCs w:val="16"/>
        </w:rPr>
        <w:t xml:space="preserve">Kennzeichnung · rechtsverbindlich · Rechtsstand 2026-10-26 · Bezug: #19, #20, #21</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Wir planen unsere Verpackungsdrucke für 2028. Steht das harmonisierte Sortierlabel wirklich zum 12.08.2028 fest?</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Die Kommission hätte die Durchführungsrechtsakte zu den harmonisierten Kennzeichnungen (Art. 12 Abs. 6, Art. 13 Abs. 2 PPWR) bis zum 12.08.2026 erlassen müssen. Das ist nicht geschehen; der Entwurf ist als Initiative 19243 angekündigt, die Annahme für das vierte Quartal 2026 geplant. Die Kennzeichnungspflichten gelten nach der Verordnung ab dem 12.08.2028 (Materialkennzeichnung, freiwillige Rezyklat- und Bio-Labels) bzw. 12.02.2029 (Mehrweg-Kennzeichnung) oder 24 bzw. 30 Monate nach Geltungsbeginn des Durchführungsakts, je nachdem, welcher Zeitpunkt der spätere ist. Folge: Wird der Durchführungsakt erst Ende 2026 oder 2027 wirksam, verschieben sich die Pflichten rechnerisch in das Jahr 2029. Die Termine 2028 sind damit Mindestdaten, keine festen Stichtage. Planen Sie Druckvorlagen so, dass das Label nach Veröffentlichung der Spezifikationen nachgezogen werden kann. Unverändert gilt bereits seit dem 12.08.2026 das Irreführungsverbot des Art. 12 Abs. 8. Quellen: Art. 12 Abs. 1, 2, 4, 6, 8, Art. 13 PPWR; Initiative 19243; Kommissions-FAQ 2. Ed. Kap. VIII (unverbindlich). Grenze: Die exakten Folgetermine ergeben sich erst aus dem Datum des Durchführungsakts; der PPWR Radar aktualisiert #19 bis #21, sobald er veröffentlicht ist.</w:t>
      </w:r>
    </w:p>
    <w:p>
      <w:pPr>
        <w:spacing w:after="40" w:before="0"/>
      </w:pPr>
      <w:r>
        <w:rPr>
          <w:rFonts w:ascii="Arial" w:cs="Arial" w:eastAsia="Arial" w:hAnsi="Arial"/>
          <w:sz w:val="18"/>
          <w:szCs w:val="18"/>
        </w:rPr>
        <w:t xml:space="preserve">Aktualisierung 26.10.2026: Initiative 19243 nennt als Annahme jetzt Q2 2027 (Durchfuehrungsbeschluss, Entwurf noch nicht veroeffentlicht). Rechnerisch Kennzeichnungspflicht fruehestens Mitte 2029 (!).</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12 Abs. 1, 2, 4, 6 und 7 PPWR (VO (EU) 2025/40); Art. 13 Abs. 1 und 2 PPWR; Europäische Kommission, Have your say, Initiative 19243 „Packaging and packaging waste – new Commission implementing rules on harmonised labels“ (Entwurf angekündigt, Annahme geplant Q4 2026); Kommissions-FAQ zur PPWR, 2. Edition (03.08.2026), Kap. VIII FAQ 1–4 (unverbindliche Auslegung der EU-Kommission)</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(neu 10/2026) Durchführungsakt nach Art. 12 Abs. 6 / Art. 13 Abs. 2 verfehlt die Frist 12.08.2026 (Have-your-say-Initiative 19243, Annahme geplant Q4 2026). Folgetermine über „je nachdem, welcher Zeitpunkt der spätere ist“ errechnen; exakte Wortlaute Art. 12 Abs. 1, 2, 4 und Art. 13 Abs. 1 am Volltext pinnen. Datensätze #19–#21 angepasst.</w:t>
      </w:r>
    </w:p>
    <w:p>
      <w:pPr>
        <w:keepNext/>
        <w:pBdr>
          <w:top w:val="single" w:color="24A27F" w:sz="4" w:space="4"/>
        </w:pBdr>
        <w:spacing w:after="40" w:before="260"/>
      </w:pPr>
      <w:r>
        <w:rPr>
          <w:rFonts w:ascii="Arial" w:cs="Arial" w:eastAsia="Arial" w:hAnsi="Arial"/>
          <w:b/>
          <w:bCs/>
          <w:color w:val="004494"/>
          <w:sz w:val="22"/>
          <w:szCs w:val="22"/>
        </w:rPr>
        <w:t xml:space="preserve">C15  </w:t>
      </w:r>
      <w:r>
        <w:rPr>
          <w:rFonts w:ascii="Arial" w:cs="Arial" w:eastAsia="Arial" w:hAnsi="Arial"/>
          <w:b/>
          <w:bCs/>
          <w:sz w:val="22"/>
          <w:szCs w:val="22"/>
        </w:rPr>
        <w:t xml:space="preserve">Lagerware von vor dem 12.08.2026: Umetikettieren oder Begleitdokument?</w:t>
      </w:r>
    </w:p>
    <w:p>
      <w:pPr>
        <w:spacing w:after="60" w:before="0"/>
      </w:pPr>
      <w:r>
        <w:rPr>
          <w:rFonts w:ascii="Arial" w:cs="Arial" w:eastAsia="Arial" w:hAnsi="Arial"/>
          <w:color w:val="6B7280"/>
          <w:sz w:val="16"/>
          <w:szCs w:val="16"/>
        </w:rPr>
        <w:t xml:space="preserve">Konformität · unverbindliche Auslegung · Rechtsstand 2026-10-17 · Bezug: #10, #07</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Wir haben Verpackungen im Lager, die vor dem 12. August produziert wurden, aber noch nicht verkauft sind. Müssen wir die jetzt alle mit Erzeugerangaben nachkennzeichnen?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Vor dem 12.08.2026 produzierte, aber noch nicht in Verkehr gebrachte Verpackungen unterliegen beim Inverkehrbringen den Anforderungen der PPWR (Art. 3 Abs. 1 Nr. 10 und 11; vgl. C01). Die Kommission hat in der 2. Edition ihrer FAQ (Kap. X FAQ 5) aber klargestellt, dass sie keine Vernichtung, Umarbeitung oder Umetikettierung solcher Bestände erwartet: Die Angaben zur Erzeugeridentifikation nach Art. 15 Abs. 5 und 6 dürfen für diese Ware über Begleitdokumente erfolgen; eine Einzelstückkennzeichnung verlangt Art. 15 Abs. 5 ohnehin nicht, eine Chargennummer genügt. Ist der Lieferant nicht mehr erreichbar, erwartet die Kommission „best efforts“. Bereits in Verkehr gebrachte Ware darf ohnehin am Markt bleiben. Folge: Dokumentieren Sie je Charge Erzeugername, Marke, Anschrift und Kontaktweg in den Lieferpapieren und halten Sie die Konformitätsangaben nach Art. 5 bereit; eine physische Nachkennzeichnung des Lagerbestands ist nach Kommissionslesart nicht erforderlich. Quellen: Art. 3 Abs. 1 Nr. 10 und 11, Art. 15 Abs. 5 und 6 PPWR; Kommissions-FAQ 2. Ed. Kap. X FAQ 5 (unverbindlich). Grenze: Die FAQ ist keine Rechtsnorm. Für die stofflichen Anforderungen (PFAS, Schwermetalle) bleibt es dabei, dass nicht konforme Lagerware nicht mehr in Verkehr gebracht werden darf (vgl. C01).</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3 Abs. 1 Nr. 10 und 11 PPWR (VO (EU) 2025/40); Art. 15 Abs. 5 und 6 PPWR; Kommissions-FAQ zur PPWR, 2. Edition (03.08.2026), Kap. X FAQ 5 (unverbindliche Auslegung der EU-Kommission)</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(neu 10/2026) Kommissions-FAQ 2. Ed. Kap. X FAQ 5 ist pragmatischer als unsere Lesart in #10 und C01 (kein Abverkaufsprivileg): keine Vernichtung/Umetikettierung, Art. 15 Abs. 5/6 per Begleitdokument. Spannung zu #10 für Cattwyk aufbereiten.</w:t>
      </w:r>
    </w:p>
    <w:p>
      <w:pPr>
        <w:keepNext/>
        <w:pBdr>
          <w:top w:val="single" w:color="24A27F" w:sz="4" w:space="4"/>
        </w:pBdr>
        <w:spacing w:after="40" w:before="260"/>
      </w:pPr>
      <w:r>
        <w:rPr>
          <w:rFonts w:ascii="Arial" w:cs="Arial" w:eastAsia="Arial" w:hAnsi="Arial"/>
          <w:b/>
          <w:bCs/>
          <w:color w:val="004494"/>
          <w:sz w:val="22"/>
          <w:szCs w:val="22"/>
        </w:rPr>
        <w:t xml:space="preserve">C16  </w:t>
      </w:r>
      <w:r>
        <w:rPr>
          <w:rFonts w:ascii="Arial" w:cs="Arial" w:eastAsia="Arial" w:hAnsi="Arial"/>
          <w:b/>
          <w:bCs/>
          <w:sz w:val="22"/>
          <w:szCs w:val="22"/>
        </w:rPr>
        <w:t xml:space="preserve">Konformitätserklärung: Eine je Verpackungseinheit, und darf sie der Bevollmächtigte ausstellen?</w:t>
      </w:r>
    </w:p>
    <w:p>
      <w:pPr>
        <w:spacing w:after="60" w:before="0"/>
      </w:pPr>
      <w:r>
        <w:rPr>
          <w:rFonts w:ascii="Arial" w:cs="Arial" w:eastAsia="Arial" w:hAnsi="Arial"/>
          <w:color w:val="6B7280"/>
          <w:sz w:val="16"/>
          <w:szCs w:val="16"/>
        </w:rPr>
        <w:t xml:space="preserve">Konformität · unverbindliche Auslegung · Rechtsstand 2026-10-17 · Bezug: #06, #05, #37</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Brauchen wir für jeden Karton, jede Folie und jedes Etikett eine eigene Konformitätserklärung? Und darf unser Bevollmächtigter die unterschreiben?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Nach der Kommissions-FAQ kann eine Konformitätsbewertung und eine Konformitätserklärung die gesamte Verpackungseinheit abdecken, also alle Bestandteile, die zusammen in Verkehr gebracht werden (2. Ed. Kap. XV FAQ 5). Die Erklärung ist in der Sprache des Mitgliedstaats abzufassen, in dem die Verpackung bereitgestellt wird; in Deutschland genügt Deutsch oder Englisch (§ 62 VerpackDG). Prüfungen und Zertifizierungen dürfen an Labore delegiert werden, die Erstellung der technischen Dokumentation nach Anhang VII bleibt Sache des Erzeugers (Kap. XV FAQ 8). Ein Bevollmächtigter nach Art. 17 PPWR darf die Konformitätserklärung mit schriftlichem Mandat ausstellen (Kap. XV FAQ 14). Importeure müssen sicherstellen, dass der Drittlandserzeuger Konformitätsbewertung und Erklärung vorgenommen hat (Kap. X FAQ 9, Art. 18 PPWR). Folge: Eine Erklärung je Verpackungseinheit statt je Bestandteil ist zulässig; die Aufbewahrungsfrist beträgt fünf Jahre bei Einweg- und zehn Jahre bei Mehrwegverpackungen (Art. 15 Abs. 3). Quellen: Art. 15 Abs. 3, 17, 18, 38, 39, Anhang VII und VIII PPWR; § 62 VerpackDG; Kommissions-FAQ 2. Ed. (unverbindlich). Grenze: Was eine „Verpackungseinheit“ im Einzelfall umfasst, ist nicht normiert; bei wechselnden Bestandteilen ist eine Erklärung je Variante der sichere Weg.</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15 Abs. 3 PPWR (VO (EU) 2025/40); Art. 17 PPWR; Art. 18 PPWR; Art. 38 und 39 i. V. m. Anhang VII und VIII PPWR; § 62 VerpackDG (BGBl. 2026 I Nr. 207); Kommissions-FAQ zur PPWR, 2. Edition (03.08.2026), Kap. XV FAQ 5, 8 und 14 sowie Kap. X FAQ 9 (unverbindliche Auslegung der EU-Kommission)</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(neu 10/2026) Kommissions-FAQ 2. Ed. Kap. XV FAQ 5/8/14 und Kap. X FAQ 9. Ergänzt C03/C04; Aussage „TD-Erstellung nicht delegierbar“ gegen Art. 17 Abs. 2 PPWR pinnen. Relevanz für Dokumenten-Generator (Ebene Verpackungseinheit).</w:t>
      </w:r>
    </w:p>
    <w:p>
      <w:pPr>
        <w:keepNext/>
        <w:pBdr>
          <w:top w:val="single" w:color="24A27F" w:sz="4" w:space="4"/>
        </w:pBdr>
        <w:spacing w:after="40" w:before="260"/>
      </w:pPr>
      <w:r>
        <w:rPr>
          <w:rFonts w:ascii="Arial" w:cs="Arial" w:eastAsia="Arial" w:hAnsi="Arial"/>
          <w:b/>
          <w:bCs/>
          <w:color w:val="004494"/>
          <w:sz w:val="22"/>
          <w:szCs w:val="22"/>
        </w:rPr>
        <w:t xml:space="preserve">C17  </w:t>
      </w:r>
      <w:r>
        <w:rPr>
          <w:rFonts w:ascii="Arial" w:cs="Arial" w:eastAsia="Arial" w:hAnsi="Arial"/>
          <w:b/>
          <w:bCs/>
          <w:sz w:val="22"/>
          <w:szCs w:val="22"/>
        </w:rPr>
        <w:t xml:space="preserve">Marktüberwachung ab Tag eins: Droht sofort ein Vertriebsverbot?</w:t>
      </w:r>
    </w:p>
    <w:p>
      <w:pPr>
        <w:spacing w:after="60" w:before="0"/>
      </w:pPr>
      <w:r>
        <w:rPr>
          <w:rFonts w:ascii="Arial" w:cs="Arial" w:eastAsia="Arial" w:hAnsi="Arial"/>
          <w:color w:val="6B7280"/>
          <w:sz w:val="16"/>
          <w:szCs w:val="16"/>
        </w:rPr>
        <w:t xml:space="preserve">Konformität · unverbindliche Auslegung · Rechtsstand 2026-10-17 · Bezug: #04, #06</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Wenn unsere Konformitätserklärung noch nicht fertig ist, kann die Behörde unsere Verpackungen sofort vom Markt nehmen?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Nach Art. 62 PPWR fordert die Marktüberwachungsbehörde bei formaler Nichtkonformität, etwa fehlender Konformitätserklärung oder technischer Dokumentation, den Wirtschaftsakteur zunächst auf, den Mangel zu beheben. Weitergehende Maßnahmen bis zur Rücknahme vom Markt folgen erst, wenn die Nichtkonformität fortbesteht. Die Kommission hat in ihrer FAQ (2. Ed. Kap. XVI FAQ 1) klargestellt, dass eine Nichtkonformität ab dem 12.08.2026 nicht automatisch zu einem Vertriebsverbot führt, und den Behörden einen unterstützenden Ansatz empfohlen. In Deutschland sind die Bußgeldtatbestände für Verstöße gegen die PPWR (§ 66 Abs. 2 VerpackDG) erst ab dem 12.02.2027 anwendbar (§ 68 Abs. 17). Folge: Sie haben eine Abhilfephase, aber keine Freistellung. Nutzen Sie die Zeit bis Februar 2027, um Dokumentation und Erklärung zu vervollständigen; die Pflicht selbst gilt seit dem 12.08.2026. Quellen: Art. 62 PPWR; § 66 Abs. 2, § 68 Abs. 17 VerpackDG; Kommissions-FAQ 2. Ed. Kap. XVI (unverbindlich). Grenze: Die Übergangsregel des § 68 Abs. 17 betrifft nur die Bußgeldtatbestände des Abs. 2; Verstöße gegen das VerpackDG selbst (§ 66 Abs. 1, etwa Registrierung) sind seit dem 12.08.2026 bußgeldbewehrt (vgl. B04).</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62 PPWR (VO (EU) 2025/40); § 66 Abs. 2 und § 68 Abs. 17 VerpackDG (BGBl. 2026 I Nr. 207); Kommissions-FAQ zur PPWR, 2. Edition (03.08.2026), Kap. XVI FAQ 1 (unverbindliche Auslegung der EU-Kommission)</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(neu 10/2026) Kommissions-FAQ 2. Ed. Kap. XVI FAQ 1 (Art. 62, „supportive approach“) plus Instagram-Äußerung der Kommission vom 12.08.2026 (keine förmliche Mitteilung gefunden). Nationale Ebene: § 68 Abs. 17 VerpackDG unverändert. Ergänzt B04.</w:t>
      </w:r>
    </w:p>
    <w:p>
      <w:pPr>
        <w:keepNext/>
        <w:pBdr>
          <w:top w:val="single" w:color="24A27F" w:sz="4" w:space="4"/>
        </w:pBdr>
        <w:spacing w:after="40" w:before="260"/>
      </w:pPr>
      <w:r>
        <w:rPr>
          <w:rFonts w:ascii="Arial" w:cs="Arial" w:eastAsia="Arial" w:hAnsi="Arial"/>
          <w:b/>
          <w:bCs/>
          <w:color w:val="004494"/>
          <w:sz w:val="22"/>
          <w:szCs w:val="22"/>
        </w:rPr>
        <w:t xml:space="preserve">C18  </w:t>
      </w:r>
      <w:r>
        <w:rPr>
          <w:rFonts w:ascii="Arial" w:cs="Arial" w:eastAsia="Arial" w:hAnsi="Arial"/>
          <w:b/>
          <w:bCs/>
          <w:sz w:val="22"/>
          <w:szCs w:val="22"/>
        </w:rPr>
        <w:t xml:space="preserve">Rezyklatanteil Kunststoff: Welche Rechtsakte fehlen noch, und wann kommen sie?</w:t>
      </w:r>
    </w:p>
    <w:p>
      <w:pPr>
        <w:spacing w:after="60" w:before="0"/>
      </w:pPr>
      <w:r>
        <w:rPr>
          <w:rFonts w:ascii="Arial" w:cs="Arial" w:eastAsia="Arial" w:hAnsi="Arial"/>
          <w:color w:val="6B7280"/>
          <w:sz w:val="16"/>
          <w:szCs w:val="16"/>
        </w:rPr>
        <w:t xml:space="preserve">Stoffrecht · rechtsverbindlich · Rechtsstand 2026-10-17 · Bezug: #14</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Ab 2030 müssen unsere Kunststoffverpackungen Rezyklat enthalten. Nach welcher Methode wird das berechnet, und ist das schon geregelt?</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Die Mindestrezyklatanteile des Art. 7 Abs. 1 PPWR gelten ab dem 01.01.2030 (vgl. #14). Die Berechnungs- und Nachweismethodik (Art. 7 Abs. 8), die Nachhaltigkeitskriterien für Recyclingtechnologien (Art. 7 Abs. 9) und die Bedingungen für die Anrechnung von Rezyklat aus Drittstaaten (Art. 7 Abs. 10) muss die Kommission bis zum 31.12.2026 festlegen. Dazu laufen seit August 2026 drei Verfahren; die Sondierung endete am 16.09.2026, Rechtsaktentwürfe liegen noch nicht vor, die Annahme ist für das vierte Quartal 2026 geplant. Folge: Für die Planung Ihrer Rezyklatbeschaffung stehen heute nur die Zielwerte fest, nicht die Methode. Ob chemisches Recycling angerechnet wird und unter welchen Bedingungen Importrezyklat zählt, entscheidet sich mit diesen Rechtsakten. Quellen: Art. 7 PPWR; Initiativen 18753, 19033, 18752 (Vorstufe). Grenze: Für PET-Einweggetränkeflaschen gelten bereits die nationale Quote des § 45 VerpackDG und die SUPD-Berechnungsmethode (vgl. C10, C12).</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7 Abs. 1, 8, 9 und 10 PPWR (VO (EU) 2025/40); Europäische Kommission, Have your say, Initiativen 18753 (Art. 7 Abs. 8, Berechnung und Verifizierung), 19033 (Art. 7 Abs. 9, Nachhaltigkeitskriterien Recyclingtechnologien) und 18752 (Art. 7 Abs. 10, Drittlandsrezyklat), Call for Evidence 14.08.–16.09.2026 (Vorstufe, nicht erlassen)</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(neu 10/2026) Drei Kommissions-Initiativen (18753, 19033, 18752) im Call-for-Evidence-Stadium, Annahme geplant Q4 2026, gesetzliche Frist 31.12.2026. Ergänzt #14, C10, C12.</w:t>
      </w:r>
    </w:p>
    <w:p>
      <w:pPr>
        <w:keepNext/>
        <w:pBdr>
          <w:top w:val="single" w:color="24A27F" w:sz="4" w:space="4"/>
        </w:pBdr>
        <w:spacing w:after="40" w:before="260"/>
      </w:pPr>
      <w:r>
        <w:rPr>
          <w:rFonts w:ascii="Arial" w:cs="Arial" w:eastAsia="Arial" w:hAnsi="Arial"/>
          <w:b/>
          <w:bCs/>
          <w:color w:val="004494"/>
          <w:sz w:val="22"/>
          <w:szCs w:val="22"/>
        </w:rPr>
        <w:t xml:space="preserve">C19  </w:t>
      </w:r>
      <w:r>
        <w:rPr>
          <w:rFonts w:ascii="Arial" w:cs="Arial" w:eastAsia="Arial" w:hAnsi="Arial"/>
          <w:b/>
          <w:bCs/>
          <w:sz w:val="22"/>
          <w:szCs w:val="22"/>
        </w:rPr>
        <w:t xml:space="preserve">Herstellerregister: Kommt ein einheitliches EU-Meldeformat?</w:t>
      </w:r>
    </w:p>
    <w:p>
      <w:pPr>
        <w:spacing w:after="60" w:before="0"/>
      </w:pPr>
      <w:r>
        <w:rPr>
          <w:rFonts w:ascii="Arial" w:cs="Arial" w:eastAsia="Arial" w:hAnsi="Arial"/>
          <w:color w:val="6B7280"/>
          <w:sz w:val="16"/>
          <w:szCs w:val="16"/>
        </w:rPr>
        <w:t xml:space="preserve">Rollen / EPR · rechtsverbindlich · Rechtsstand 2026-10-17 · Bezug: #31</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Wir sind in mehreren EU-Ländern registrierungspflichtig. Gibt es bald ein einheitliches Formular oder sogar ein zentrales Register?</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Art. 44 Abs. 14 PPWR ermächtigt die Kommission, das Format für Registrierung und Berichterstattung in den nationalen Herstellerregistern zu harmonisieren. Der Entwurf einer Durchführungsverordnung lag vom 06.08. bis 10.09.2026 zur Rückmeldung aus; er sieht einheitliche Registrierungs- und Meldeformate sowie ein vereinfachtes Format für Hersteller unter zehn Tonnen pro Jahr und Mitgliedstaat vor. Die ursprünglich für Anfang 2026 geplante Annahme ist überfällig. Ein zentrales EU-Register ist in der Verordnung nicht vorgesehen; die Bundesregierung und mehrere Mitgliedstaaten fordern ein EU-Registrierungsportal, bevor die Registrierungspflicht im Zielland durchgesetzt wird. Folge: Bis zur Annahme gelten die nationalen Formate weiter, in Deutschland die LUCID-Registrierung nach § 6 VerpackDG (vgl. #31, B01, B02). Quellen: Art. 44 PPWR; § 6 VerpackDG; Initiative 15352 (Entwurf). Grenze: Inhalt und Zeitpunkt der endgültigen Verordnung sind offen; der PPWR Radar meldet die Veröffentlichung.</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44 Abs. 1 und 14 PPWR (VO (EU) 2025/40); § 6 VerpackDG (BGBl. 2026 I Nr. 207); Europäische Kommission, Have your say, Initiative 15352 „Packaging and packaging waste – rules on national registers of producers“, Entwurf Ares(2026)7688068 (Durchführungsverordnung, nicht erlassen)</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(neu 10/2026) Entwurf Durchführungsverordnung Art. 44 Abs. 14 (Initiative 15352, Feedback 06.08.–10.09.2026, 7.667 Rückmeldungen), Annahme überfällig; AT/CZ/EE fordern Zurückstellung (Sekundärquelle). Ergänzt #31.</w:t>
      </w:r>
    </w:p>
    <w:p>
      <w:pPr>
        <w:keepNext/>
        <w:pBdr>
          <w:top w:val="single" w:color="24A27F" w:sz="4" w:space="4"/>
        </w:pBdr>
        <w:spacing w:after="40" w:before="260"/>
      </w:pPr>
      <w:r>
        <w:rPr>
          <w:rFonts w:ascii="Arial" w:cs="Arial" w:eastAsia="Arial" w:hAnsi="Arial"/>
          <w:b/>
          <w:bCs/>
          <w:color w:val="004494"/>
          <w:sz w:val="22"/>
          <w:szCs w:val="22"/>
        </w:rPr>
        <w:t xml:space="preserve">C20  </w:t>
      </w:r>
      <w:r>
        <w:rPr>
          <w:rFonts w:ascii="Arial" w:cs="Arial" w:eastAsia="Arial" w:hAnsi="Arial"/>
          <w:b/>
          <w:bCs/>
          <w:sz w:val="22"/>
          <w:szCs w:val="22"/>
        </w:rPr>
        <w:t xml:space="preserve">Öffentliche Beschaffung: Wird Art. 63 PPWR durch das Public Procurement Act gestrichen?</w:t>
      </w:r>
    </w:p>
    <w:p>
      <w:pPr>
        <w:spacing w:after="60" w:before="0"/>
      </w:pPr>
      <w:r>
        <w:rPr>
          <w:rFonts w:ascii="Arial" w:cs="Arial" w:eastAsia="Arial" w:hAnsi="Arial"/>
          <w:color w:val="6B7280"/>
          <w:sz w:val="16"/>
          <w:szCs w:val="16"/>
        </w:rPr>
        <w:t xml:space="preserve">Sonstiges · rechtsverbindlich · Rechtsstand 2026-10-19</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Wir liefern verpackte Produkte an Behörden und Kommunen. Jetzt heißt es, die PPWR-Vorgaben zur umweltorientierten öffentlichen Beschaffung sollen gestrichen werden. Stimmt das, und müssen wir uns darauf einstellen?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Art. 63 PPWR gilt unverändert. Er verpflichtet die Kommission, bis zum 12.02.2030 Durchführungsrechtsakte mit verpflichtenden Mindestanforderungen für die umweltorientierte Vergabe öffentlicher Aufträge zu erlassen, soweit Verpackungen oder verpackte Produkte mehr als 30 % des geschätzten Auftragswerts ausmachen (Art. 63 Abs. 1). Die Anforderungen gelten für Vergabeverfahren, die zwölf Monate nach Inkrafttreten des Rechtsakts eingeleitet werden (Abs. 2), und stützen sich auf die Anforderungen der Art. 5 bis 11 (Abs. 3). Richtig ist, dass die Kommission am 09.09.2026 mit dem Vorschlag für ein Public Procurement Act (COM(2026) 590, Verfahren 2026/0265(COD)) vorgeschlagen hat, Art. 63 PPWR zu streichen. Verweise auf Art. 63 sollen künftig als Verweise auf Art. 54 der neuen Vergabeverordnung gelten. Dieser verpflichtet öffentliche Auftraggeber bei Produkten nach den in Anhang VII gelisteten Rechtsakten (darunter die PPWR) dazu, Umweltmerkmale in Spezifikationen, Zuschlagskriterien oder Ausführungsbedingungen zu verlangen, und ermächtigt die Kommission zu delegierten Rechtsakten. Folge: Für Lieferanten der öffentlichen Hand ändert sich derzeit nichts. Eine konkrete Pflicht entsteht erst mit dem Durchführungsrechtsakt nach Art. 63 Abs. 1 PPWR oder, falls der Vorschlag angenommen wird, mit der neuen Vergabeverordnung, die zwei Jahre nach ihrem Inkrafttreten gelten soll (Art. 149 des Entwurfs). In beiden Fällen bleiben die materiellen Verpackungsanforderungen der Art. 5 bis 11 PPWR der Maßstab, an dem sich Angebote messen lassen. Quellen: Art. 63 PPWR; COM(2026) 590 vom 09.09.2026, Art. 54, Art. 149, Anhang VII (Gesetzgebungsverfahren, nicht erlassen). Grenze: Ob und in welcher Fassung das Public Procurement Act angenommen wird, ist offen (!). Der PPWR Radar bewertet keine Vergabeverfahren im Einzelfall.</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Art. 63 PPWR (VO (EU) 2025/40), Abs. 1 bis 5; Kommissionsvorschlag COM(2026) 590 vom 09.09.2026, Art. 54, Art. 149, Anhang VII und Änderungsartikel zu Art. 63 PPWR (Verfahren 2026/0265(COD), Gesetzgebungsverfahren, nicht erlassen); EUR-Lex-Dokumentseite zu VO (EU) 2025/40, Rubrik „Subsequent related instruments“ (Stand 19.10.2026)</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(neu 10/2026) Kommissionsvorschlag COM(2026) 590 vom 09.09.2026 (Public Procurement Act, 2026/0265(COD)) will Art. 63 PPWR aufheben und durch Art. 54 der neuen Vergabeverordnung ersetzen; PPWR ist in Anhang VII des Entwurfs gelistet. Im Delta-Check vom 17.10.2026 nicht erfasst. Frage an die Kanzlei: Relevanz für Lieferanten der öffentlichen Hand, und ob der Datensatz ausgespielt werden soll oder nur als Hintergrund dient.</w:t>
      </w:r>
    </w:p>
    <w:p>
      <w:pPr>
        <w:keepNext/>
        <w:pBdr>
          <w:top w:val="single" w:color="24A27F" w:sz="4" w:space="4"/>
        </w:pBdr>
        <w:spacing w:after="40" w:before="260"/>
      </w:pPr>
      <w:r>
        <w:rPr>
          <w:rFonts w:ascii="Arial" w:cs="Arial" w:eastAsia="Arial" w:hAnsi="Arial"/>
          <w:b/>
          <w:bCs/>
          <w:color w:val="004494"/>
          <w:sz w:val="22"/>
          <w:szCs w:val="22"/>
        </w:rPr>
        <w:t xml:space="preserve">C21  </w:t>
      </w:r>
      <w:r>
        <w:rPr>
          <w:rFonts w:ascii="Arial" w:cs="Arial" w:eastAsia="Arial" w:hAnsi="Arial"/>
          <w:b/>
          <w:bCs/>
          <w:sz w:val="22"/>
          <w:szCs w:val="22"/>
        </w:rPr>
        <w:t xml:space="preserve">Neuer KMU-Leitfaden der Kommission: Versandaufkleber, neutrale Transportverpackung, Lagerware – was sagt Brüssel jetzt?</w:t>
      </w:r>
    </w:p>
    <w:p>
      <w:pPr>
        <w:spacing w:after="60" w:before="0"/>
      </w:pPr>
      <w:r>
        <w:rPr>
          <w:rFonts w:ascii="Arial" w:cs="Arial" w:eastAsia="Arial" w:hAnsi="Arial"/>
          <w:color w:val="6B7280"/>
          <w:sz w:val="16"/>
          <w:szCs w:val="16"/>
        </w:rPr>
        <w:t xml:space="preserve">Konformität · unverbindliche Auslegung · Rechtsstand 2026-10-26 · Bezug: #05, #06, #07, #08, #10</w:t>
      </w:r>
    </w:p>
    <w:p>
      <w:pPr>
        <w:spacing w:after="20" w:before="60"/>
      </w:pPr>
      <w:r>
        <w:rPr>
          <w:rFonts w:ascii="Arial" w:cs="Arial" w:eastAsia="Arial" w:hAnsi="Arial"/>
          <w:b/>
          <w:bCs/>
          <w:sz w:val="18"/>
          <w:szCs w:val="18"/>
        </w:rPr>
        <w:t xml:space="preserve">Frage:</w:t>
      </w:r>
    </w:p>
    <w:p>
      <w:pPr>
        <w:spacing w:after="40" w:before="0"/>
      </w:pPr>
      <w:r>
        <w:rPr>
          <w:rFonts w:ascii="Arial" w:cs="Arial" w:eastAsia="Arial" w:hAnsi="Arial"/>
          <w:sz w:val="18"/>
          <w:szCs w:val="18"/>
        </w:rPr>
        <w:t xml:space="preserve">Die EU-Kommission hat im Oktober 2026 einen Leitfaden für kleine Unternehmen zur PPWR veröffentlicht. Was steht drin, und ändert das etwas an dem, was wir bisher zu Erzeugerrolle, Konformitätserklärung und Lagerware wissen?</w:t>
      </w:r>
    </w:p>
    <w:p>
      <w:pPr>
        <w:spacing w:after="20" w:before="60"/>
      </w:pPr>
      <w:r>
        <w:rPr>
          <w:rFonts w:ascii="Arial" w:cs="Arial" w:eastAsia="Arial" w:hAnsi="Arial"/>
          <w:b/>
          <w:bCs/>
          <w:sz w:val="18"/>
          <w:szCs w:val="18"/>
        </w:rPr>
        <w:t xml:space="preserve">Antwort:</w:t>
      </w:r>
    </w:p>
    <w:p>
      <w:pPr>
        <w:spacing w:after="40" w:before="0"/>
      </w:pPr>
      <w:r>
        <w:rPr>
          <w:rFonts w:ascii="Arial" w:cs="Arial" w:eastAsia="Arial" w:hAnsi="Arial"/>
          <w:sz w:val="18"/>
          <w:szCs w:val="18"/>
        </w:rPr>
        <w:t xml:space="preserve">Einordnung: Die Generaldirektion Umwelt hat am 19.10.2026 einen vierseitigen Leitfaden „PPWR and small businesses: What do I need to know?“ (KH-01-26-088-EN-N) und parallel eine Webseite zur erweiterten Herstellerverantwortung für kleine Unternehmen veröffentlicht. Beides ist eine Information der EU-Kommission, kein Rechtsakt und keine Auslegung mit Bindungswirkung; die Rechtslage ändert sich dadurch nicht. Inhaltlich bestätigt der Leitfaden die Linie der FAQ 2. Edition und formuliert sie für Kleinunternehmen zugespitzt: Wer generische Verpackung kauft und einen Aufkleber mit eigener Marke anbringt, wird Erzeuger (manufacturer); ein reiner Versandaufkleber ist dagegen kein Branding und macht nicht zum Erzeuger (Fn. 6). Wer neutrale Kartons, Klebeband oder Paletten ohne eigene Marke nutzt, ist nicht Erzeuger dieser Transportverpackung, sondern der physische Hersteller bzw. Lieferant. Für bereits produzierte Verpackung ohne Kennzeichnung nach Art. 15 Abs. 5 und 6 verlangt die Kommission weder Umverpacken noch Vernichtung; die Angaben können per Begleitdokument (z. B. Rechnung) oder digital bereitgestellt werden. Neu und auffällig ist die Aussage, die Konformitätserklärung müsse „derzeit nur“ die Anforderungen des Art. 5 (Schwermetallgrenzwerte, PFAS bei Lebensmittelkontakt) abdecken, weil die übrigen Anforderungen erst später gelten (!). Für Kleinstunternehmen beschreibt der Leitfaden die Ausnahmen aus Art. 3 Abs. 1 Nr. 15 und 16 PPWR (Erzeuger- bzw. Herstellerpflichten gehen unter Bedingungen auf den Lieferanten über). Zum Bevollmächtigten verweist er auf das laufende Omnibus-Verfahren (vgl. A35). Folge: Für den Versandhandel verstärkt der Leitfaden die Divergenz zur ZSVR-Themenseite Versandhandel (vgl. A30, A31); in Deutschland bleibt die ZSVR-Lesart für die Systembeteiligung maßgeblich, bis sie sich äußert. Bei der Konformitätserklärung sollten Sie weiterhin die Struktur nach Anhang VIII verwenden und die noch nicht geltenden Anforderungen als „nicht anwendbar“ ausweisen, statt sie wegzulassen. Quellen: DG-ENV-Leitfaden KH-01-26-088-EN-N (19.10.2026); Art. 3, 5, 15, 16, 39 PPWR; FAQ 2. Ed. Kap. II (unverbindliche Auslegung der EU-Kommission). Grenze: Der Leitfaden ist in Englisch, nicht im Amtsblatt veröffentlicht und auf der Green-Forum-Seite derzeit nicht verlinkt (404); eine deutsche Fassung liegt nicht vor.</w:t>
      </w:r>
    </w:p>
    <w:p>
      <w:pPr>
        <w:spacing w:after="20" w:before="60"/>
      </w:pPr>
      <w:r>
        <w:rPr>
          <w:rFonts w:ascii="Arial" w:cs="Arial" w:eastAsia="Arial" w:hAnsi="Arial"/>
          <w:b/>
          <w:bCs/>
          <w:sz w:val="18"/>
          <w:szCs w:val="18"/>
        </w:rPr>
        <w:t xml:space="preserve">Quellen:</w:t>
      </w:r>
    </w:p>
    <w:p>
      <w:pPr>
        <w:spacing w:after="40" w:before="0"/>
      </w:pPr>
      <w:r>
        <w:rPr>
          <w:rFonts w:ascii="Arial" w:cs="Arial" w:eastAsia="Arial" w:hAnsi="Arial"/>
          <w:sz w:val="18"/>
          <w:szCs w:val="18"/>
        </w:rPr>
        <w:t xml:space="preserve">Europäische Kommission, GD Umwelt: „Packaging and Packaging Waste Regulation (PPWR) and small businesses: What do I need to know?“, Oktober 2026, Amt für Veröffentlichungen 19.10.2026, KH-01-26-088-EN-N, ISBN 978-92-68-44493-1, doi:10.2779/8270922 (Information der EU-Kommission, unverbindlich); Europäische Kommission, GD Umwelt: „Extended producer responsibility for packaging for Small Businesses“, environment.ec.europa.eu, Oktober 2026 (Information der EU-Kommission, unverbindlich); Art. 3 Abs. 1 Nr. 15 und 16, Art. 5, Art. 15 Abs. 5 und 6, Art. 16, Art. 39, Art. 45 Abs. 3 PPWR (VO (EU) 2025/40); Kommissions-FAQ zur PPWR, 2. Edition (03.08.2026), Kap. II FAQ 5–7 (unverbindliche Auslegung der EU-Kommission)</w:t>
      </w:r>
    </w:p>
    <w:p>
      <w:pPr>
        <w:spacing w:after="20" w:before="60"/>
      </w:pPr>
      <w:r>
        <w:rPr>
          <w:rFonts w:ascii="Arial" w:cs="Arial" w:eastAsia="Arial" w:hAnsi="Arial"/>
          <w:b/>
          <w:bCs/>
          <w:sz w:val="18"/>
          <w:szCs w:val="18"/>
        </w:rPr>
        <w:t xml:space="preserve">Interner Vermerk / offener Punkt:</w:t>
      </w:r>
    </w:p>
    <w:p>
      <w:pPr>
        <w:spacing w:after="40" w:before="0"/>
      </w:pPr>
      <w:r>
        <w:rPr>
          <w:rFonts w:ascii="Arial" w:cs="Arial" w:eastAsia="Arial" w:hAnsi="Arial"/>
          <w:sz w:val="18"/>
          <w:szCs w:val="18"/>
        </w:rPr>
        <w:t xml:space="preserve">(neu 10/2026) DG ENV, „PPWR and small businesses: What do I need to know?“ (KH-01-26-088-EN-N, Amt für Veröffentlichungen 19.10.2026) plus Web-Leitfaden „EPR for packaging for small businesses“ (Oktober 2026). Vier Aussagen gegen Bestand prüfen: (1) Versandaufkleber ist kein Branding, Fn. 6 – stützt die Kommissionslesart in A30 gegen ZSVR; (2) neutrale Kartons/Klebeband/Paletten ohne eigene Marke machen nicht zum Erzeuger, Erzeuger ist der physische Hersteller – gegen A31/ZSVR-Fälle B.2/B.3; (3) Konformitätserklärung muss „derzeit nur“ Art. 5 (Schwermetalle, PFAS) abdecken (!) – Verhältnis zu Art. 39, Anhang VIII und zu #4/#6 klären; (4) Lagerware: keine Umverpackung/Vernichtung, Angaben nach Art. 15 Abs. 5/6 per Begleitdokument oder digital – deckt sich mit C15. Verbindlichkeit: Information der EU-Kommission, kein Rechtsakt, nicht im ABl. Die Links auf der Green-Forum-Seite führen am 26.10.2026 auf 404 (!), die PDF ist über op.europa.eu erreichbar. Frage an die Kanzlei: Darf der Radar die Aussage (3) ausspielen, oder bleibt es bei der vollen DoC-Struktur nach Anhang VIII?</w:t>
      </w:r>
    </w:p>
    <w:p>
      <w:pPr>
        <w:pStyle w:val="Heading1"/>
        <w:pageBreakBefore/>
        <w:spacing w:after="160" w:before="0"/>
      </w:pPr>
      <w:r>
        <w:rPr>
          <w:rFonts w:ascii="Arial" w:cs="Arial" w:eastAsia="Arial" w:hAnsi="Arial"/>
          <w:b/>
          <w:bCs/>
          <w:color w:val="004494"/>
          <w:sz w:val="30"/>
          <w:szCs w:val="30"/>
        </w:rPr>
        <w:t xml:space="preserve">3. Rollen-Definitionen (13)</w:t>
      </w:r>
    </w:p>
    <w:p>
      <w:pPr>
        <w:keepNext/>
        <w:pBdr>
          <w:top w:val="single" w:color="24A27F" w:sz="4" w:space="4"/>
        </w:pBdr>
        <w:spacing w:after="40" w:before="260"/>
      </w:pPr>
      <w:r>
        <w:rPr>
          <w:rFonts w:ascii="Arial" w:cs="Arial" w:eastAsia="Arial" w:hAnsi="Arial"/>
          <w:b/>
          <w:bCs/>
          <w:color w:val="004494"/>
          <w:sz w:val="22"/>
          <w:szCs w:val="22"/>
        </w:rPr>
        <w:t xml:space="preserve">bevollmaechtigter  </w:t>
      </w:r>
      <w:r>
        <w:rPr>
          <w:rFonts w:ascii="Arial" w:cs="Arial" w:eastAsia="Arial" w:hAnsi="Arial"/>
          <w:b/>
          <w:bCs/>
          <w:sz w:val="22"/>
          <w:szCs w:val="22"/>
        </w:rPr>
        <w:t xml:space="preserve">Bevollmächtigter (authorised representative)</w:t>
      </w:r>
    </w:p>
    <w:p>
      <w:pPr>
        <w:spacing w:after="60" w:before="0"/>
      </w:pPr>
      <w:r>
        <w:rPr>
          <w:rFonts w:ascii="Arial" w:cs="Arial" w:eastAsia="Arial" w:hAnsi="Arial"/>
          <w:color w:val="6B7280"/>
          <w:sz w:val="16"/>
          <w:szCs w:val="16"/>
        </w:rPr>
        <w:t xml:space="preserve">kernrolle · Fundstelle: Art. 3 Abs. 1 Nr. 19 VO (EU) 2025/40</w:t>
      </w:r>
    </w:p>
    <w:p>
      <w:pPr>
        <w:spacing w:after="20" w:before="60"/>
      </w:pPr>
      <w:r>
        <w:rPr>
          <w:rFonts w:ascii="Arial" w:cs="Arial" w:eastAsia="Arial" w:hAnsi="Arial"/>
          <w:b/>
          <w:bCs/>
          <w:sz w:val="18"/>
          <w:szCs w:val="18"/>
        </w:rPr>
        <w:t xml:space="preserve">Definition:</w:t>
      </w:r>
    </w:p>
    <w:p>
      <w:pPr>
        <w:spacing w:after="40" w:before="0"/>
      </w:pPr>
      <w:r>
        <w:rPr>
          <w:rFonts w:ascii="Arial" w:cs="Arial" w:eastAsia="Arial" w:hAnsi="Arial"/>
          <w:sz w:val="18"/>
          <w:szCs w:val="18"/>
        </w:rPr>
        <w:t xml:space="preserve">Jede in der Union ansässige natürliche oder juristische Person, die vom ERZEUGER schriftlich beauftragt wurde, in dessen Namen bestimmte Aufgaben zur Erfüllung der Erzeugerpflichten wahrzunehmen.</w:t>
      </w:r>
    </w:p>
    <w:p>
      <w:pPr>
        <w:spacing w:after="20" w:before="60"/>
      </w:pPr>
      <w:r>
        <w:rPr>
          <w:rFonts w:ascii="Arial" w:cs="Arial" w:eastAsia="Arial" w:hAnsi="Arial"/>
          <w:b/>
          <w:bCs/>
          <w:sz w:val="18"/>
          <w:szCs w:val="18"/>
        </w:rPr>
        <w:t xml:space="preserve">Abgrenzung:</w:t>
      </w:r>
    </w:p>
    <w:p>
      <w:pPr>
        <w:spacing w:after="40" w:before="0"/>
      </w:pPr>
      <w:r>
        <w:rPr>
          <w:rFonts w:ascii="Arial" w:cs="Arial" w:eastAsia="Arial" w:hAnsi="Arial"/>
          <w:sz w:val="18"/>
          <w:szCs w:val="18"/>
        </w:rPr>
        <w:t xml:space="preserve">STRIKT zu trennen vom 'Bevollmächtigten für die erweiterte Herstellerverantwortung' (Nr. 20): Nr. 19 = Konformitätsschiene (Erzeuger), Nr. 20 = EPR-Schiene (Hersteller). Zwei verschiedene Institute mit verschiedenen Auftraggebern.</w:t>
      </w:r>
    </w:p>
    <w:p>
      <w:pPr>
        <w:spacing w:after="20" w:before="60"/>
      </w:pPr>
      <w:r>
        <w:rPr>
          <w:rFonts w:ascii="Arial" w:cs="Arial" w:eastAsia="Arial" w:hAnsi="Arial"/>
          <w:b/>
          <w:bCs/>
          <w:sz w:val="18"/>
          <w:szCs w:val="18"/>
        </w:rPr>
        <w:t xml:space="preserve">Verwechslungsfälle:</w:t>
      </w:r>
    </w:p>
    <w:p>
      <w:pPr>
        <w:spacing w:after="40" w:before="0"/>
      </w:pPr>
      <w:r>
        <w:rPr>
          <w:rFonts w:ascii="Arial" w:cs="Arial" w:eastAsia="Arial" w:hAnsi="Arial"/>
          <w:sz w:val="18"/>
          <w:szCs w:val="18"/>
        </w:rPr>
        <w:t xml:space="preserve">Die beiden Bevollmächtigten-Typen werden in der Praxis ständig verwechselt; UI muss beide getrennt ausweisen.</w:t>
      </w:r>
    </w:p>
    <w:p>
      <w:pPr>
        <w:spacing w:after="20" w:before="60"/>
      </w:pPr>
      <w:r>
        <w:rPr>
          <w:rFonts w:ascii="Arial" w:cs="Arial" w:eastAsia="Arial" w:hAnsi="Arial"/>
          <w:b/>
          <w:bCs/>
          <w:sz w:val="18"/>
          <w:szCs w:val="18"/>
        </w:rPr>
        <w:t xml:space="preserve">VerpackDG-Bezug:</w:t>
      </w:r>
    </w:p>
    <w:p>
      <w:pPr>
        <w:spacing w:after="40" w:before="0"/>
      </w:pPr>
      <w:r>
        <w:rPr>
          <w:rFonts w:ascii="Arial" w:cs="Arial" w:eastAsia="Arial" w:hAnsi="Arial"/>
          <w:sz w:val="18"/>
          <w:szCs w:val="18"/>
        </w:rPr>
        <w:t xml:space="preserve">—</w:t>
      </w:r>
    </w:p>
    <w:p>
      <w:pPr>
        <w:spacing w:after="20" w:before="60"/>
      </w:pPr>
      <w:r>
        <w:rPr>
          <w:rFonts w:ascii="Arial" w:cs="Arial" w:eastAsia="Arial" w:hAnsi="Arial"/>
          <w:b/>
          <w:bCs/>
          <w:sz w:val="18"/>
          <w:szCs w:val="18"/>
        </w:rPr>
        <w:t xml:space="preserve">Leitfaden-Bezug:</w:t>
      </w:r>
    </w:p>
    <w:p>
      <w:pPr>
        <w:spacing w:after="40" w:before="0"/>
      </w:pPr>
      <w:r>
        <w:rPr>
          <w:rFonts w:ascii="Arial" w:cs="Arial" w:eastAsia="Arial" w:hAnsi="Arial"/>
          <w:sz w:val="18"/>
          <w:szCs w:val="18"/>
        </w:rPr>
        <w:t xml:space="preserve">Leitfaden C(2026)3702, Abschn. 2 (Rolle bei Konformitätserklärung).</w:t>
      </w:r>
    </w:p>
    <w:p>
      <w:pPr>
        <w:keepNext/>
        <w:pBdr>
          <w:top w:val="single" w:color="24A27F" w:sz="4" w:space="4"/>
        </w:pBdr>
        <w:spacing w:after="40" w:before="260"/>
      </w:pPr>
      <w:r>
        <w:rPr>
          <w:rFonts w:ascii="Arial" w:cs="Arial" w:eastAsia="Arial" w:hAnsi="Arial"/>
          <w:b/>
          <w:bCs/>
          <w:color w:val="004494"/>
          <w:sz w:val="22"/>
          <w:szCs w:val="22"/>
        </w:rPr>
        <w:t xml:space="preserve">bevollmaechtigter_ehv  </w:t>
      </w:r>
      <w:r>
        <w:rPr>
          <w:rFonts w:ascii="Arial" w:cs="Arial" w:eastAsia="Arial" w:hAnsi="Arial"/>
          <w:b/>
          <w:bCs/>
          <w:sz w:val="22"/>
          <w:szCs w:val="22"/>
        </w:rPr>
        <w:t xml:space="preserve">Bevollmächtigter für die erweiterte Herstellerverantwortung (authorised representative for extended producer responsibility)</w:t>
      </w:r>
    </w:p>
    <w:p>
      <w:pPr>
        <w:spacing w:after="60" w:before="0"/>
      </w:pPr>
      <w:r>
        <w:rPr>
          <w:rFonts w:ascii="Arial" w:cs="Arial" w:eastAsia="Arial" w:hAnsi="Arial"/>
          <w:color w:val="6B7280"/>
          <w:sz w:val="16"/>
          <w:szCs w:val="16"/>
        </w:rPr>
        <w:t xml:space="preserve">kernrolle · Fundstelle: Art. 3 Abs. 1 Nr. 20 i. V. m. Art. 45 Abs. 3 VO (EU) 2025/40</w:t>
      </w:r>
    </w:p>
    <w:p>
      <w:pPr>
        <w:spacing w:after="20" w:before="60"/>
      </w:pPr>
      <w:r>
        <w:rPr>
          <w:rFonts w:ascii="Arial" w:cs="Arial" w:eastAsia="Arial" w:hAnsi="Arial"/>
          <w:b/>
          <w:bCs/>
          <w:sz w:val="18"/>
          <w:szCs w:val="18"/>
        </w:rPr>
        <w:t xml:space="preserve">Definition:</w:t>
      </w:r>
    </w:p>
    <w:p>
      <w:pPr>
        <w:spacing w:after="40" w:before="0"/>
      </w:pPr>
      <w:r>
        <w:rPr>
          <w:rFonts w:ascii="Arial" w:cs="Arial" w:eastAsia="Arial" w:hAnsi="Arial"/>
          <w:sz w:val="18"/>
          <w:szCs w:val="18"/>
        </w:rPr>
        <w:t xml:space="preserve">Person mit Niederlassung im Ziel-Mitgliedstaat (in dem der Hersteller erstmals bereitstellt bzw. auspackt), benannt vom HERSTELLER gemäß Art. 8a Abs. 5 UAbs. 3 der Richtlinie 2008/98/EG, zur Erfüllung von dessen Pflichten nach Kapitel VIII PPWR.</w:t>
      </w:r>
    </w:p>
    <w:p>
      <w:pPr>
        <w:spacing w:after="20" w:before="60"/>
      </w:pPr>
      <w:r>
        <w:rPr>
          <w:rFonts w:ascii="Arial" w:cs="Arial" w:eastAsia="Arial" w:hAnsi="Arial"/>
          <w:b/>
          <w:bCs/>
          <w:sz w:val="18"/>
          <w:szCs w:val="18"/>
        </w:rPr>
        <w:t xml:space="preserve">Abgrenzung:</w:t>
      </w:r>
    </w:p>
    <w:p>
      <w:pPr>
        <w:spacing w:after="40" w:before="0"/>
      </w:pPr>
      <w:r>
        <w:rPr>
          <w:rFonts w:ascii="Arial" w:cs="Arial" w:eastAsia="Arial" w:hAnsi="Arial"/>
          <w:sz w:val="18"/>
          <w:szCs w:val="18"/>
        </w:rPr>
        <w:t xml:space="preserve">Pflichtfälle nach § 5 Abs. 2 VerpackDG: Hersteller nach Art. 45 Abs. 3 Satz 1 (Sitz in anderem Mitgliedstaat) und – Ausübung der Mitgliedstaaten-Option – nach Art. 45 Abs. 3 Satz 2 (Sitz im Drittland) ohne Niederlassung im Bundesgebiet müssen VOR der ersten Bereitstellung beauftragen bzw. benennen. Nur EIN Bevollmächtigter je Hersteller (§ 5 Abs. 4 Satz 1); schriftliche Vollmacht in deutscher Sprache (§ 5 Abs. 4 Satz 2); Benennung gegenüber der ZSVR im Rahmen der Registrierung (Bestätigungserfordernis); der Bevollmächtigte gilt hinsichtlich der wahrzunehmenden Pflichten als Hersteller und handelt im eigenen Namen (§ 5 Abs. 3). Die Registrierung nach § 6 und Datenmeldungen nach § 9 sind NICHT auf beauftragte Dritte delegierbar (§ 5 Abs. 1 Satz 2); die Registrierung ist auch vom EHV-Bevollmächtigten ausgenommen (§ 5 Abs. 2).</w:t>
      </w:r>
    </w:p>
    <w:p>
      <w:pPr>
        <w:spacing w:after="20" w:before="60"/>
      </w:pPr>
      <w:r>
        <w:rPr>
          <w:rFonts w:ascii="Arial" w:cs="Arial" w:eastAsia="Arial" w:hAnsi="Arial"/>
          <w:b/>
          <w:bCs/>
          <w:sz w:val="18"/>
          <w:szCs w:val="18"/>
        </w:rPr>
        <w:t xml:space="preserve">Verwechslungsfälle:</w:t>
      </w:r>
    </w:p>
    <w:p>
      <w:pPr>
        <w:spacing w:after="40" w:before="0"/>
      </w:pPr>
      <w:r>
        <w:rPr>
          <w:rFonts w:ascii="Arial" w:cs="Arial" w:eastAsia="Arial" w:hAnsi="Arial"/>
          <w:sz w:val="18"/>
          <w:szCs w:val="18"/>
        </w:rPr>
        <w:t xml:space="preserve">Verwechslung mit Nr. 19 (s. dort); zudem Abgrenzung zum 'beauftragten Dritten' nach § 5 Abs. 1 VerpackDG (allgemeine Pflichtenübertragung ohne Bevollmächtigten-Status).</w:t>
      </w:r>
    </w:p>
    <w:p>
      <w:pPr>
        <w:spacing w:after="20" w:before="60"/>
      </w:pPr>
      <w:r>
        <w:rPr>
          <w:rFonts w:ascii="Arial" w:cs="Arial" w:eastAsia="Arial" w:hAnsi="Arial"/>
          <w:b/>
          <w:bCs/>
          <w:sz w:val="18"/>
          <w:szCs w:val="18"/>
        </w:rPr>
        <w:t xml:space="preserve">VerpackDG-Bezug:</w:t>
      </w:r>
    </w:p>
    <w:p>
      <w:pPr>
        <w:spacing w:after="40" w:before="0"/>
      </w:pPr>
      <w:r>
        <w:rPr>
          <w:rFonts w:ascii="Arial" w:cs="Arial" w:eastAsia="Arial" w:hAnsi="Arial"/>
          <w:sz w:val="18"/>
          <w:szCs w:val="18"/>
        </w:rPr>
        <w:t xml:space="preserve">§ 5 Abs. 2 (Pflichtfälle Art. 45 Abs. 3 Satz 1 und Satz 2), Abs. 3 (gilt als Hersteller, handelt im eigenen Namen), Abs. 4 (nur ein Bevollmächtigter; schriftliche Vollmacht in deutscher Sprache), Abs. 5 (Benennung ggü. ZSVR mit Bestätigung), Abs. 6 (Beendigung); § 6 Abs. 1 Satz 3, Abs. 2 Satz 1 Nr. 2 und 4 VerpackDG (BGBl. 2026 I Nr. 207).</w:t>
      </w:r>
    </w:p>
    <w:p>
      <w:pPr>
        <w:spacing w:after="20" w:before="60"/>
      </w:pPr>
      <w:r>
        <w:rPr>
          <w:rFonts w:ascii="Arial" w:cs="Arial" w:eastAsia="Arial" w:hAnsi="Arial"/>
          <w:b/>
          <w:bCs/>
          <w:sz w:val="18"/>
          <w:szCs w:val="18"/>
        </w:rPr>
        <w:t xml:space="preserve">Leitfaden-Bezug:</w:t>
      </w:r>
    </w:p>
    <w:p>
      <w:pPr>
        <w:spacing w:after="40" w:before="0"/>
      </w:pPr>
      <w:r>
        <w:rPr>
          <w:rFonts w:ascii="Arial" w:cs="Arial" w:eastAsia="Arial" w:hAnsi="Arial"/>
          <w:sz w:val="18"/>
          <w:szCs w:val="18"/>
        </w:rPr>
        <w:t xml:space="preserve">Leitfaden C(2026)3702, Abschn. 4 (Drittlandshersteller: Tochter ODER Bevollmächtigter, wenn Mitgliedstaat dies vorschreibt – DE schreibt es vor).</w:t>
      </w:r>
    </w:p>
    <w:p>
      <w:pPr>
        <w:keepNext/>
        <w:pBdr>
          <w:top w:val="single" w:color="24A27F" w:sz="4" w:space="4"/>
        </w:pBdr>
        <w:spacing w:after="40" w:before="260"/>
      </w:pPr>
      <w:r>
        <w:rPr>
          <w:rFonts w:ascii="Arial" w:cs="Arial" w:eastAsia="Arial" w:hAnsi="Arial"/>
          <w:b/>
          <w:bCs/>
          <w:color w:val="004494"/>
          <w:sz w:val="22"/>
          <w:szCs w:val="22"/>
        </w:rPr>
        <w:t xml:space="preserve">endvertreiber  </w:t>
      </w:r>
      <w:r>
        <w:rPr>
          <w:rFonts w:ascii="Arial" w:cs="Arial" w:eastAsia="Arial" w:hAnsi="Arial"/>
          <w:b/>
          <w:bCs/>
          <w:sz w:val="22"/>
          <w:szCs w:val="22"/>
        </w:rPr>
        <w:t xml:space="preserve">Endvertreiber (final distributor)</w:t>
      </w:r>
    </w:p>
    <w:p>
      <w:pPr>
        <w:spacing w:after="60" w:before="0"/>
      </w:pPr>
      <w:r>
        <w:rPr>
          <w:rFonts w:ascii="Arial" w:cs="Arial" w:eastAsia="Arial" w:hAnsi="Arial"/>
          <w:color w:val="6B7280"/>
          <w:sz w:val="16"/>
          <w:szCs w:val="16"/>
        </w:rPr>
        <w:t xml:space="preserve">kernrolle · Fundstelle: Art. 3 Abs. 1 Nr. 21 VO (EU) 2025/40</w:t>
      </w:r>
    </w:p>
    <w:p>
      <w:pPr>
        <w:spacing w:after="20" w:before="60"/>
      </w:pPr>
      <w:r>
        <w:rPr>
          <w:rFonts w:ascii="Arial" w:cs="Arial" w:eastAsia="Arial" w:hAnsi="Arial"/>
          <w:b/>
          <w:bCs/>
          <w:sz w:val="18"/>
          <w:szCs w:val="18"/>
        </w:rPr>
        <w:t xml:space="preserve">Definition:</w:t>
      </w:r>
    </w:p>
    <w:p>
      <w:pPr>
        <w:spacing w:after="40" w:before="0"/>
      </w:pPr>
      <w:r>
        <w:rPr>
          <w:rFonts w:ascii="Arial" w:cs="Arial" w:eastAsia="Arial" w:hAnsi="Arial"/>
          <w:sz w:val="18"/>
          <w:szCs w:val="18"/>
        </w:rPr>
        <w:t xml:space="preserve">Die natürliche oder juristische Person in der Lieferkette, die verpackte Produkte – einschließlich durch Wiederverwendung – oder Produkte, die in Form einer Wiederbefüllung erworben werden können, an den Endabnehmer liefert.</w:t>
      </w:r>
    </w:p>
    <w:p>
      <w:pPr>
        <w:spacing w:after="20" w:before="60"/>
      </w:pPr>
      <w:r>
        <w:rPr>
          <w:rFonts w:ascii="Arial" w:cs="Arial" w:eastAsia="Arial" w:hAnsi="Arial"/>
          <w:b/>
          <w:bCs/>
          <w:sz w:val="18"/>
          <w:szCs w:val="18"/>
        </w:rPr>
        <w:t xml:space="preserve">Abgrenzung:</w:t>
      </w:r>
    </w:p>
    <w:p>
      <w:pPr>
        <w:spacing w:after="40" w:before="0"/>
      </w:pPr>
      <w:r>
        <w:rPr>
          <w:rFonts w:ascii="Arial" w:cs="Arial" w:eastAsia="Arial" w:hAnsi="Arial"/>
          <w:sz w:val="18"/>
          <w:szCs w:val="18"/>
        </w:rPr>
        <w:t xml:space="preserve">Immer Zusatzrolle zum Vertreiber-Status; maßgeblich ist die Lieferung an den ENDABNEHMER (Nr. 23: Verbraucher ODER beruflicher Endabnehmer, der das Produkt nicht in gelieferter Form weiter bereitstellt). Im Fernabsatz ist Endvertreiber, wer über die Website bereitstellt.</w:t>
      </w:r>
    </w:p>
    <w:p>
      <w:pPr>
        <w:spacing w:after="20" w:before="60"/>
      </w:pPr>
      <w:r>
        <w:rPr>
          <w:rFonts w:ascii="Arial" w:cs="Arial" w:eastAsia="Arial" w:hAnsi="Arial"/>
          <w:b/>
          <w:bCs/>
          <w:sz w:val="18"/>
          <w:szCs w:val="18"/>
        </w:rPr>
        <w:t xml:space="preserve">Verwechslungsfälle:</w:t>
      </w:r>
    </w:p>
    <w:p>
      <w:pPr>
        <w:spacing w:after="40" w:before="0"/>
      </w:pPr>
      <w:r>
        <w:rPr>
          <w:rFonts w:ascii="Arial" w:cs="Arial" w:eastAsia="Arial" w:hAnsi="Arial"/>
          <w:sz w:val="18"/>
          <w:szCs w:val="18"/>
        </w:rPr>
        <w:t xml:space="preserve">B2B-Kunde kann Endabnehmer sein (beruflicher Endabnehmer) – Endvertreiber-Pflichten greifen dann auch im B2B.</w:t>
      </w:r>
    </w:p>
    <w:p>
      <w:pPr>
        <w:spacing w:after="20" w:before="60"/>
      </w:pPr>
      <w:r>
        <w:rPr>
          <w:rFonts w:ascii="Arial" w:cs="Arial" w:eastAsia="Arial" w:hAnsi="Arial"/>
          <w:b/>
          <w:bCs/>
          <w:sz w:val="18"/>
          <w:szCs w:val="18"/>
        </w:rPr>
        <w:t xml:space="preserve">VerpackDG-Bezug:</w:t>
      </w:r>
    </w:p>
    <w:p>
      <w:pPr>
        <w:spacing w:after="40" w:before="0"/>
      </w:pPr>
      <w:r>
        <w:rPr>
          <w:rFonts w:ascii="Arial" w:cs="Arial" w:eastAsia="Arial" w:hAnsi="Arial"/>
          <w:sz w:val="18"/>
          <w:szCs w:val="18"/>
        </w:rPr>
        <w:t xml:space="preserve">§§ 39 ff. (Rücknahme/Verwertung), § 44 (Mehrweg-Förderung), § 46 (Pfand), § 47 (Hinweispflichten), § 60/61 (Mehrwegalternative, Erleichterungen kleine Unternehmen).</w:t>
      </w:r>
    </w:p>
    <w:p>
      <w:pPr>
        <w:spacing w:after="20" w:before="60"/>
      </w:pPr>
      <w:r>
        <w:rPr>
          <w:rFonts w:ascii="Arial" w:cs="Arial" w:eastAsia="Arial" w:hAnsi="Arial"/>
          <w:b/>
          <w:bCs/>
          <w:sz w:val="18"/>
          <w:szCs w:val="18"/>
        </w:rPr>
        <w:t xml:space="preserve">Leitfaden-Bezug:</w:t>
      </w:r>
    </w:p>
    <w:p>
      <w:pPr>
        <w:spacing w:after="40" w:before="0"/>
      </w:pPr>
      <w:r>
        <w:rPr>
          <w:rFonts w:ascii="Arial" w:cs="Arial" w:eastAsia="Arial" w:hAnsi="Arial"/>
          <w:sz w:val="18"/>
          <w:szCs w:val="18"/>
        </w:rPr>
        <w:t xml:space="preserve">Leitfaden C(2026)3702, Abschn. 22/23 (Endvertreiber bei Mehrwegquote, HORECA, Fernabsatz).</w:t>
      </w:r>
    </w:p>
    <w:p>
      <w:pPr>
        <w:keepNext/>
        <w:pBdr>
          <w:top w:val="single" w:color="24A27F" w:sz="4" w:space="4"/>
        </w:pBdr>
        <w:spacing w:after="40" w:before="260"/>
      </w:pPr>
      <w:r>
        <w:rPr>
          <w:rFonts w:ascii="Arial" w:cs="Arial" w:eastAsia="Arial" w:hAnsi="Arial"/>
          <w:b/>
          <w:bCs/>
          <w:color w:val="004494"/>
          <w:sz w:val="22"/>
          <w:szCs w:val="22"/>
        </w:rPr>
        <w:t xml:space="preserve">erzeuger  </w:t>
      </w:r>
      <w:r>
        <w:rPr>
          <w:rFonts w:ascii="Arial" w:cs="Arial" w:eastAsia="Arial" w:hAnsi="Arial"/>
          <w:b/>
          <w:bCs/>
          <w:sz w:val="22"/>
          <w:szCs w:val="22"/>
        </w:rPr>
        <w:t xml:space="preserve">Erzeuger (manufacturer)</w:t>
      </w:r>
    </w:p>
    <w:p>
      <w:pPr>
        <w:spacing w:after="60" w:before="0"/>
      </w:pPr>
      <w:r>
        <w:rPr>
          <w:rFonts w:ascii="Arial" w:cs="Arial" w:eastAsia="Arial" w:hAnsi="Arial"/>
          <w:color w:val="6B7280"/>
          <w:sz w:val="16"/>
          <w:szCs w:val="16"/>
        </w:rPr>
        <w:t xml:space="preserve">kernrolle · Fundstelle: Art. 3 Abs. 1 Nr. 13 lit. a und b VO (EU) 2025/40</w:t>
      </w:r>
    </w:p>
    <w:p>
      <w:pPr>
        <w:spacing w:after="20" w:before="60"/>
      </w:pPr>
      <w:r>
        <w:rPr>
          <w:rFonts w:ascii="Arial" w:cs="Arial" w:eastAsia="Arial" w:hAnsi="Arial"/>
          <w:b/>
          <w:bCs/>
          <w:sz w:val="18"/>
          <w:szCs w:val="18"/>
        </w:rPr>
        <w:t xml:space="preserve">Definition:</w:t>
      </w:r>
    </w:p>
    <w:p>
      <w:pPr>
        <w:spacing w:after="40" w:before="0"/>
      </w:pPr>
      <w:r>
        <w:rPr>
          <w:rFonts w:ascii="Arial" w:cs="Arial" w:eastAsia="Arial" w:hAnsi="Arial"/>
          <w:sz w:val="18"/>
          <w:szCs w:val="18"/>
        </w:rPr>
        <w:t xml:space="preserve">Jede natürliche oder juristische Person, die Verpackungen oder ein verpacktes Produkt herstellt; lit. a: bei Fertigung unter eigenem Namen/eigener Marke ist Erzeuger, wer entwickeln oder herstellen lässt (Markenkriterium), unabhängig von weiteren sichtbaren Marken; lit. b: Kleinstunternehmen-Ausnahme – ist der Markeninhaber ein Kleinstunternehmen (Empfehlung 2003/361/EG, Stand 11.02.2025) und sitzt der Verpackungslieferant im selben Mitgliedstaat, gilt der Lieferant als Erzeuger.</w:t>
      </w:r>
    </w:p>
    <w:p>
      <w:pPr>
        <w:spacing w:after="20" w:before="60"/>
      </w:pPr>
      <w:r>
        <w:rPr>
          <w:rFonts w:ascii="Arial" w:cs="Arial" w:eastAsia="Arial" w:hAnsi="Arial"/>
          <w:b/>
          <w:bCs/>
          <w:sz w:val="18"/>
          <w:szCs w:val="18"/>
        </w:rPr>
        <w:t xml:space="preserve">Abgrenzung:</w:t>
      </w:r>
    </w:p>
    <w:p>
      <w:pPr>
        <w:spacing w:after="40" w:before="0"/>
      </w:pPr>
      <w:r>
        <w:rPr>
          <w:rFonts w:ascii="Arial" w:cs="Arial" w:eastAsia="Arial" w:hAnsi="Arial"/>
          <w:sz w:val="18"/>
          <w:szCs w:val="18"/>
        </w:rPr>
        <w:t xml:space="preserve">Erzeuger = Produktkonformität (einmal EU-weit); Hersteller (Nr. 15) = erweiterte Herstellerverantwortung (je Mitgliedstaat). Bei Verkaufs-/Umverpackungen ist Erzeuger regelmäßig der Abfüller (letzter Verarbeitungsschritt: Zuschneiden, Befüllen, Versiegeln); bei Transport-, Service- und Primärproduktionsverpackungen regelmäßig der physische Verpackungshersteller, außer die Verpackung trägt die Marke des Nutzers. Ohne Marke entscheidet, wer bestellt und die Designspezifikationen festlegt.</w:t>
      </w:r>
    </w:p>
    <w:p>
      <w:pPr>
        <w:spacing w:after="20" w:before="60"/>
      </w:pPr>
      <w:r>
        <w:rPr>
          <w:rFonts w:ascii="Arial" w:cs="Arial" w:eastAsia="Arial" w:hAnsi="Arial"/>
          <w:b/>
          <w:bCs/>
          <w:sz w:val="18"/>
          <w:szCs w:val="18"/>
        </w:rPr>
        <w:t xml:space="preserve">Verwechslungsfälle:</w:t>
      </w:r>
    </w:p>
    <w:p>
      <w:pPr>
        <w:spacing w:after="40" w:before="0"/>
      </w:pPr>
      <w:r>
        <w:rPr>
          <w:rFonts w:ascii="Arial" w:cs="Arial" w:eastAsia="Arial" w:hAnsi="Arial"/>
          <w:sz w:val="18"/>
          <w:szCs w:val="18"/>
        </w:rPr>
        <w:t xml:space="preserve">(1) Sprachfalle: DE 'Erzeuger' = EN 'manufacturer', DE 'Hersteller' = EN 'producer' – exakt invers zur Intuition und zur EN-Fachliteratur. (2) Eigenmarke: Der Händler mit Private Label wird Erzeuger, obwohl er nichts physisch produziert. (3) Importeur/Vertreiber wird via Art. 21 zum Erzeuger (Eigenmarke oder konformitätsrelevante Veränderung). (4) Kleinstunternehmen-Ausnahme verlagert die Rolle auf den Lieferanten – auch wenn dieser selbst kein Kleinstunternehmen ist.</w:t>
      </w:r>
    </w:p>
    <w:p>
      <w:pPr>
        <w:spacing w:after="20" w:before="60"/>
      </w:pPr>
      <w:r>
        <w:rPr>
          <w:rFonts w:ascii="Arial" w:cs="Arial" w:eastAsia="Arial" w:hAnsi="Arial"/>
          <w:b/>
          <w:bCs/>
          <w:sz w:val="18"/>
          <w:szCs w:val="18"/>
        </w:rPr>
        <w:t xml:space="preserve">VerpackDG-Bezug:</w:t>
      </w:r>
    </w:p>
    <w:p>
      <w:pPr>
        <w:spacing w:after="40" w:before="0"/>
      </w:pPr>
      <w:r>
        <w:rPr>
          <w:rFonts w:ascii="Arial" w:cs="Arial" w:eastAsia="Arial" w:hAnsi="Arial"/>
          <w:sz w:val="18"/>
          <w:szCs w:val="18"/>
        </w:rPr>
        <w:t xml:space="preserve">Erzeuger als solcher wird im VerpackDG kaum adressiert (Konformität ist EU-Recht); Sprachregel für EU-Konformitätserklärungen: Deutsch ODER Englisch nach Wahl des Herstellers, Übersetzung ins Deutsche auf Behördenverlangen (§ 62 VerpackDG); Bußgeldtatbestände knüpfen an Erzeugerpflichten an (§ 66 VerpackDG).</w:t>
      </w:r>
    </w:p>
    <w:p>
      <w:pPr>
        <w:spacing w:after="20" w:before="60"/>
      </w:pPr>
      <w:r>
        <w:rPr>
          <w:rFonts w:ascii="Arial" w:cs="Arial" w:eastAsia="Arial" w:hAnsi="Arial"/>
          <w:b/>
          <w:bCs/>
          <w:sz w:val="18"/>
          <w:szCs w:val="18"/>
        </w:rPr>
        <w:t xml:space="preserve">Leitfaden-Bezug:</w:t>
      </w:r>
    </w:p>
    <w:p>
      <w:pPr>
        <w:spacing w:after="40" w:before="0"/>
      </w:pPr>
      <w:r>
        <w:rPr>
          <w:rFonts w:ascii="Arial" w:cs="Arial" w:eastAsia="Arial" w:hAnsi="Arial"/>
          <w:sz w:val="18"/>
          <w:szCs w:val="18"/>
        </w:rPr>
        <w:t xml:space="preserve">Leitfaden C(2026)3702, Abschn. 2: nur ein Erzeuger je Lieferkette; Abfüller-Regel für Verkaufs-/Umverpackungen; Markenkriterium; Kleinstunternehmen-Rechenregeln inkl. Verbundunternehmen/Franchise.</w:t>
      </w:r>
    </w:p>
    <w:p>
      <w:pPr>
        <w:keepNext/>
        <w:pBdr>
          <w:top w:val="single" w:color="24A27F" w:sz="4" w:space="4"/>
        </w:pBdr>
        <w:spacing w:after="40" w:before="260"/>
      </w:pPr>
      <w:r>
        <w:rPr>
          <w:rFonts w:ascii="Arial" w:cs="Arial" w:eastAsia="Arial" w:hAnsi="Arial"/>
          <w:b/>
          <w:bCs/>
          <w:color w:val="004494"/>
          <w:sz w:val="22"/>
          <w:szCs w:val="22"/>
        </w:rPr>
        <w:t xml:space="preserve">fulfillment_dienstleister  </w:t>
      </w:r>
      <w:r>
        <w:rPr>
          <w:rFonts w:ascii="Arial" w:cs="Arial" w:eastAsia="Arial" w:hAnsi="Arial"/>
          <w:b/>
          <w:bCs/>
          <w:sz w:val="22"/>
          <w:szCs w:val="22"/>
        </w:rPr>
        <w:t xml:space="preserve">Fulfillment-Dienstleister (fulfilment service provider)</w:t>
      </w:r>
    </w:p>
    <w:p>
      <w:pPr>
        <w:spacing w:after="60" w:before="0"/>
      </w:pPr>
      <w:r>
        <w:rPr>
          <w:rFonts w:ascii="Arial" w:cs="Arial" w:eastAsia="Arial" w:hAnsi="Arial"/>
          <w:color w:val="6B7280"/>
          <w:sz w:val="16"/>
          <w:szCs w:val="16"/>
        </w:rPr>
        <w:t xml:space="preserve">kernrolle · Fundstelle: Art. 3 Abs. 1 UAbs. 3 VO (EU) 2025/40 i. V. m. Art. 3 Nr. 11 VO (EU) 2019/1020</w:t>
      </w:r>
    </w:p>
    <w:p>
      <w:pPr>
        <w:spacing w:after="20" w:before="60"/>
      </w:pPr>
      <w:r>
        <w:rPr>
          <w:rFonts w:ascii="Arial" w:cs="Arial" w:eastAsia="Arial" w:hAnsi="Arial"/>
          <w:b/>
          <w:bCs/>
          <w:sz w:val="18"/>
          <w:szCs w:val="18"/>
        </w:rPr>
        <w:t xml:space="preserve">Definition:</w:t>
      </w:r>
    </w:p>
    <w:p>
      <w:pPr>
        <w:spacing w:after="40" w:before="0"/>
      </w:pPr>
      <w:r>
        <w:rPr>
          <w:rFonts w:ascii="Arial" w:cs="Arial" w:eastAsia="Arial" w:hAnsi="Arial"/>
          <w:sz w:val="18"/>
          <w:szCs w:val="18"/>
        </w:rPr>
        <w:t xml:space="preserve">Per Verweis definiert: natürliche oder juristische Person, die im Rahmen einer Geschäftstätigkeit mindestens zwei der folgenden Dienstleistungen anbietet: Lagerhaltung, Verpackung, Adressierung und Versand von Produkten, an denen sie kein Eigentumsrecht hat – ausgenommen Postdienste, Paketzustelldienste und sonstige Post-/Frachtdienste (Wortlaut gegen VO (EU) 2019/1020 pinnen).</w:t>
      </w:r>
    </w:p>
    <w:p>
      <w:pPr>
        <w:spacing w:after="20" w:before="60"/>
      </w:pPr>
      <w:r>
        <w:rPr>
          <w:rFonts w:ascii="Arial" w:cs="Arial" w:eastAsia="Arial" w:hAnsi="Arial"/>
          <w:b/>
          <w:bCs/>
          <w:sz w:val="18"/>
          <w:szCs w:val="18"/>
        </w:rPr>
        <w:t xml:space="preserve">Abgrenzung:</w:t>
      </w:r>
    </w:p>
    <w:p>
      <w:pPr>
        <w:spacing w:after="40" w:before="0"/>
      </w:pPr>
      <w:r>
        <w:rPr>
          <w:rFonts w:ascii="Arial" w:cs="Arial" w:eastAsia="Arial" w:hAnsi="Arial"/>
          <w:sz w:val="18"/>
          <w:szCs w:val="18"/>
        </w:rPr>
        <w:t xml:space="preserve">Kein Eigentum an der Ware; reine Transport-/Postdienstleister sind ausgenommen. Abgrenzung zum Vertreiber: der Fulfillment-Dienstleister stellt nicht selbst auf dem Markt bereit.</w:t>
      </w:r>
    </w:p>
    <w:p>
      <w:pPr>
        <w:spacing w:after="20" w:before="60"/>
      </w:pPr>
      <w:r>
        <w:rPr>
          <w:rFonts w:ascii="Arial" w:cs="Arial" w:eastAsia="Arial" w:hAnsi="Arial"/>
          <w:b/>
          <w:bCs/>
          <w:sz w:val="18"/>
          <w:szCs w:val="18"/>
        </w:rPr>
        <w:t xml:space="preserve">Verwechslungsfälle:</w:t>
      </w:r>
    </w:p>
    <w:p>
      <w:pPr>
        <w:spacing w:after="40" w:before="0"/>
      </w:pPr>
      <w:r>
        <w:rPr>
          <w:rFonts w:ascii="Arial" w:cs="Arial" w:eastAsia="Arial" w:hAnsi="Arial"/>
          <w:sz w:val="18"/>
          <w:szCs w:val="18"/>
        </w:rPr>
        <w:t xml:space="preserve">Fulfillment-Center, das Drittlandsware umpackt und die Original-Transportverpackung entsorgt, wird für diese Verpackung Hersteller – zentraler Beratungsfall E-Commerce.</w:t>
      </w:r>
    </w:p>
    <w:p>
      <w:pPr>
        <w:spacing w:after="20" w:before="60"/>
      </w:pPr>
      <w:r>
        <w:rPr>
          <w:rFonts w:ascii="Arial" w:cs="Arial" w:eastAsia="Arial" w:hAnsi="Arial"/>
          <w:b/>
          <w:bCs/>
          <w:sz w:val="18"/>
          <w:szCs w:val="18"/>
        </w:rPr>
        <w:t xml:space="preserve">VerpackDG-Bezug:</w:t>
      </w:r>
    </w:p>
    <w:p>
      <w:pPr>
        <w:spacing w:after="40" w:before="0"/>
      </w:pPr>
      <w:r>
        <w:rPr>
          <w:rFonts w:ascii="Arial" w:cs="Arial" w:eastAsia="Arial" w:hAnsi="Arial"/>
          <w:sz w:val="18"/>
          <w:szCs w:val="18"/>
        </w:rPr>
        <w:t xml:space="preserve">§ 13 Abs. 4 VerpackDG: Tätigkeitsverbot bei nicht registrierten Herstellern; verweist auf Art. 3 Nr. 11 VO (EU) 2019/1020 „in der Fassung vom 12. August 2026"; automatisierter Registerdatenabgleich der ZSVR. Bußgeldbewehrte Mitwirkungspflichten (§ 66 VerpackDG i. V. m. Art. 20).</w:t>
      </w:r>
    </w:p>
    <w:p>
      <w:pPr>
        <w:spacing w:after="20" w:before="60"/>
      </w:pPr>
      <w:r>
        <w:rPr>
          <w:rFonts w:ascii="Arial" w:cs="Arial" w:eastAsia="Arial" w:hAnsi="Arial"/>
          <w:b/>
          <w:bCs/>
          <w:sz w:val="18"/>
          <w:szCs w:val="18"/>
        </w:rPr>
        <w:t xml:space="preserve">Leitfaden-Bezug:</w:t>
      </w:r>
    </w:p>
    <w:p>
      <w:pPr>
        <w:spacing w:after="40" w:before="0"/>
      </w:pPr>
      <w:r>
        <w:rPr>
          <w:rFonts w:ascii="Arial" w:cs="Arial" w:eastAsia="Arial" w:hAnsi="Arial"/>
          <w:sz w:val="18"/>
          <w:szCs w:val="18"/>
        </w:rPr>
        <w:t xml:space="preserve">Leitfaden C(2026)3702, Abschn. 3 (Logistiker als Hersteller der Transportverpackung).</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w:t>
      </w:r>
    </w:p>
    <w:p>
      <w:pPr>
        <w:keepNext/>
        <w:pBdr>
          <w:top w:val="single" w:color="24A27F" w:sz="4" w:space="4"/>
        </w:pBdr>
        <w:spacing w:after="40" w:before="260"/>
      </w:pPr>
      <w:r>
        <w:rPr>
          <w:rFonts w:ascii="Arial" w:cs="Arial" w:eastAsia="Arial" w:hAnsi="Arial"/>
          <w:b/>
          <w:bCs/>
          <w:color w:val="004494"/>
          <w:sz w:val="22"/>
          <w:szCs w:val="22"/>
        </w:rPr>
        <w:t xml:space="preserve">hb_bereitstellung_markt  </w:t>
      </w:r>
      <w:r>
        <w:rPr>
          <w:rFonts w:ascii="Arial" w:cs="Arial" w:eastAsia="Arial" w:hAnsi="Arial"/>
          <w:b/>
          <w:bCs/>
          <w:sz w:val="22"/>
          <w:szCs w:val="22"/>
        </w:rPr>
        <w:t xml:space="preserve">Bereitstellung auf dem Markt (making available on the market)</w:t>
      </w:r>
    </w:p>
    <w:p>
      <w:pPr>
        <w:spacing w:after="60" w:before="0"/>
      </w:pPr>
      <w:r>
        <w:rPr>
          <w:rFonts w:ascii="Arial" w:cs="Arial" w:eastAsia="Arial" w:hAnsi="Arial"/>
          <w:color w:val="6B7280"/>
          <w:sz w:val="16"/>
          <w:szCs w:val="16"/>
        </w:rPr>
        <w:t xml:space="preserve">hilfsbegriff · Fundstelle: Art. 3 Abs. 1 Nr. 9 VO (EU) 2025/40</w:t>
      </w:r>
    </w:p>
    <w:p>
      <w:pPr>
        <w:spacing w:after="20" w:before="60"/>
      </w:pPr>
      <w:r>
        <w:rPr>
          <w:rFonts w:ascii="Arial" w:cs="Arial" w:eastAsia="Arial" w:hAnsi="Arial"/>
          <w:b/>
          <w:bCs/>
          <w:sz w:val="18"/>
          <w:szCs w:val="18"/>
        </w:rPr>
        <w:t xml:space="preserve">Definition:</w:t>
      </w:r>
    </w:p>
    <w:p>
      <w:pPr>
        <w:spacing w:after="40" w:before="0"/>
      </w:pPr>
      <w:r>
        <w:rPr>
          <w:rFonts w:ascii="Arial" w:cs="Arial" w:eastAsia="Arial" w:hAnsi="Arial"/>
          <w:sz w:val="18"/>
          <w:szCs w:val="18"/>
        </w:rPr>
        <w:t xml:space="preserve">Jede entgeltliche oder unentgeltliche Abgabe befüllter oder unbefüllter Verpackungen zum Vertrieb, Verbrauch oder zur Verwendung auf dem Unionsmarkt im Rahmen einer Geschäftstätigkeit.</w:t>
      </w:r>
    </w:p>
    <w:p>
      <w:pPr>
        <w:spacing w:after="20" w:before="60"/>
      </w:pPr>
      <w:r>
        <w:rPr>
          <w:rFonts w:ascii="Arial" w:cs="Arial" w:eastAsia="Arial" w:hAnsi="Arial"/>
          <w:b/>
          <w:bCs/>
          <w:sz w:val="18"/>
          <w:szCs w:val="18"/>
        </w:rPr>
        <w:t xml:space="preserve">Abgrenzung:</w:t>
      </w:r>
    </w:p>
    <w:p>
      <w:pPr>
        <w:spacing w:after="40" w:before="0"/>
      </w:pPr>
      <w:r>
        <w:rPr>
          <w:rFonts w:ascii="Arial" w:cs="Arial" w:eastAsia="Arial" w:hAnsi="Arial"/>
          <w:sz w:val="18"/>
          <w:szCs w:val="18"/>
        </w:rPr>
        <w:t xml:space="preserve">Bereitstellung erfordert keine physische Übergabe; auch das Angebot, das zur Lieferung führen kann, genügt (ErwG 122). Bei Online-Plattformen gilt bereits das erstmalige Anbieten.</w:t>
      </w:r>
    </w:p>
    <w:p>
      <w:pPr>
        <w:spacing w:after="20" w:before="60"/>
      </w:pPr>
      <w:r>
        <w:rPr>
          <w:rFonts w:ascii="Arial" w:cs="Arial" w:eastAsia="Arial" w:hAnsi="Arial"/>
          <w:b/>
          <w:bCs/>
          <w:sz w:val="18"/>
          <w:szCs w:val="18"/>
        </w:rPr>
        <w:t xml:space="preserve">Verwechslungsfälle:</w:t>
      </w:r>
    </w:p>
    <w:p>
      <w:pPr>
        <w:spacing w:after="40" w:before="0"/>
      </w:pPr>
      <w:r>
        <w:rPr>
          <w:rFonts w:ascii="Arial" w:cs="Arial" w:eastAsia="Arial" w:hAnsi="Arial"/>
          <w:sz w:val="18"/>
          <w:szCs w:val="18"/>
        </w:rPr>
        <w:t xml:space="preserve">'Bereitstellung im Hoheitsgebiet des Mitgliedstaats' (Nr. 11) ist der EPR-Anker; 'Inverkehrbringen' (Nr. 10) = ERSTE Bereitstellung auf dem Unionsmarkt (Konformitätsanker).</w:t>
      </w:r>
    </w:p>
    <w:p>
      <w:pPr>
        <w:spacing w:after="20" w:before="60"/>
      </w:pPr>
      <w:r>
        <w:rPr>
          <w:rFonts w:ascii="Arial" w:cs="Arial" w:eastAsia="Arial" w:hAnsi="Arial"/>
          <w:b/>
          <w:bCs/>
          <w:sz w:val="18"/>
          <w:szCs w:val="18"/>
        </w:rPr>
        <w:t xml:space="preserve">VerpackDG-Bezug:</w:t>
      </w:r>
    </w:p>
    <w:p>
      <w:pPr>
        <w:spacing w:after="40" w:before="0"/>
      </w:pPr>
      <w:r>
        <w:rPr>
          <w:rFonts w:ascii="Arial" w:cs="Arial" w:eastAsia="Arial" w:hAnsi="Arial"/>
          <w:sz w:val="18"/>
          <w:szCs w:val="18"/>
        </w:rPr>
        <w:t xml:space="preserve">§ 3 Abs. 3 VerpackDG: 'Bereitstellung im Bundesgebiet' = Nr. 11 bezogen auf Deutschland.</w:t>
      </w:r>
    </w:p>
    <w:p>
      <w:pPr>
        <w:spacing w:after="20" w:before="60"/>
      </w:pPr>
      <w:r>
        <w:rPr>
          <w:rFonts w:ascii="Arial" w:cs="Arial" w:eastAsia="Arial" w:hAnsi="Arial"/>
          <w:b/>
          <w:bCs/>
          <w:sz w:val="18"/>
          <w:szCs w:val="18"/>
        </w:rPr>
        <w:t xml:space="preserve">Leitfaden-Bezug:</w:t>
      </w:r>
    </w:p>
    <w:p>
      <w:pPr>
        <w:spacing w:after="40" w:before="0"/>
      </w:pPr>
      <w:r>
        <w:rPr>
          <w:rFonts w:ascii="Arial" w:cs="Arial" w:eastAsia="Arial" w:hAnsi="Arial"/>
          <w:sz w:val="18"/>
          <w:szCs w:val="18"/>
        </w:rPr>
        <w:t xml:space="preserve">Leitfaden C(2026)3702, Abschn. 5 (Zeitpunkt des Inverkehrbringens; Import: Überlassung zum zollrechtlich freien Verkehr).</w:t>
      </w:r>
    </w:p>
    <w:p>
      <w:pPr>
        <w:keepNext/>
        <w:pBdr>
          <w:top w:val="single" w:color="24A27F" w:sz="4" w:space="4"/>
        </w:pBdr>
        <w:spacing w:after="40" w:before="260"/>
      </w:pPr>
      <w:r>
        <w:rPr>
          <w:rFonts w:ascii="Arial" w:cs="Arial" w:eastAsia="Arial" w:hAnsi="Arial"/>
          <w:b/>
          <w:bCs/>
          <w:color w:val="004494"/>
          <w:sz w:val="22"/>
          <w:szCs w:val="22"/>
        </w:rPr>
        <w:t xml:space="preserve">hb_endabnehmer  </w:t>
      </w:r>
      <w:r>
        <w:rPr>
          <w:rFonts w:ascii="Arial" w:cs="Arial" w:eastAsia="Arial" w:hAnsi="Arial"/>
          <w:b/>
          <w:bCs/>
          <w:sz w:val="22"/>
          <w:szCs w:val="22"/>
        </w:rPr>
        <w:t xml:space="preserve">Endabnehmer (end user)</w:t>
      </w:r>
    </w:p>
    <w:p>
      <w:pPr>
        <w:spacing w:after="60" w:before="0"/>
      </w:pPr>
      <w:r>
        <w:rPr>
          <w:rFonts w:ascii="Arial" w:cs="Arial" w:eastAsia="Arial" w:hAnsi="Arial"/>
          <w:color w:val="6B7280"/>
          <w:sz w:val="16"/>
          <w:szCs w:val="16"/>
        </w:rPr>
        <w:t xml:space="preserve">hilfsbegriff · Fundstelle: Art. 3 Abs. 1 Nr. 23 VO (EU) 2025/40</w:t>
      </w:r>
    </w:p>
    <w:p>
      <w:pPr>
        <w:spacing w:after="20" w:before="60"/>
      </w:pPr>
      <w:r>
        <w:rPr>
          <w:rFonts w:ascii="Arial" w:cs="Arial" w:eastAsia="Arial" w:hAnsi="Arial"/>
          <w:b/>
          <w:bCs/>
          <w:sz w:val="18"/>
          <w:szCs w:val="18"/>
        </w:rPr>
        <w:t xml:space="preserve">Definition:</w:t>
      </w:r>
    </w:p>
    <w:p>
      <w:pPr>
        <w:spacing w:after="40" w:before="0"/>
      </w:pPr>
      <w:r>
        <w:rPr>
          <w:rFonts w:ascii="Arial" w:cs="Arial" w:eastAsia="Arial" w:hAnsi="Arial"/>
          <w:sz w:val="18"/>
          <w:szCs w:val="18"/>
        </w:rPr>
        <w:t xml:space="preserve">Natürliche oder juristische Person mit Wohnsitz/Niederlassung in der Union, der ein Produkt als Verbraucher oder beruflicher Endabnehmer bereitgestellt wird und die es in der gelieferten Form nicht erneut auf dem Markt bereitstellt.</w:t>
      </w:r>
    </w:p>
    <w:p>
      <w:pPr>
        <w:spacing w:after="20" w:before="60"/>
      </w:pPr>
      <w:r>
        <w:rPr>
          <w:rFonts w:ascii="Arial" w:cs="Arial" w:eastAsia="Arial" w:hAnsi="Arial"/>
          <w:b/>
          <w:bCs/>
          <w:sz w:val="18"/>
          <w:szCs w:val="18"/>
        </w:rPr>
        <w:t xml:space="preserve">Abgrenzung:</w:t>
      </w:r>
    </w:p>
    <w:p>
      <w:pPr>
        <w:spacing w:after="40" w:before="0"/>
      </w:pPr>
      <w:r>
        <w:rPr>
          <w:rFonts w:ascii="Arial" w:cs="Arial" w:eastAsia="Arial" w:hAnsi="Arial"/>
          <w:sz w:val="18"/>
          <w:szCs w:val="18"/>
        </w:rPr>
        <w:t xml:space="preserve">Beruflicher Endabnehmer: verwendet das Produkt selbst (z. B. Abfüller ist Endabnehmer der zugekauften LEEREN Folien/Paletten aus anderem Mitgliedstaat? NEIN – EUNR: der Befüller ist für Verpackungsmaterial gerade KEIN Endabnehmer; Klärung mit Cattwyk).</w:t>
      </w:r>
    </w:p>
    <w:p>
      <w:pPr>
        <w:spacing w:after="20" w:before="60"/>
      </w:pPr>
      <w:r>
        <w:rPr>
          <w:rFonts w:ascii="Arial" w:cs="Arial" w:eastAsia="Arial" w:hAnsi="Arial"/>
          <w:b/>
          <w:bCs/>
          <w:sz w:val="18"/>
          <w:szCs w:val="18"/>
        </w:rPr>
        <w:t xml:space="preserve">Verwechslungsfälle:</w:t>
      </w:r>
    </w:p>
    <w:p>
      <w:pPr>
        <w:spacing w:after="40" w:before="0"/>
      </w:pPr>
      <w:r>
        <w:rPr>
          <w:rFonts w:ascii="Arial" w:cs="Arial" w:eastAsia="Arial" w:hAnsi="Arial"/>
          <w:sz w:val="18"/>
          <w:szCs w:val="18"/>
        </w:rPr>
        <w:t xml:space="preserve">Endabnehmer des PRODUKTS vs. Nutzer der VERPACKUNG – bei lit. c geht es um den Endabnehmer des Produkts (EUNR-Papier).</w:t>
      </w:r>
    </w:p>
    <w:p>
      <w:pPr>
        <w:spacing w:after="20" w:before="60"/>
      </w:pPr>
      <w:r>
        <w:rPr>
          <w:rFonts w:ascii="Arial" w:cs="Arial" w:eastAsia="Arial" w:hAnsi="Arial"/>
          <w:b/>
          <w:bCs/>
          <w:sz w:val="18"/>
          <w:szCs w:val="18"/>
        </w:rPr>
        <w:t xml:space="preserve">VerpackDG-Bezug:</w:t>
      </w:r>
    </w:p>
    <w:p>
      <w:pPr>
        <w:spacing w:after="40" w:before="0"/>
      </w:pPr>
      <w:r>
        <w:rPr>
          <w:rFonts w:ascii="Arial" w:cs="Arial" w:eastAsia="Arial" w:hAnsi="Arial"/>
          <w:sz w:val="18"/>
          <w:szCs w:val="18"/>
        </w:rPr>
        <w:t xml:space="preserve">—</w:t>
      </w:r>
    </w:p>
    <w:p>
      <w:pPr>
        <w:spacing w:after="20" w:before="60"/>
      </w:pPr>
      <w:r>
        <w:rPr>
          <w:rFonts w:ascii="Arial" w:cs="Arial" w:eastAsia="Arial" w:hAnsi="Arial"/>
          <w:b/>
          <w:bCs/>
          <w:sz w:val="18"/>
          <w:szCs w:val="18"/>
        </w:rPr>
        <w:t xml:space="preserve">Leitfaden-Bezug:</w:t>
      </w:r>
    </w:p>
    <w:p>
      <w:pPr>
        <w:spacing w:after="40" w:before="0"/>
      </w:pPr>
      <w:r>
        <w:rPr>
          <w:rFonts w:ascii="Arial" w:cs="Arial" w:eastAsia="Arial" w:hAnsi="Arial"/>
          <w:sz w:val="18"/>
          <w:szCs w:val="18"/>
        </w:rPr>
        <w:t xml:space="preserve">Leitfaden C(2026)3702, Abschn. 3; EUNR-Papier 06/2026 (Sekundärquelle).</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w:t>
      </w:r>
    </w:p>
    <w:p>
      <w:pPr>
        <w:keepNext/>
        <w:pBdr>
          <w:top w:val="single" w:color="24A27F" w:sz="4" w:space="4"/>
        </w:pBdr>
        <w:spacing w:after="40" w:before="260"/>
      </w:pPr>
      <w:r>
        <w:rPr>
          <w:rFonts w:ascii="Arial" w:cs="Arial" w:eastAsia="Arial" w:hAnsi="Arial"/>
          <w:b/>
          <w:bCs/>
          <w:color w:val="004494"/>
          <w:sz w:val="22"/>
          <w:szCs w:val="22"/>
        </w:rPr>
        <w:t xml:space="preserve">hb_erstinverkehrbringer_de  </w:t>
      </w:r>
      <w:r>
        <w:rPr>
          <w:rFonts w:ascii="Arial" w:cs="Arial" w:eastAsia="Arial" w:hAnsi="Arial"/>
          <w:b/>
          <w:bCs/>
          <w:sz w:val="22"/>
          <w:szCs w:val="22"/>
        </w:rPr>
        <w:t xml:space="preserve">Erstinverkehrbringer / Inverkehrbringer (national) (—)</w:t>
      </w:r>
    </w:p>
    <w:p>
      <w:pPr>
        <w:spacing w:after="60" w:before="0"/>
      </w:pPr>
      <w:r>
        <w:rPr>
          <w:rFonts w:ascii="Arial" w:cs="Arial" w:eastAsia="Arial" w:hAnsi="Arial"/>
          <w:color w:val="6B7280"/>
          <w:sz w:val="16"/>
          <w:szCs w:val="16"/>
        </w:rPr>
        <w:t xml:space="preserve">hilfsbegriff · Fundstelle: § 3 Abs. 17 und 18 VerpackDG (BGBl. 2026 I Nr. 207; national ergänzend)</w:t>
      </w:r>
    </w:p>
    <w:p>
      <w:pPr>
        <w:spacing w:after="20" w:before="60"/>
      </w:pPr>
      <w:r>
        <w:rPr>
          <w:rFonts w:ascii="Arial" w:cs="Arial" w:eastAsia="Arial" w:hAnsi="Arial"/>
          <w:b/>
          <w:bCs/>
          <w:sz w:val="18"/>
          <w:szCs w:val="18"/>
        </w:rPr>
        <w:t xml:space="preserve">Definition:</w:t>
      </w:r>
    </w:p>
    <w:p>
      <w:pPr>
        <w:spacing w:after="40" w:before="0"/>
      </w:pPr>
      <w:r>
        <w:rPr>
          <w:rFonts w:ascii="Arial" w:cs="Arial" w:eastAsia="Arial" w:hAnsi="Arial"/>
          <w:sz w:val="18"/>
          <w:szCs w:val="18"/>
        </w:rPr>
        <w:t xml:space="preserve">Erstinverkehrbringer: wer Verpackungen erstmals gewerbsmäßig im Bundesgebiet bereitstellt. Inverkehrbringer: wer Verpackungen unabhängig von Vertriebsmethode oder Handelsstufe im Bundesgebiet bereitstellt.</w:t>
      </w:r>
    </w:p>
    <w:p>
      <w:pPr>
        <w:spacing w:after="20" w:before="60"/>
      </w:pPr>
      <w:r>
        <w:rPr>
          <w:rFonts w:ascii="Arial" w:cs="Arial" w:eastAsia="Arial" w:hAnsi="Arial"/>
          <w:b/>
          <w:bCs/>
          <w:sz w:val="18"/>
          <w:szCs w:val="18"/>
        </w:rPr>
        <w:t xml:space="preserve">Abgrenzung:</w:t>
      </w:r>
    </w:p>
    <w:p>
      <w:pPr>
        <w:spacing w:after="40" w:before="0"/>
      </w:pPr>
      <w:r>
        <w:rPr>
          <w:rFonts w:ascii="Arial" w:cs="Arial" w:eastAsia="Arial" w:hAnsi="Arial"/>
          <w:sz w:val="18"/>
          <w:szCs w:val="18"/>
        </w:rPr>
        <w:t xml:space="preserve">Rein nationale Begriffe neben dem PPWR-Rollenkanon.</w:t>
      </w:r>
    </w:p>
    <w:p>
      <w:pPr>
        <w:spacing w:after="20" w:before="60"/>
      </w:pPr>
      <w:r>
        <w:rPr>
          <w:rFonts w:ascii="Arial" w:cs="Arial" w:eastAsia="Arial" w:hAnsi="Arial"/>
          <w:b/>
          <w:bCs/>
          <w:sz w:val="18"/>
          <w:szCs w:val="18"/>
        </w:rPr>
        <w:t xml:space="preserve">Verwechslungsfälle:</w:t>
      </w:r>
    </w:p>
    <w:p>
      <w:pPr>
        <w:spacing w:after="40" w:before="0"/>
      </w:pPr>
      <w:r>
        <w:rPr>
          <w:rFonts w:ascii="Arial" w:cs="Arial" w:eastAsia="Arial" w:hAnsi="Arial"/>
          <w:sz w:val="18"/>
          <w:szCs w:val="18"/>
        </w:rPr>
        <w:t xml:space="preserve">Darf im UI nicht als eigene 'Rolle' erscheinen, sondern als Pflichtenanker einzelner Anforderungen.</w:t>
      </w:r>
    </w:p>
    <w:p>
      <w:pPr>
        <w:spacing w:after="20" w:before="60"/>
      </w:pPr>
      <w:r>
        <w:rPr>
          <w:rFonts w:ascii="Arial" w:cs="Arial" w:eastAsia="Arial" w:hAnsi="Arial"/>
          <w:b/>
          <w:bCs/>
          <w:sz w:val="18"/>
          <w:szCs w:val="18"/>
        </w:rPr>
        <w:t xml:space="preserve">VerpackDG-Bezug:</w:t>
      </w:r>
    </w:p>
    <w:p>
      <w:pPr>
        <w:spacing w:after="40" w:before="0"/>
      </w:pPr>
      <w:r>
        <w:rPr>
          <w:rFonts w:ascii="Arial" w:cs="Arial" w:eastAsia="Arial" w:hAnsi="Arial"/>
          <w:sz w:val="18"/>
          <w:szCs w:val="18"/>
        </w:rPr>
        <w:t xml:space="preserve">§ 3 Abs. 17, 18 VerpackDG.</w:t>
      </w:r>
    </w:p>
    <w:p>
      <w:pPr>
        <w:spacing w:after="20" w:before="60"/>
      </w:pPr>
      <w:r>
        <w:rPr>
          <w:rFonts w:ascii="Arial" w:cs="Arial" w:eastAsia="Arial" w:hAnsi="Arial"/>
          <w:b/>
          <w:bCs/>
          <w:sz w:val="18"/>
          <w:szCs w:val="18"/>
        </w:rPr>
        <w:t xml:space="preserve">Leitfaden-Bezug:</w:t>
      </w:r>
    </w:p>
    <w:p>
      <w:pPr>
        <w:spacing w:after="40" w:before="0"/>
      </w:pPr>
      <w:r>
        <w:rPr>
          <w:rFonts w:ascii="Arial" w:cs="Arial" w:eastAsia="Arial" w:hAnsi="Arial"/>
          <w:sz w:val="18"/>
          <w:szCs w:val="18"/>
        </w:rPr>
        <w:t xml:space="preserve">—</w:t>
      </w:r>
    </w:p>
    <w:p>
      <w:pPr>
        <w:keepNext/>
        <w:pBdr>
          <w:top w:val="single" w:color="24A27F" w:sz="4" w:space="4"/>
        </w:pBdr>
        <w:spacing w:after="40" w:before="260"/>
      </w:pPr>
      <w:r>
        <w:rPr>
          <w:rFonts w:ascii="Arial" w:cs="Arial" w:eastAsia="Arial" w:hAnsi="Arial"/>
          <w:b/>
          <w:bCs/>
          <w:color w:val="004494"/>
          <w:sz w:val="22"/>
          <w:szCs w:val="22"/>
        </w:rPr>
        <w:t xml:space="preserve">hersteller  </w:t>
      </w:r>
      <w:r>
        <w:rPr>
          <w:rFonts w:ascii="Arial" w:cs="Arial" w:eastAsia="Arial" w:hAnsi="Arial"/>
          <w:b/>
          <w:bCs/>
          <w:sz w:val="22"/>
          <w:szCs w:val="22"/>
        </w:rPr>
        <w:t xml:space="preserve">Hersteller (producer)</w:t>
      </w:r>
    </w:p>
    <w:p>
      <w:pPr>
        <w:spacing w:after="60" w:before="0"/>
      </w:pPr>
      <w:r>
        <w:rPr>
          <w:rFonts w:ascii="Arial" w:cs="Arial" w:eastAsia="Arial" w:hAnsi="Arial"/>
          <w:color w:val="6B7280"/>
          <w:sz w:val="16"/>
          <w:szCs w:val="16"/>
        </w:rPr>
        <w:t xml:space="preserve">kernrolle · Fundstelle: Art. 3 Abs. 1 Nr. 15 lit. a–e VO (EU) 2025/40</w:t>
      </w:r>
    </w:p>
    <w:p>
      <w:pPr>
        <w:spacing w:after="20" w:before="60"/>
      </w:pPr>
      <w:r>
        <w:rPr>
          <w:rFonts w:ascii="Arial" w:cs="Arial" w:eastAsia="Arial" w:hAnsi="Arial"/>
          <w:b/>
          <w:bCs/>
          <w:sz w:val="18"/>
          <w:szCs w:val="18"/>
        </w:rPr>
        <w:t xml:space="preserve">Definition:</w:t>
      </w:r>
    </w:p>
    <w:p>
      <w:pPr>
        <w:spacing w:after="40" w:before="0"/>
      </w:pPr>
      <w:r>
        <w:rPr>
          <w:rFonts w:ascii="Arial" w:cs="Arial" w:eastAsia="Arial" w:hAnsi="Arial"/>
          <w:sz w:val="18"/>
          <w:szCs w:val="18"/>
        </w:rPr>
        <w:t xml:space="preserve">Jeder Erzeuger, Importeur oder Vertreiber, der – unabhängig von der Verkaufsmethode, auch im Fernabsatz – (a) Transport-, Service- oder Primärproduktionsverpackungen (leer, Einweg oder Mehrweg) erstmals im Sitz-Mitgliedstaat und von dort aus bereitstellt; (b) verpackte Produkte in sonstigen Verpackungen erstmals im Sitz-Mitgliedstaat und von dort aus bereitstellt; (c)/(d) dieselben Verpackungen bzw. verpackten Produkte aus einem anderen Mitgliedstaat oder Drittland erstmals direkt an Endabnehmer in einem anderen Mitgliedstaat bereitstellt; (e) verpackte Produkte auspackt, ohne Endabnehmer zu sein, sofern kein anderer Hersteller nach lit. a–d existiert (Auffangtatbestand).</w:t>
      </w:r>
    </w:p>
    <w:p>
      <w:pPr>
        <w:spacing w:after="20" w:before="60"/>
      </w:pPr>
      <w:r>
        <w:rPr>
          <w:rFonts w:ascii="Arial" w:cs="Arial" w:eastAsia="Arial" w:hAnsi="Arial"/>
          <w:b/>
          <w:bCs/>
          <w:sz w:val="18"/>
          <w:szCs w:val="18"/>
        </w:rPr>
        <w:t xml:space="preserve">Abgrenzung:</w:t>
      </w:r>
    </w:p>
    <w:p>
      <w:pPr>
        <w:spacing w:after="40" w:before="0"/>
      </w:pPr>
      <w:r>
        <w:rPr>
          <w:rFonts w:ascii="Arial" w:cs="Arial" w:eastAsia="Arial" w:hAnsi="Arial"/>
          <w:sz w:val="18"/>
          <w:szCs w:val="18"/>
        </w:rPr>
        <w:t xml:space="preserve">Hersteller ≠ Erzeuger: Ein Unternehmen kann beides sein (Marken-Abfüller in DE), nur eines oder keines. Bestimmung stets JE PRODUKTLINIE und JE MITGLIEDSTAAT. Export aus der EU: kein Hersteller (kein Abfall in der EU). Logistikunternehmen, die Drittlandsware aus- und umpacken, sind Hersteller der anfallenden Transportverpackung, auch ohne Eigentum (ErwG 123).</w:t>
      </w:r>
    </w:p>
    <w:p>
      <w:pPr>
        <w:spacing w:after="20" w:before="60"/>
      </w:pPr>
      <w:r>
        <w:rPr>
          <w:rFonts w:ascii="Arial" w:cs="Arial" w:eastAsia="Arial" w:hAnsi="Arial"/>
          <w:b/>
          <w:bCs/>
          <w:sz w:val="18"/>
          <w:szCs w:val="18"/>
        </w:rPr>
        <w:t xml:space="preserve">Verwechslungsfälle:</w:t>
      </w:r>
    </w:p>
    <w:p>
      <w:pPr>
        <w:spacing w:after="40" w:before="0"/>
      </w:pPr>
      <w:r>
        <w:rPr>
          <w:rFonts w:ascii="Arial" w:cs="Arial" w:eastAsia="Arial" w:hAnsi="Arial"/>
          <w:sz w:val="18"/>
          <w:szCs w:val="18"/>
        </w:rPr>
        <w:t xml:space="preserve">(1) EN 'producer' – Übersetzungsfalle s. Erzeuger. (2) 'Wir sind doch registriert' – LUCID-Registrierung nach altem VerpackG gilt fort (§ 68 Abs. 2 VerpackDG), aber die ROLLENBESTIMMUNG folgt neuen Tatbeständen; neu Verpflichtete (z. B. Auspacker) müssen sich bis 12.09.2026 registrieren. (3) B2B-Auspacken: Wer verpackte Produkte für den Weitervertrieb auspackt, ist kein Endabnehmer und kann Hersteller nach lit. e sein.</w:t>
      </w:r>
    </w:p>
    <w:p>
      <w:pPr>
        <w:spacing w:after="20" w:before="60"/>
      </w:pPr>
      <w:r>
        <w:rPr>
          <w:rFonts w:ascii="Arial" w:cs="Arial" w:eastAsia="Arial" w:hAnsi="Arial"/>
          <w:b/>
          <w:bCs/>
          <w:sz w:val="18"/>
          <w:szCs w:val="18"/>
        </w:rPr>
        <w:t xml:space="preserve">VerpackDG-Bezug:</w:t>
      </w:r>
    </w:p>
    <w:p>
      <w:pPr>
        <w:spacing w:after="40" w:before="0"/>
      </w:pPr>
      <w:r>
        <w:rPr>
          <w:rFonts w:ascii="Arial" w:cs="Arial" w:eastAsia="Arial" w:hAnsi="Arial"/>
          <w:sz w:val="18"/>
          <w:szCs w:val="18"/>
        </w:rPr>
        <w:t xml:space="preserve">§ 5 (Bevollmächtigter), § 6 (Registrierung; ZSVR = zuständige Behörde für das Register nach Art. 44 Abs. 1, § 6 Abs. 6), § 7 (Systembeteiligung; Übertragung bei Serviceverpackungen auf Vorvertreiber § 7 Abs. 2), § 9 (Datenmeldung), § 10 (Vollständigkeitserklärung), § 39 (Rücknahme nicht systembeteiligungspflichtiger Verpackungen), § 68 (Übergangsrecht: Fortgeltung Systembeteiligungen längstens bis 31.12.2026, Registrierungs-Fortgeltung, Fristen 12.09./12.11.2026).</w:t>
      </w:r>
    </w:p>
    <w:p>
      <w:pPr>
        <w:spacing w:after="20" w:before="60"/>
      </w:pPr>
      <w:r>
        <w:rPr>
          <w:rFonts w:ascii="Arial" w:cs="Arial" w:eastAsia="Arial" w:hAnsi="Arial"/>
          <w:b/>
          <w:bCs/>
          <w:sz w:val="18"/>
          <w:szCs w:val="18"/>
        </w:rPr>
        <w:t xml:space="preserve">Leitfaden-Bezug:</w:t>
      </w:r>
    </w:p>
    <w:p>
      <w:pPr>
        <w:spacing w:after="40" w:before="0"/>
      </w:pPr>
      <w:r>
        <w:rPr>
          <w:rFonts w:ascii="Arial" w:cs="Arial" w:eastAsia="Arial" w:hAnsi="Arial"/>
          <w:sz w:val="18"/>
          <w:szCs w:val="18"/>
        </w:rPr>
        <w:t xml:space="preserve">Leitfaden C(2026)3702, Abschn. 3: Entscheidungsbaum; Abfüller-Regel für Verkaufsverpackungen; Transportverpackungs-Prüfschritte; Fernabsatz; Logistiker; Gebührenerstattung. EUNR-Papier 06/2026 (Sekundärquelle): 'domestic priority', Beginn der inländischen Lieferkette.</w:t>
      </w:r>
    </w:p>
    <w:p>
      <w:pPr>
        <w:keepNext/>
        <w:pBdr>
          <w:top w:val="single" w:color="24A27F" w:sz="4" w:space="4"/>
        </w:pBdr>
        <w:spacing w:after="40" w:before="260"/>
      </w:pPr>
      <w:r>
        <w:rPr>
          <w:rFonts w:ascii="Arial" w:cs="Arial" w:eastAsia="Arial" w:hAnsi="Arial"/>
          <w:b/>
          <w:bCs/>
          <w:color w:val="004494"/>
          <w:sz w:val="22"/>
          <w:szCs w:val="22"/>
        </w:rPr>
        <w:t xml:space="preserve">importeur  </w:t>
      </w:r>
      <w:r>
        <w:rPr>
          <w:rFonts w:ascii="Arial" w:cs="Arial" w:eastAsia="Arial" w:hAnsi="Arial"/>
          <w:b/>
          <w:bCs/>
          <w:sz w:val="22"/>
          <w:szCs w:val="22"/>
        </w:rPr>
        <w:t xml:space="preserve">Importeur (importer)</w:t>
      </w:r>
    </w:p>
    <w:p>
      <w:pPr>
        <w:spacing w:after="60" w:before="0"/>
      </w:pPr>
      <w:r>
        <w:rPr>
          <w:rFonts w:ascii="Arial" w:cs="Arial" w:eastAsia="Arial" w:hAnsi="Arial"/>
          <w:color w:val="6B7280"/>
          <w:sz w:val="16"/>
          <w:szCs w:val="16"/>
        </w:rPr>
        <w:t xml:space="preserve">kernrolle · Fundstelle: Art. 3 Abs. 1 Nr. 17 VO (EU) 2025/40</w:t>
      </w:r>
    </w:p>
    <w:p>
      <w:pPr>
        <w:spacing w:after="20" w:before="60"/>
      </w:pPr>
      <w:r>
        <w:rPr>
          <w:rFonts w:ascii="Arial" w:cs="Arial" w:eastAsia="Arial" w:hAnsi="Arial"/>
          <w:b/>
          <w:bCs/>
          <w:sz w:val="18"/>
          <w:szCs w:val="18"/>
        </w:rPr>
        <w:t xml:space="preserve">Definition:</w:t>
      </w:r>
    </w:p>
    <w:p>
      <w:pPr>
        <w:spacing w:after="40" w:before="0"/>
      </w:pPr>
      <w:r>
        <w:rPr>
          <w:rFonts w:ascii="Arial" w:cs="Arial" w:eastAsia="Arial" w:hAnsi="Arial"/>
          <w:sz w:val="18"/>
          <w:szCs w:val="18"/>
        </w:rPr>
        <w:t xml:space="preserve">Jede in der Union ansässige natürliche oder juristische Person, die Verpackungen aus einem Drittland in Verkehr bringt.</w:t>
      </w:r>
    </w:p>
    <w:p>
      <w:pPr>
        <w:spacing w:after="20" w:before="60"/>
      </w:pPr>
      <w:r>
        <w:rPr>
          <w:rFonts w:ascii="Arial" w:cs="Arial" w:eastAsia="Arial" w:hAnsi="Arial"/>
          <w:b/>
          <w:bCs/>
          <w:sz w:val="18"/>
          <w:szCs w:val="18"/>
        </w:rPr>
        <w:t xml:space="preserve">Abgrenzung:</w:t>
      </w:r>
    </w:p>
    <w:p>
      <w:pPr>
        <w:spacing w:after="40" w:before="0"/>
      </w:pPr>
      <w:r>
        <w:rPr>
          <w:rFonts w:ascii="Arial" w:cs="Arial" w:eastAsia="Arial" w:hAnsi="Arial"/>
          <w:sz w:val="18"/>
          <w:szCs w:val="18"/>
        </w:rPr>
        <w:t xml:space="preserve">Nur Drittlandsbezug ('in Verkehr bringen' = erstmalige Bereitstellung auf dem UNIONSmarkt, Nr. 10). Innergemeinschaftlicher Bezug macht nicht zum Importeur (dort greift ggf. Hersteller-Tatbestand lit. b als erste Bereitstellung im Inland). 'Ansässig' erfordert eigene Rechtspersönlichkeit in der EU; eine unselbstständige Zweigniederlassung (branch) genügt NICHT – Drittlandshersteller brauchen Tochtergesellschaft oder Bevollmächtigten.</w:t>
      </w:r>
    </w:p>
    <w:p>
      <w:pPr>
        <w:spacing w:after="20" w:before="60"/>
      </w:pPr>
      <w:r>
        <w:rPr>
          <w:rFonts w:ascii="Arial" w:cs="Arial" w:eastAsia="Arial" w:hAnsi="Arial"/>
          <w:b/>
          <w:bCs/>
          <w:sz w:val="18"/>
          <w:szCs w:val="18"/>
        </w:rPr>
        <w:t xml:space="preserve">Verwechslungsfälle:</w:t>
      </w:r>
    </w:p>
    <w:p>
      <w:pPr>
        <w:spacing w:after="40" w:before="0"/>
      </w:pPr>
      <w:r>
        <w:rPr>
          <w:rFonts w:ascii="Arial" w:cs="Arial" w:eastAsia="Arial" w:hAnsi="Arial"/>
          <w:sz w:val="18"/>
          <w:szCs w:val="18"/>
        </w:rPr>
        <w:t xml:space="preserve">(1) 'EU-Import' vs. Drittlandsimport. (2) Zweigniederlassung/Umsatzsteuer-Registrierung ≠ Niederlassung. (3) Eigenmarken-Importeur wird via Art. 21 zum Erzeuger.</w:t>
      </w:r>
    </w:p>
    <w:p>
      <w:pPr>
        <w:spacing w:after="20" w:before="60"/>
      </w:pPr>
      <w:r>
        <w:rPr>
          <w:rFonts w:ascii="Arial" w:cs="Arial" w:eastAsia="Arial" w:hAnsi="Arial"/>
          <w:b/>
          <w:bCs/>
          <w:sz w:val="18"/>
          <w:szCs w:val="18"/>
        </w:rPr>
        <w:t xml:space="preserve">VerpackDG-Bezug:</w:t>
      </w:r>
    </w:p>
    <w:p>
      <w:pPr>
        <w:spacing w:after="40" w:before="0"/>
      </w:pPr>
      <w:r>
        <w:rPr>
          <w:rFonts w:ascii="Arial" w:cs="Arial" w:eastAsia="Arial" w:hAnsi="Arial"/>
          <w:sz w:val="18"/>
          <w:szCs w:val="18"/>
        </w:rPr>
        <w:t xml:space="preserve">Als Hersteller i. S. d. Art. 3 Abs. 1 Nr. 15: Registrierung § 6, Systembeteiligung § 7 VerpackDG.</w:t>
      </w:r>
    </w:p>
    <w:p>
      <w:pPr>
        <w:spacing w:after="20" w:before="60"/>
      </w:pPr>
      <w:r>
        <w:rPr>
          <w:rFonts w:ascii="Arial" w:cs="Arial" w:eastAsia="Arial" w:hAnsi="Arial"/>
          <w:b/>
          <w:bCs/>
          <w:sz w:val="18"/>
          <w:szCs w:val="18"/>
        </w:rPr>
        <w:t xml:space="preserve">Leitfaden-Bezug:</w:t>
      </w:r>
    </w:p>
    <w:p>
      <w:pPr>
        <w:spacing w:after="40" w:before="0"/>
      </w:pPr>
      <w:r>
        <w:rPr>
          <w:rFonts w:ascii="Arial" w:cs="Arial" w:eastAsia="Arial" w:hAnsi="Arial"/>
          <w:sz w:val="18"/>
          <w:szCs w:val="18"/>
        </w:rPr>
        <w:t xml:space="preserve">Leitfaden C(2026)3702, Abschn. 4 (Branch-Frage, harmonisierter Importeurbegriff, keine strengeren nationalen Anknüpfungen zulässig).</w:t>
      </w:r>
    </w:p>
    <w:p>
      <w:pPr>
        <w:keepNext/>
        <w:pBdr>
          <w:top w:val="single" w:color="24A27F" w:sz="4" w:space="4"/>
        </w:pBdr>
        <w:spacing w:after="40" w:before="260"/>
      </w:pPr>
      <w:r>
        <w:rPr>
          <w:rFonts w:ascii="Arial" w:cs="Arial" w:eastAsia="Arial" w:hAnsi="Arial"/>
          <w:b/>
          <w:bCs/>
          <w:color w:val="004494"/>
          <w:sz w:val="22"/>
          <w:szCs w:val="22"/>
        </w:rPr>
        <w:t xml:space="preserve">lieferant  </w:t>
      </w:r>
      <w:r>
        <w:rPr>
          <w:rFonts w:ascii="Arial" w:cs="Arial" w:eastAsia="Arial" w:hAnsi="Arial"/>
          <w:b/>
          <w:bCs/>
          <w:sz w:val="22"/>
          <w:szCs w:val="22"/>
        </w:rPr>
        <w:t xml:space="preserve">Lieferant (supplier)</w:t>
      </w:r>
    </w:p>
    <w:p>
      <w:pPr>
        <w:spacing w:after="60" w:before="0"/>
      </w:pPr>
      <w:r>
        <w:rPr>
          <w:rFonts w:ascii="Arial" w:cs="Arial" w:eastAsia="Arial" w:hAnsi="Arial"/>
          <w:color w:val="6B7280"/>
          <w:sz w:val="16"/>
          <w:szCs w:val="16"/>
        </w:rPr>
        <w:t xml:space="preserve">kernrolle · Fundstelle: Art. 3 Abs. 1 Nr. 16 VO (EU) 2025/40</w:t>
      </w:r>
    </w:p>
    <w:p>
      <w:pPr>
        <w:spacing w:after="20" w:before="60"/>
      </w:pPr>
      <w:r>
        <w:rPr>
          <w:rFonts w:ascii="Arial" w:cs="Arial" w:eastAsia="Arial" w:hAnsi="Arial"/>
          <w:b/>
          <w:bCs/>
          <w:sz w:val="18"/>
          <w:szCs w:val="18"/>
        </w:rPr>
        <w:t xml:space="preserve">Definition:</w:t>
      </w:r>
    </w:p>
    <w:p>
      <w:pPr>
        <w:spacing w:after="40" w:before="0"/>
      </w:pPr>
      <w:r>
        <w:rPr>
          <w:rFonts w:ascii="Arial" w:cs="Arial" w:eastAsia="Arial" w:hAnsi="Arial"/>
          <w:sz w:val="18"/>
          <w:szCs w:val="18"/>
        </w:rPr>
        <w:t xml:space="preserve">Jede natürliche oder juristische Person, die Verpackungen oder Verpackungsmaterial an einen Erzeuger liefert.</w:t>
      </w:r>
    </w:p>
    <w:p>
      <w:pPr>
        <w:spacing w:after="20" w:before="60"/>
      </w:pPr>
      <w:r>
        <w:rPr>
          <w:rFonts w:ascii="Arial" w:cs="Arial" w:eastAsia="Arial" w:hAnsi="Arial"/>
          <w:b/>
          <w:bCs/>
          <w:sz w:val="18"/>
          <w:szCs w:val="18"/>
        </w:rPr>
        <w:t xml:space="preserve">Abgrenzung:</w:t>
      </w:r>
    </w:p>
    <w:p>
      <w:pPr>
        <w:spacing w:after="40" w:before="0"/>
      </w:pPr>
      <w:r>
        <w:rPr>
          <w:rFonts w:ascii="Arial" w:cs="Arial" w:eastAsia="Arial" w:hAnsi="Arial"/>
          <w:sz w:val="18"/>
          <w:szCs w:val="18"/>
        </w:rPr>
        <w:t xml:space="preserve">Der Lieferant wird selbst zum Erzeuger, wenn die Kleinstunternehmen-Ausnahme (Art. 3 Abs. 1 Nr. 13 lit. b) greift. Lieferant liefert AN Erzeuger; der Vertreiber (Nr. 18) stellt auf dem Markt bereit.</w:t>
      </w:r>
    </w:p>
    <w:p>
      <w:pPr>
        <w:spacing w:after="20" w:before="60"/>
      </w:pPr>
      <w:r>
        <w:rPr>
          <w:rFonts w:ascii="Arial" w:cs="Arial" w:eastAsia="Arial" w:hAnsi="Arial"/>
          <w:b/>
          <w:bCs/>
          <w:sz w:val="18"/>
          <w:szCs w:val="18"/>
        </w:rPr>
        <w:t xml:space="preserve">Verwechslungsfälle:</w:t>
      </w:r>
    </w:p>
    <w:p>
      <w:pPr>
        <w:spacing w:after="40" w:before="0"/>
      </w:pPr>
      <w:r>
        <w:rPr>
          <w:rFonts w:ascii="Arial" w:cs="Arial" w:eastAsia="Arial" w:hAnsi="Arial"/>
          <w:sz w:val="18"/>
          <w:szCs w:val="18"/>
        </w:rPr>
        <w:t xml:space="preserve">Verpackungshersteller/Converter, deren Kunde die Verpackung unter eigener Marke fertigen lässt, sind Lieferant (nicht Erzeuger) – außer Kleinstunternehmen-Fall.</w:t>
      </w:r>
    </w:p>
    <w:p>
      <w:pPr>
        <w:spacing w:after="20" w:before="60"/>
      </w:pPr>
      <w:r>
        <w:rPr>
          <w:rFonts w:ascii="Arial" w:cs="Arial" w:eastAsia="Arial" w:hAnsi="Arial"/>
          <w:b/>
          <w:bCs/>
          <w:sz w:val="18"/>
          <w:szCs w:val="18"/>
        </w:rPr>
        <w:t xml:space="preserve">VerpackDG-Bezug:</w:t>
      </w:r>
    </w:p>
    <w:p>
      <w:pPr>
        <w:spacing w:after="40" w:before="0"/>
      </w:pPr>
      <w:r>
        <w:rPr>
          <w:rFonts w:ascii="Arial" w:cs="Arial" w:eastAsia="Arial" w:hAnsi="Arial"/>
          <w:sz w:val="18"/>
          <w:szCs w:val="18"/>
        </w:rPr>
        <w:t xml:space="preserve">Als 'Vorvertreiber' unbefüllter Serviceverpackungen möglicher Adressat der übertragenen Systembeteiligungspflicht (§ 7 Abs. 2 VerpackDG).</w:t>
      </w:r>
    </w:p>
    <w:p>
      <w:pPr>
        <w:spacing w:after="20" w:before="60"/>
      </w:pPr>
      <w:r>
        <w:rPr>
          <w:rFonts w:ascii="Arial" w:cs="Arial" w:eastAsia="Arial" w:hAnsi="Arial"/>
          <w:b/>
          <w:bCs/>
          <w:sz w:val="18"/>
          <w:szCs w:val="18"/>
        </w:rPr>
        <w:t xml:space="preserve">Leitfaden-Bezug:</w:t>
      </w:r>
    </w:p>
    <w:p>
      <w:pPr>
        <w:spacing w:after="40" w:before="0"/>
      </w:pPr>
      <w:r>
        <w:rPr>
          <w:rFonts w:ascii="Arial" w:cs="Arial" w:eastAsia="Arial" w:hAnsi="Arial"/>
          <w:sz w:val="18"/>
          <w:szCs w:val="18"/>
        </w:rPr>
        <w:t xml:space="preserve">Leitfaden C(2026)3702, Abschn. 2 (Kleinstunternehmen-Konstellationen).</w:t>
      </w:r>
    </w:p>
    <w:p>
      <w:pPr>
        <w:keepNext/>
        <w:pBdr>
          <w:top w:val="single" w:color="24A27F" w:sz="4" w:space="4"/>
        </w:pBdr>
        <w:spacing w:after="40" w:before="260"/>
      </w:pPr>
      <w:r>
        <w:rPr>
          <w:rFonts w:ascii="Arial" w:cs="Arial" w:eastAsia="Arial" w:hAnsi="Arial"/>
          <w:b/>
          <w:bCs/>
          <w:color w:val="004494"/>
          <w:sz w:val="22"/>
          <w:szCs w:val="22"/>
        </w:rPr>
        <w:t xml:space="preserve">vertreiber  </w:t>
      </w:r>
      <w:r>
        <w:rPr>
          <w:rFonts w:ascii="Arial" w:cs="Arial" w:eastAsia="Arial" w:hAnsi="Arial"/>
          <w:b/>
          <w:bCs/>
          <w:sz w:val="22"/>
          <w:szCs w:val="22"/>
        </w:rPr>
        <w:t xml:space="preserve">Vertreiber (distributor)</w:t>
      </w:r>
    </w:p>
    <w:p>
      <w:pPr>
        <w:spacing w:after="60" w:before="0"/>
      </w:pPr>
      <w:r>
        <w:rPr>
          <w:rFonts w:ascii="Arial" w:cs="Arial" w:eastAsia="Arial" w:hAnsi="Arial"/>
          <w:color w:val="6B7280"/>
          <w:sz w:val="16"/>
          <w:szCs w:val="16"/>
        </w:rPr>
        <w:t xml:space="preserve">kernrolle · Fundstelle: Art. 3 Abs. 1 Nr. 18 VO (EU) 2025/40</w:t>
      </w:r>
    </w:p>
    <w:p>
      <w:pPr>
        <w:spacing w:after="20" w:before="60"/>
      </w:pPr>
      <w:r>
        <w:rPr>
          <w:rFonts w:ascii="Arial" w:cs="Arial" w:eastAsia="Arial" w:hAnsi="Arial"/>
          <w:b/>
          <w:bCs/>
          <w:sz w:val="18"/>
          <w:szCs w:val="18"/>
        </w:rPr>
        <w:t xml:space="preserve">Definition:</w:t>
      </w:r>
    </w:p>
    <w:p>
      <w:pPr>
        <w:spacing w:after="40" w:before="0"/>
      </w:pPr>
      <w:r>
        <w:rPr>
          <w:rFonts w:ascii="Arial" w:cs="Arial" w:eastAsia="Arial" w:hAnsi="Arial"/>
          <w:sz w:val="18"/>
          <w:szCs w:val="18"/>
        </w:rPr>
        <w:t xml:space="preserve">Jede natürliche oder juristische Person in der Lieferkette, die Verpackungen auf dem Markt bereitstellt, mit Ausnahme des Erzeugers oder des Importeurs.</w:t>
      </w:r>
    </w:p>
    <w:p>
      <w:pPr>
        <w:spacing w:after="20" w:before="60"/>
      </w:pPr>
      <w:r>
        <w:rPr>
          <w:rFonts w:ascii="Arial" w:cs="Arial" w:eastAsia="Arial" w:hAnsi="Arial"/>
          <w:b/>
          <w:bCs/>
          <w:sz w:val="18"/>
          <w:szCs w:val="18"/>
        </w:rPr>
        <w:t xml:space="preserve">Abgrenzung:</w:t>
      </w:r>
    </w:p>
    <w:p>
      <w:pPr>
        <w:spacing w:after="40" w:before="0"/>
      </w:pPr>
      <w:r>
        <w:rPr>
          <w:rFonts w:ascii="Arial" w:cs="Arial" w:eastAsia="Arial" w:hAnsi="Arial"/>
          <w:sz w:val="18"/>
          <w:szCs w:val="18"/>
        </w:rPr>
        <w:t xml:space="preserve">Negativabgrenzung zu Erzeuger und Importeur. Kann zusätzlich Hersteller (Nr. 15, z. B. als Erstbereitsteller im Inland nach Bezug aus anderem Mitgliedstaat) und via Art. 21 Erzeuger werden (Eigenmarke/Modifikation).</w:t>
      </w:r>
    </w:p>
    <w:p>
      <w:pPr>
        <w:spacing w:after="20" w:before="60"/>
      </w:pPr>
      <w:r>
        <w:rPr>
          <w:rFonts w:ascii="Arial" w:cs="Arial" w:eastAsia="Arial" w:hAnsi="Arial"/>
          <w:b/>
          <w:bCs/>
          <w:sz w:val="18"/>
          <w:szCs w:val="18"/>
        </w:rPr>
        <w:t xml:space="preserve">Verwechslungsfälle:</w:t>
      </w:r>
    </w:p>
    <w:p>
      <w:pPr>
        <w:spacing w:after="40" w:before="0"/>
      </w:pPr>
      <w:r>
        <w:rPr>
          <w:rFonts w:ascii="Arial" w:cs="Arial" w:eastAsia="Arial" w:hAnsi="Arial"/>
          <w:sz w:val="18"/>
          <w:szCs w:val="18"/>
        </w:rPr>
        <w:t xml:space="preserve">Großhändler, der Ware aus anderem EU-Staat bezieht und in DE erstmals bereitstellt, ist Vertreiber UND Hersteller (EPR) – häufig übersehen.</w:t>
      </w:r>
    </w:p>
    <w:p>
      <w:pPr>
        <w:spacing w:after="20" w:before="60"/>
      </w:pPr>
      <w:r>
        <w:rPr>
          <w:rFonts w:ascii="Arial" w:cs="Arial" w:eastAsia="Arial" w:hAnsi="Arial"/>
          <w:b/>
          <w:bCs/>
          <w:sz w:val="18"/>
          <w:szCs w:val="18"/>
        </w:rPr>
        <w:t xml:space="preserve">VerpackDG-Bezug:</w:t>
      </w:r>
    </w:p>
    <w:p>
      <w:pPr>
        <w:spacing w:after="40" w:before="0"/>
      </w:pPr>
      <w:r>
        <w:rPr>
          <w:rFonts w:ascii="Arial" w:cs="Arial" w:eastAsia="Arial" w:hAnsi="Arial"/>
          <w:sz w:val="18"/>
          <w:szCs w:val="18"/>
        </w:rPr>
        <w:t xml:space="preserve">§ 3 Abs. 17/18 VerpackDG definieren zusätzlich national 'Erstinverkehrbringer' und 'Inverkehrbringer' (für §§ 12 ff.); Rücknahmepflichten §§ 39 ff.</w:t>
      </w:r>
    </w:p>
    <w:p>
      <w:pPr>
        <w:spacing w:after="20" w:before="60"/>
      </w:pPr>
      <w:r>
        <w:rPr>
          <w:rFonts w:ascii="Arial" w:cs="Arial" w:eastAsia="Arial" w:hAnsi="Arial"/>
          <w:b/>
          <w:bCs/>
          <w:sz w:val="18"/>
          <w:szCs w:val="18"/>
        </w:rPr>
        <w:t xml:space="preserve">Leitfaden-Bezug:</w:t>
      </w:r>
    </w:p>
    <w:p>
      <w:pPr>
        <w:spacing w:after="40" w:before="0"/>
      </w:pPr>
      <w:r>
        <w:rPr>
          <w:rFonts w:ascii="Arial" w:cs="Arial" w:eastAsia="Arial" w:hAnsi="Arial"/>
          <w:sz w:val="18"/>
          <w:szCs w:val="18"/>
        </w:rPr>
        <w:t xml:space="preserve">Leitfaden C(2026)3702, Abschn. 3 und 4.</w:t>
      </w:r>
    </w:p>
    <w:p>
      <w:pPr>
        <w:keepNext/>
        <w:pBdr>
          <w:top w:val="single" w:color="24A27F" w:sz="4" w:space="4"/>
        </w:pBdr>
        <w:spacing w:after="40" w:before="260"/>
      </w:pPr>
      <w:r>
        <w:rPr>
          <w:rFonts w:ascii="Arial" w:cs="Arial" w:eastAsia="Arial" w:hAnsi="Arial"/>
          <w:b/>
          <w:bCs/>
          <w:color w:val="004494"/>
          <w:sz w:val="22"/>
          <w:szCs w:val="22"/>
        </w:rPr>
        <w:t xml:space="preserve">wirtschaftsakteur  </w:t>
      </w:r>
      <w:r>
        <w:rPr>
          <w:rFonts w:ascii="Arial" w:cs="Arial" w:eastAsia="Arial" w:hAnsi="Arial"/>
          <w:b/>
          <w:bCs/>
          <w:sz w:val="22"/>
          <w:szCs w:val="22"/>
        </w:rPr>
        <w:t xml:space="preserve">Wirtschaftsakteur (economic operator)</w:t>
      </w:r>
    </w:p>
    <w:p>
      <w:pPr>
        <w:spacing w:after="60" w:before="0"/>
      </w:pPr>
      <w:r>
        <w:rPr>
          <w:rFonts w:ascii="Arial" w:cs="Arial" w:eastAsia="Arial" w:hAnsi="Arial"/>
          <w:color w:val="6B7280"/>
          <w:sz w:val="16"/>
          <w:szCs w:val="16"/>
        </w:rPr>
        <w:t xml:space="preserve">sammelbegriff · Fundstelle: Art. 3 Abs. 1 Nr. 12 VO (EU) 2025/40</w:t>
      </w:r>
    </w:p>
    <w:p>
      <w:pPr>
        <w:spacing w:after="20" w:before="60"/>
      </w:pPr>
      <w:r>
        <w:rPr>
          <w:rFonts w:ascii="Arial" w:cs="Arial" w:eastAsia="Arial" w:hAnsi="Arial"/>
          <w:b/>
          <w:bCs/>
          <w:sz w:val="18"/>
          <w:szCs w:val="18"/>
        </w:rPr>
        <w:t xml:space="preserve">Definition:</w:t>
      </w:r>
    </w:p>
    <w:p>
      <w:pPr>
        <w:spacing w:after="40" w:before="0"/>
      </w:pPr>
      <w:r>
        <w:rPr>
          <w:rFonts w:ascii="Arial" w:cs="Arial" w:eastAsia="Arial" w:hAnsi="Arial"/>
          <w:sz w:val="18"/>
          <w:szCs w:val="18"/>
        </w:rPr>
        <w:t xml:space="preserve">Sammelbegriff: der Erzeuger, der Lieferant, der Importeur, der Vertreiber, der Bevollmächtigte, der Endvertreiber und der Fulfillment-Dienstleister.</w:t>
      </w:r>
    </w:p>
    <w:p>
      <w:pPr>
        <w:spacing w:after="20" w:before="60"/>
      </w:pPr>
      <w:r>
        <w:rPr>
          <w:rFonts w:ascii="Arial" w:cs="Arial" w:eastAsia="Arial" w:hAnsi="Arial"/>
          <w:b/>
          <w:bCs/>
          <w:sz w:val="18"/>
          <w:szCs w:val="18"/>
        </w:rPr>
        <w:t xml:space="preserve">Abgrenzung:</w:t>
      </w:r>
    </w:p>
    <w:p>
      <w:pPr>
        <w:spacing w:after="40" w:before="0"/>
      </w:pPr>
      <w:r>
        <w:rPr>
          <w:rFonts w:ascii="Arial" w:cs="Arial" w:eastAsia="Arial" w:hAnsi="Arial"/>
          <w:sz w:val="18"/>
          <w:szCs w:val="18"/>
        </w:rPr>
        <w:t xml:space="preserve">Der 'Hersteller' (Nr. 15) ist in der Aufzählung NICHT genannt: Er ist keine eigenständige Akteursart, sondern eine Querschnittsrolle, die einem Erzeuger, Importeur oder Vertreiber zusätzlich zufällt.</w:t>
      </w:r>
    </w:p>
    <w:p>
      <w:pPr>
        <w:spacing w:after="20" w:before="60"/>
      </w:pPr>
      <w:r>
        <w:rPr>
          <w:rFonts w:ascii="Arial" w:cs="Arial" w:eastAsia="Arial" w:hAnsi="Arial"/>
          <w:b/>
          <w:bCs/>
          <w:sz w:val="18"/>
          <w:szCs w:val="18"/>
        </w:rPr>
        <w:t xml:space="preserve">Verwechslungsfälle:</w:t>
      </w:r>
    </w:p>
    <w:p>
      <w:pPr>
        <w:spacing w:after="40" w:before="0"/>
      </w:pPr>
      <w:r>
        <w:rPr>
          <w:rFonts w:ascii="Arial" w:cs="Arial" w:eastAsia="Arial" w:hAnsi="Arial"/>
          <w:sz w:val="18"/>
          <w:szCs w:val="18"/>
        </w:rPr>
        <w:t xml:space="preserve">Nutzer erwarten 'Hersteller' in der Liste; das Fehlen ist gewollt und muss im UI erklärt werden.</w:t>
      </w:r>
    </w:p>
    <w:p>
      <w:pPr>
        <w:spacing w:after="20" w:before="60"/>
      </w:pPr>
      <w:r>
        <w:rPr>
          <w:rFonts w:ascii="Arial" w:cs="Arial" w:eastAsia="Arial" w:hAnsi="Arial"/>
          <w:b/>
          <w:bCs/>
          <w:sz w:val="18"/>
          <w:szCs w:val="18"/>
        </w:rPr>
        <w:t xml:space="preserve">VerpackDG-Bezug:</w:t>
      </w:r>
    </w:p>
    <w:p>
      <w:pPr>
        <w:spacing w:after="40" w:before="0"/>
      </w:pPr>
      <w:r>
        <w:rPr>
          <w:rFonts w:ascii="Arial" w:cs="Arial" w:eastAsia="Arial" w:hAnsi="Arial"/>
          <w:sz w:val="18"/>
          <w:szCs w:val="18"/>
        </w:rPr>
        <w:t xml:space="preserve">—</w:t>
      </w:r>
    </w:p>
    <w:p>
      <w:pPr>
        <w:spacing w:after="20" w:before="60"/>
      </w:pPr>
      <w:r>
        <w:rPr>
          <w:rFonts w:ascii="Arial" w:cs="Arial" w:eastAsia="Arial" w:hAnsi="Arial"/>
          <w:b/>
          <w:bCs/>
          <w:sz w:val="18"/>
          <w:szCs w:val="18"/>
        </w:rPr>
        <w:t xml:space="preserve">Leitfaden-Bezug:</w:t>
      </w:r>
    </w:p>
    <w:p>
      <w:pPr>
        <w:spacing w:after="40" w:before="0"/>
      </w:pPr>
      <w:r>
        <w:rPr>
          <w:rFonts w:ascii="Arial" w:cs="Arial" w:eastAsia="Arial" w:hAnsi="Arial"/>
          <w:sz w:val="18"/>
          <w:szCs w:val="18"/>
        </w:rPr>
        <w:t xml:space="preserve">—</w:t>
      </w:r>
    </w:p>
    <w:p>
      <w:pPr>
        <w:pStyle w:val="Heading1"/>
        <w:pageBreakBefore/>
        <w:spacing w:after="160" w:before="0"/>
      </w:pPr>
      <w:r>
        <w:rPr>
          <w:rFonts w:ascii="Arial" w:cs="Arial" w:eastAsia="Arial" w:hAnsi="Arial"/>
          <w:b/>
          <w:bCs/>
          <w:color w:val="004494"/>
          <w:sz w:val="30"/>
          <w:szCs w:val="30"/>
        </w:rPr>
        <w:t xml:space="preserve">4. Regeln der Rollen-Engine (23)</w:t>
      </w:r>
    </w:p>
    <w:p>
      <w:pPr>
        <w:keepNext/>
        <w:pBdr>
          <w:top w:val="single" w:color="24A27F" w:sz="4" w:space="4"/>
        </w:pBdr>
        <w:spacing w:after="40" w:before="260"/>
      </w:pPr>
      <w:r>
        <w:rPr>
          <w:rFonts w:ascii="Arial" w:cs="Arial" w:eastAsia="Arial" w:hAnsi="Arial"/>
          <w:b/>
          <w:bCs/>
          <w:color w:val="004494"/>
          <w:sz w:val="22"/>
          <w:szCs w:val="22"/>
        </w:rPr>
        <w:t xml:space="preserve">Regel A3  </w:t>
      </w:r>
      <w:r>
        <w:rPr>
          <w:rFonts w:ascii="Arial" w:cs="Arial" w:eastAsia="Arial" w:hAnsi="Arial"/>
          <w:b/>
          <w:bCs/>
          <w:sz w:val="22"/>
          <w:szCs w:val="22"/>
        </w:rPr>
        <w:t xml:space="preserve">Block „erzeuger“ · EU-weit</w:t>
      </w:r>
    </w:p>
    <w:p>
      <w:pPr>
        <w:spacing w:after="60" w:before="0"/>
      </w:pPr>
      <w:r>
        <w:rPr>
          <w:rFonts w:ascii="Arial" w:cs="Arial" w:eastAsia="Arial" w:hAnsi="Arial"/>
          <w:color w:val="6B7280"/>
          <w:sz w:val="16"/>
          <w:szCs w:val="16"/>
        </w:rPr>
        <w:t xml:space="preserve">Priorität 5 · Fundstellen: Art. 3 Abs. 1 Nr. 13 lit. b VO (EU) 2025/40; Leitfaden C(2026)3702, Abschn. 2 (gilt unabhängig davon, ob der Lieferant selbst Kleinstunternehmen ist; Verbund-/Franchise-Berechnung nach Art. 3 Empf. 2003/361/EG)</w:t>
      </w:r>
    </w:p>
    <w:p>
      <w:pPr>
        <w:spacing w:after="20" w:before="60"/>
      </w:pPr>
      <w:r>
        <w:rPr>
          <w:rFonts w:ascii="Arial" w:cs="Arial" w:eastAsia="Arial" w:hAnsi="Arial"/>
          <w:b/>
          <w:bCs/>
          <w:sz w:val="18"/>
          <w:szCs w:val="18"/>
        </w:rPr>
        <w:t xml:space="preserve">Wenn:</w:t>
      </w:r>
    </w:p>
    <w:p>
      <w:pPr>
        <w:spacing w:after="40" w:before="0"/>
      </w:pPr>
      <w:r>
        <w:rPr>
          <w:rFonts w:ascii="Arial" w:cs="Arial" w:eastAsia="Arial" w:hAnsi="Arial"/>
          <w:sz w:val="18"/>
          <w:szCs w:val="18"/>
        </w:rPr>
        <w:t xml:space="preserve">regel A2 erfüllt UND unternehmensgroesse = kleinstunternehmen (Stand 11.02.2025) UND verpackungslieferant_sitz = gleicher_mitgliedstaat</w:t>
      </w:r>
    </w:p>
    <w:p>
      <w:pPr>
        <w:spacing w:after="20" w:before="60"/>
      </w:pPr>
      <w:r>
        <w:rPr>
          <w:rFonts w:ascii="Arial" w:cs="Arial" w:eastAsia="Arial" w:hAnsi="Arial"/>
          <w:b/>
          <w:bCs/>
          <w:sz w:val="18"/>
          <w:szCs w:val="18"/>
        </w:rPr>
        <w:t xml:space="preserve">Dann:</w:t>
      </w:r>
    </w:p>
    <w:p>
      <w:pPr>
        <w:spacing w:after="40" w:before="0"/>
      </w:pPr>
      <w:r>
        <w:rPr>
          <w:rFonts w:ascii="Arial" w:cs="Arial" w:eastAsia="Arial" w:hAnsi="Arial"/>
          <w:sz w:val="18"/>
          <w:szCs w:val="18"/>
        </w:rPr>
        <w:t xml:space="preserve">erzeuger_ist_lieferant (eigene Rolle: lieferant_als_erzeuger; Markeninhaber entlastet)</w:t>
      </w:r>
    </w:p>
    <w:p>
      <w:pPr>
        <w:spacing w:after="20" w:before="60"/>
      </w:pPr>
      <w:r>
        <w:rPr>
          <w:rFonts w:ascii="Arial" w:cs="Arial" w:eastAsia="Arial" w:hAnsi="Arial"/>
          <w:b/>
          <w:bCs/>
          <w:sz w:val="18"/>
          <w:szCs w:val="18"/>
        </w:rPr>
        <w:t xml:space="preserve">Erläuterung:</w:t>
      </w:r>
    </w:p>
    <w:p>
      <w:pPr>
        <w:spacing w:after="40" w:before="0"/>
      </w:pPr>
      <w:r>
        <w:rPr>
          <w:rFonts w:ascii="Arial" w:cs="Arial" w:eastAsia="Arial" w:hAnsi="Arial"/>
          <w:sz w:val="18"/>
          <w:szCs w:val="18"/>
        </w:rPr>
        <w:t xml:space="preserve">Kleinstunternehmen: &lt; 10 Beschäftigte UND Jahresumsatz ODER Bilanzsumme ≤ 2 Mio. EUR (Empfehlung 2003/361/EG in der am 11.02.2025 geltenden Fassung). Beide Bedingungen (Größe + Lieferant im selben Mitgliedstaat) müssen kumulativ vorliegen, sonst bleibt der Markeninhaber Erzeuger.</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w:t>
      </w:r>
    </w:p>
    <w:p>
      <w:pPr>
        <w:keepNext/>
        <w:pBdr>
          <w:top w:val="single" w:color="24A27F" w:sz="4" w:space="4"/>
        </w:pBdr>
        <w:spacing w:after="40" w:before="260"/>
      </w:pPr>
      <w:r>
        <w:rPr>
          <w:rFonts w:ascii="Arial" w:cs="Arial" w:eastAsia="Arial" w:hAnsi="Arial"/>
          <w:b/>
          <w:bCs/>
          <w:color w:val="004494"/>
          <w:sz w:val="22"/>
          <w:szCs w:val="22"/>
        </w:rPr>
        <w:t xml:space="preserve">Regel A1  </w:t>
      </w:r>
      <w:r>
        <w:rPr>
          <w:rFonts w:ascii="Arial" w:cs="Arial" w:eastAsia="Arial" w:hAnsi="Arial"/>
          <w:b/>
          <w:bCs/>
          <w:sz w:val="22"/>
          <w:szCs w:val="22"/>
        </w:rPr>
        <w:t xml:space="preserve">Block „erzeuger“ · EU-weit (einmal je Verpackung)</w:t>
      </w:r>
    </w:p>
    <w:p>
      <w:pPr>
        <w:spacing w:after="60" w:before="0"/>
      </w:pPr>
      <w:r>
        <w:rPr>
          <w:rFonts w:ascii="Arial" w:cs="Arial" w:eastAsia="Arial" w:hAnsi="Arial"/>
          <w:color w:val="6B7280"/>
          <w:sz w:val="16"/>
          <w:szCs w:val="16"/>
        </w:rPr>
        <w:t xml:space="preserve">Priorität 10 · Fundstellen: Art. 3 Abs. 1 Nr. 13 VO (EU) 2025/40; Leitfaden C(2026)3702, Abschn. 2 (Abfüller-Regel)</w:t>
      </w:r>
    </w:p>
    <w:p>
      <w:pPr>
        <w:spacing w:after="20" w:before="60"/>
      </w:pPr>
      <w:r>
        <w:rPr>
          <w:rFonts w:ascii="Arial" w:cs="Arial" w:eastAsia="Arial" w:hAnsi="Arial"/>
          <w:b/>
          <w:bCs/>
          <w:sz w:val="18"/>
          <w:szCs w:val="18"/>
        </w:rPr>
        <w:t xml:space="preserve">Wenn:</w:t>
      </w:r>
    </w:p>
    <w:p>
      <w:pPr>
        <w:spacing w:after="40" w:before="0"/>
      </w:pPr>
      <w:r>
        <w:rPr>
          <w:rFonts w:ascii="Arial" w:cs="Arial" w:eastAsia="Arial" w:hAnsi="Arial"/>
          <w:sz w:val="18"/>
          <w:szCs w:val="18"/>
        </w:rPr>
        <w:t xml:space="preserve">verpackungsart IN (verkauf, um) UND taetigkeit ENTHÄLT befuellt_versiegelt UND bringt_in_verkehr = ja UND NOT regel A3</w:t>
      </w:r>
    </w:p>
    <w:p>
      <w:pPr>
        <w:spacing w:after="20" w:before="60"/>
      </w:pPr>
      <w:r>
        <w:rPr>
          <w:rFonts w:ascii="Arial" w:cs="Arial" w:eastAsia="Arial" w:hAnsi="Arial"/>
          <w:b/>
          <w:bCs/>
          <w:sz w:val="18"/>
          <w:szCs w:val="18"/>
        </w:rPr>
        <w:t xml:space="preserve">Dann:</w:t>
      </w:r>
    </w:p>
    <w:p>
      <w:pPr>
        <w:spacing w:after="40" w:before="0"/>
      </w:pPr>
      <w:r>
        <w:rPr>
          <w:rFonts w:ascii="Arial" w:cs="Arial" w:eastAsia="Arial" w:hAnsi="Arial"/>
          <w:sz w:val="18"/>
          <w:szCs w:val="18"/>
        </w:rPr>
        <w:t xml:space="preserve">erzeuger</w:t>
      </w:r>
    </w:p>
    <w:p>
      <w:pPr>
        <w:spacing w:after="20" w:before="60"/>
      </w:pPr>
      <w:r>
        <w:rPr>
          <w:rFonts w:ascii="Arial" w:cs="Arial" w:eastAsia="Arial" w:hAnsi="Arial"/>
          <w:b/>
          <w:bCs/>
          <w:sz w:val="18"/>
          <w:szCs w:val="18"/>
        </w:rPr>
        <w:t xml:space="preserve">Erläuterung:</w:t>
      </w:r>
    </w:p>
    <w:p>
      <w:pPr>
        <w:spacing w:after="40" w:before="0"/>
      </w:pPr>
      <w:r>
        <w:rPr>
          <w:rFonts w:ascii="Arial" w:cs="Arial" w:eastAsia="Arial" w:hAnsi="Arial"/>
          <w:sz w:val="18"/>
          <w:szCs w:val="18"/>
        </w:rPr>
        <w:t xml:space="preserve">Bei Verkaufs- und Umverpackungen ist Erzeuger regelmäßig, wer die finalen Verarbeitungsschritte (Zuschneiden, Befüllen, Versiegeln) vornimmt und die Verpackung bzw. das verpackte Produkt erstmals auf dem Unionsmarkt bereitstellt – häufig zugleich Markeninhaber des Produkts.</w:t>
      </w:r>
    </w:p>
    <w:p>
      <w:pPr>
        <w:keepNext/>
        <w:pBdr>
          <w:top w:val="single" w:color="24A27F" w:sz="4" w:space="4"/>
        </w:pBdr>
        <w:spacing w:after="40" w:before="260"/>
      </w:pPr>
      <w:r>
        <w:rPr>
          <w:rFonts w:ascii="Arial" w:cs="Arial" w:eastAsia="Arial" w:hAnsi="Arial"/>
          <w:b/>
          <w:bCs/>
          <w:color w:val="004494"/>
          <w:sz w:val="22"/>
          <w:szCs w:val="22"/>
        </w:rPr>
        <w:t xml:space="preserve">Regel A5  </w:t>
      </w:r>
      <w:r>
        <w:rPr>
          <w:rFonts w:ascii="Arial" w:cs="Arial" w:eastAsia="Arial" w:hAnsi="Arial"/>
          <w:b/>
          <w:bCs/>
          <w:sz w:val="22"/>
          <w:szCs w:val="22"/>
        </w:rPr>
        <w:t xml:space="preserve">Block „erzeuger“ · EU-weit</w:t>
      </w:r>
    </w:p>
    <w:p>
      <w:pPr>
        <w:spacing w:after="60" w:before="0"/>
      </w:pPr>
      <w:r>
        <w:rPr>
          <w:rFonts w:ascii="Arial" w:cs="Arial" w:eastAsia="Arial" w:hAnsi="Arial"/>
          <w:color w:val="6B7280"/>
          <w:sz w:val="16"/>
          <w:szCs w:val="16"/>
        </w:rPr>
        <w:t xml:space="preserve">Priorität 15 · Fundstellen: Art. 21 VO (EU) 2025/40; Leitfaden C(2026)3702, Abschn. 2</w:t>
      </w:r>
    </w:p>
    <w:p>
      <w:pPr>
        <w:spacing w:after="20" w:before="60"/>
      </w:pPr>
      <w:r>
        <w:rPr>
          <w:rFonts w:ascii="Arial" w:cs="Arial" w:eastAsia="Arial" w:hAnsi="Arial"/>
          <w:b/>
          <w:bCs/>
          <w:sz w:val="18"/>
          <w:szCs w:val="18"/>
        </w:rPr>
        <w:t xml:space="preserve">Wenn:</w:t>
      </w:r>
    </w:p>
    <w:p>
      <w:pPr>
        <w:spacing w:after="40" w:before="0"/>
      </w:pPr>
      <w:r>
        <w:rPr>
          <w:rFonts w:ascii="Arial" w:cs="Arial" w:eastAsia="Arial" w:hAnsi="Arial"/>
          <w:sz w:val="18"/>
          <w:szCs w:val="18"/>
        </w:rPr>
        <w:t xml:space="preserve">rolle_basis IN (importeur, vertreiber) UND (bringt_unter_eigenem_namen_in_verkehr = ja ODER veraendert_verpackung_konformitaetsrelevant = ja) UND NOT regel A3</w:t>
      </w:r>
    </w:p>
    <w:p>
      <w:pPr>
        <w:spacing w:after="20" w:before="60"/>
      </w:pPr>
      <w:r>
        <w:rPr>
          <w:rFonts w:ascii="Arial" w:cs="Arial" w:eastAsia="Arial" w:hAnsi="Arial"/>
          <w:b/>
          <w:bCs/>
          <w:sz w:val="18"/>
          <w:szCs w:val="18"/>
        </w:rPr>
        <w:t xml:space="preserve">Dann:</w:t>
      </w:r>
    </w:p>
    <w:p>
      <w:pPr>
        <w:spacing w:after="40" w:before="0"/>
      </w:pPr>
      <w:r>
        <w:rPr>
          <w:rFonts w:ascii="Arial" w:cs="Arial" w:eastAsia="Arial" w:hAnsi="Arial"/>
          <w:sz w:val="18"/>
          <w:szCs w:val="18"/>
        </w:rPr>
        <w:t xml:space="preserve">erzeuger (Zurechnung; zusätzlich zur Basisrolle)</w:t>
      </w:r>
    </w:p>
    <w:p>
      <w:pPr>
        <w:spacing w:after="20" w:before="60"/>
      </w:pPr>
      <w:r>
        <w:rPr>
          <w:rFonts w:ascii="Arial" w:cs="Arial" w:eastAsia="Arial" w:hAnsi="Arial"/>
          <w:b/>
          <w:bCs/>
          <w:sz w:val="18"/>
          <w:szCs w:val="18"/>
        </w:rPr>
        <w:t xml:space="preserve">Erläuterung:</w:t>
      </w:r>
    </w:p>
    <w:p>
      <w:pPr>
        <w:spacing w:after="40" w:before="0"/>
      </w:pPr>
      <w:r>
        <w:rPr>
          <w:rFonts w:ascii="Arial" w:cs="Arial" w:eastAsia="Arial" w:hAnsi="Arial"/>
          <w:sz w:val="18"/>
          <w:szCs w:val="18"/>
        </w:rPr>
        <w:t xml:space="preserve">Importeure und Vertreiber gelten als Erzeuger, wenn sie Verpackungen unter eigenem Namen/eigener Marke in Verkehr bringen oder bereits in Verkehr gebrachte Verpackungen so verändern, dass die Konformität berührt sein kann. Übernahme sämtlicher Erzeugerpflichten. [Ergänzt 18.07.2026, aus App-Engine-Test: Der NOT-A3-Vorbehalt verhindert, dass die Art.-21-Zurechnung die Kleinstunternehmen-Entlastung des Art. 3 Abs. 1 Nr. 13 lit. b wieder aushebelt – Wechselwirkung über die Auffang-Vertreiberrolle. In Cattwyk-Session bestätigen.] | Delta 17.10.2026: vgl. Praxisfrage A30 (Versandetikett ist kein Branding, Kommissions-FAQ 2. Ed.).</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w:t>
      </w:r>
    </w:p>
    <w:p>
      <w:pPr>
        <w:keepNext/>
        <w:pBdr>
          <w:top w:val="single" w:color="24A27F" w:sz="4" w:space="4"/>
        </w:pBdr>
        <w:spacing w:after="40" w:before="260"/>
      </w:pPr>
      <w:r>
        <w:rPr>
          <w:rFonts w:ascii="Arial" w:cs="Arial" w:eastAsia="Arial" w:hAnsi="Arial"/>
          <w:b/>
          <w:bCs/>
          <w:color w:val="004494"/>
          <w:sz w:val="22"/>
          <w:szCs w:val="22"/>
        </w:rPr>
        <w:t xml:space="preserve">Regel A2  </w:t>
      </w:r>
      <w:r>
        <w:rPr>
          <w:rFonts w:ascii="Arial" w:cs="Arial" w:eastAsia="Arial" w:hAnsi="Arial"/>
          <w:b/>
          <w:bCs/>
          <w:sz w:val="22"/>
          <w:szCs w:val="22"/>
        </w:rPr>
        <w:t xml:space="preserve">Block „erzeuger“ · EU-weit</w:t>
      </w:r>
    </w:p>
    <w:p>
      <w:pPr>
        <w:spacing w:after="60" w:before="0"/>
      </w:pPr>
      <w:r>
        <w:rPr>
          <w:rFonts w:ascii="Arial" w:cs="Arial" w:eastAsia="Arial" w:hAnsi="Arial"/>
          <w:color w:val="6B7280"/>
          <w:sz w:val="16"/>
          <w:szCs w:val="16"/>
        </w:rPr>
        <w:t xml:space="preserve">Priorität 20 · Fundstellen: Art. 3 Abs. 1 Nr. 13 lit. a VO (EU) 2025/40; Leitfaden C(2026)3702, Abschn. 2 (Markenkriterium)</w:t>
      </w:r>
    </w:p>
    <w:p>
      <w:pPr>
        <w:spacing w:after="20" w:before="60"/>
      </w:pPr>
      <w:r>
        <w:rPr>
          <w:rFonts w:ascii="Arial" w:cs="Arial" w:eastAsia="Arial" w:hAnsi="Arial"/>
          <w:b/>
          <w:bCs/>
          <w:sz w:val="18"/>
          <w:szCs w:val="18"/>
        </w:rPr>
        <w:t xml:space="preserve">Wenn:</w:t>
      </w:r>
    </w:p>
    <w:p>
      <w:pPr>
        <w:spacing w:after="40" w:before="0"/>
      </w:pPr>
      <w:r>
        <w:rPr>
          <w:rFonts w:ascii="Arial" w:cs="Arial" w:eastAsia="Arial" w:hAnsi="Arial"/>
          <w:sz w:val="18"/>
          <w:szCs w:val="18"/>
        </w:rPr>
        <w:t xml:space="preserve">marke_auf_verpackung = eigene UND taetigkeit ENTHÄLT (entwickeln_lassen ODER herstellen_lassen) UND NOT regel A3</w:t>
      </w:r>
    </w:p>
    <w:p>
      <w:pPr>
        <w:spacing w:after="20" w:before="60"/>
      </w:pPr>
      <w:r>
        <w:rPr>
          <w:rFonts w:ascii="Arial" w:cs="Arial" w:eastAsia="Arial" w:hAnsi="Arial"/>
          <w:b/>
          <w:bCs/>
          <w:sz w:val="18"/>
          <w:szCs w:val="18"/>
        </w:rPr>
        <w:t xml:space="preserve">Dann:</w:t>
      </w:r>
    </w:p>
    <w:p>
      <w:pPr>
        <w:spacing w:after="40" w:before="0"/>
      </w:pPr>
      <w:r>
        <w:rPr>
          <w:rFonts w:ascii="Arial" w:cs="Arial" w:eastAsia="Arial" w:hAnsi="Arial"/>
          <w:sz w:val="18"/>
          <w:szCs w:val="18"/>
        </w:rPr>
        <w:t xml:space="preserve">erzeuger</w:t>
      </w:r>
    </w:p>
    <w:p>
      <w:pPr>
        <w:spacing w:after="20" w:before="60"/>
      </w:pPr>
      <w:r>
        <w:rPr>
          <w:rFonts w:ascii="Arial" w:cs="Arial" w:eastAsia="Arial" w:hAnsi="Arial"/>
          <w:b/>
          <w:bCs/>
          <w:sz w:val="18"/>
          <w:szCs w:val="18"/>
        </w:rPr>
        <w:t xml:space="preserve">Erläuterung:</w:t>
      </w:r>
    </w:p>
    <w:p>
      <w:pPr>
        <w:spacing w:after="40" w:before="0"/>
      </w:pPr>
      <w:r>
        <w:rPr>
          <w:rFonts w:ascii="Arial" w:cs="Arial" w:eastAsia="Arial" w:hAnsi="Arial"/>
          <w:sz w:val="18"/>
          <w:szCs w:val="18"/>
        </w:rPr>
        <w:t xml:space="preserve">Wer Verpackung oder verpacktes Produkt unter eigenem Namen/eigener Marke entwickeln oder herstellen lässt, ist Erzeuger – unabhängig von physischer Produktion und unabhängig davon, ob weitere Marken sichtbar sind (Private-Label-Fall).</w:t>
      </w:r>
    </w:p>
    <w:p>
      <w:pPr>
        <w:keepNext/>
        <w:pBdr>
          <w:top w:val="single" w:color="24A27F" w:sz="4" w:space="4"/>
        </w:pBdr>
        <w:spacing w:after="40" w:before="260"/>
      </w:pPr>
      <w:r>
        <w:rPr>
          <w:rFonts w:ascii="Arial" w:cs="Arial" w:eastAsia="Arial" w:hAnsi="Arial"/>
          <w:b/>
          <w:bCs/>
          <w:color w:val="004494"/>
          <w:sz w:val="22"/>
          <w:szCs w:val="22"/>
        </w:rPr>
        <w:t xml:space="preserve">Regel A4  </w:t>
      </w:r>
      <w:r>
        <w:rPr>
          <w:rFonts w:ascii="Arial" w:cs="Arial" w:eastAsia="Arial" w:hAnsi="Arial"/>
          <w:b/>
          <w:bCs/>
          <w:sz w:val="22"/>
          <w:szCs w:val="22"/>
        </w:rPr>
        <w:t xml:space="preserve">Block „erzeuger“ · EU-weit</w:t>
      </w:r>
    </w:p>
    <w:p>
      <w:pPr>
        <w:spacing w:after="60" w:before="0"/>
      </w:pPr>
      <w:r>
        <w:rPr>
          <w:rFonts w:ascii="Arial" w:cs="Arial" w:eastAsia="Arial" w:hAnsi="Arial"/>
          <w:color w:val="6B7280"/>
          <w:sz w:val="16"/>
          <w:szCs w:val="16"/>
        </w:rPr>
        <w:t xml:space="preserve">Priorität 30 · Fundstellen: Art. 3 Abs. 1 Nr. 13 VO (EU) 2025/40; Leitfaden C(2026)3702, Abschn. 2 (bei Transport-/Service-/Primärproduktionsverpackung regelmäßig der Verpackungshersteller; bei Branding durch den Nutzer dieser; ohne Marke: wer bestellt und Designspezifikationen festlegt)</w:t>
      </w:r>
    </w:p>
    <w:p>
      <w:pPr>
        <w:spacing w:after="20" w:before="60"/>
      </w:pPr>
      <w:r>
        <w:rPr>
          <w:rFonts w:ascii="Arial" w:cs="Arial" w:eastAsia="Arial" w:hAnsi="Arial"/>
          <w:b/>
          <w:bCs/>
          <w:sz w:val="18"/>
          <w:szCs w:val="18"/>
        </w:rPr>
        <w:t xml:space="preserve">Wenn:</w:t>
      </w:r>
    </w:p>
    <w:p>
      <w:pPr>
        <w:spacing w:after="40" w:before="0"/>
      </w:pPr>
      <w:r>
        <w:rPr>
          <w:rFonts w:ascii="Arial" w:cs="Arial" w:eastAsia="Arial" w:hAnsi="Arial"/>
          <w:sz w:val="18"/>
          <w:szCs w:val="18"/>
        </w:rPr>
        <w:t xml:space="preserve">verpackungsart IN (transport, service, primaerproduktion) UND marke_auf_verpackung != nutzer_marke UND taetigkeit ENTHÄLT stellt_verpackung_physisch_her</w:t>
      </w:r>
    </w:p>
    <w:p>
      <w:pPr>
        <w:spacing w:after="20" w:before="60"/>
      </w:pPr>
      <w:r>
        <w:rPr>
          <w:rFonts w:ascii="Arial" w:cs="Arial" w:eastAsia="Arial" w:hAnsi="Arial"/>
          <w:b/>
          <w:bCs/>
          <w:sz w:val="18"/>
          <w:szCs w:val="18"/>
        </w:rPr>
        <w:t xml:space="preserve">Dann:</w:t>
      </w:r>
    </w:p>
    <w:p>
      <w:pPr>
        <w:spacing w:after="40" w:before="0"/>
      </w:pPr>
      <w:r>
        <w:rPr>
          <w:rFonts w:ascii="Arial" w:cs="Arial" w:eastAsia="Arial" w:hAnsi="Arial"/>
          <w:sz w:val="18"/>
          <w:szCs w:val="18"/>
        </w:rPr>
        <w:t xml:space="preserve">erzeuger</w:t>
      </w:r>
    </w:p>
    <w:p>
      <w:pPr>
        <w:spacing w:after="20" w:before="60"/>
      </w:pPr>
      <w:r>
        <w:rPr>
          <w:rFonts w:ascii="Arial" w:cs="Arial" w:eastAsia="Arial" w:hAnsi="Arial"/>
          <w:b/>
          <w:bCs/>
          <w:sz w:val="18"/>
          <w:szCs w:val="18"/>
        </w:rPr>
        <w:t xml:space="preserve">Erläuterung:</w:t>
      </w:r>
    </w:p>
    <w:p>
      <w:pPr>
        <w:spacing w:after="40" w:before="0"/>
      </w:pPr>
      <w:r>
        <w:rPr>
          <w:rFonts w:ascii="Arial" w:cs="Arial" w:eastAsia="Arial" w:hAnsi="Arial"/>
          <w:sz w:val="18"/>
          <w:szCs w:val="18"/>
        </w:rPr>
        <w:t xml:space="preserve">Für leere Gebrauchsverpackungen ist der physische Hersteller Erzeuger, außer die Verpackung trägt die Marke des Verwenders. Unbrandete Sonderanfertigungen: Besteller mit Design-Hoheit.</w:t>
      </w:r>
    </w:p>
    <w:p>
      <w:pPr>
        <w:keepNext/>
        <w:pBdr>
          <w:top w:val="single" w:color="24A27F" w:sz="4" w:space="4"/>
        </w:pBdr>
        <w:spacing w:after="40" w:before="260"/>
      </w:pPr>
      <w:r>
        <w:rPr>
          <w:rFonts w:ascii="Arial" w:cs="Arial" w:eastAsia="Arial" w:hAnsi="Arial"/>
          <w:b/>
          <w:bCs/>
          <w:color w:val="004494"/>
          <w:sz w:val="22"/>
          <w:szCs w:val="22"/>
        </w:rPr>
        <w:t xml:space="preserve">Regel B1  </w:t>
      </w:r>
      <w:r>
        <w:rPr>
          <w:rFonts w:ascii="Arial" w:cs="Arial" w:eastAsia="Arial" w:hAnsi="Arial"/>
          <w:b/>
          <w:bCs/>
          <w:sz w:val="22"/>
          <w:szCs w:val="22"/>
        </w:rPr>
        <w:t xml:space="preserve">Block „hersteller“ · DE (je Mitgliedstaat)</w:t>
      </w:r>
    </w:p>
    <w:p>
      <w:pPr>
        <w:spacing w:after="60" w:before="0"/>
      </w:pPr>
      <w:r>
        <w:rPr>
          <w:rFonts w:ascii="Arial" w:cs="Arial" w:eastAsia="Arial" w:hAnsi="Arial"/>
          <w:color w:val="6B7280"/>
          <w:sz w:val="16"/>
          <w:szCs w:val="16"/>
        </w:rPr>
        <w:t xml:space="preserve">Priorität 10 · Fundstellen: Art. 3 Abs. 1 Nr. 15 lit. a VO (EU) 2025/40; Leitfaden C(2026)3702, Abschn. 3; ErwG 122; EUNR-Papier 06/2026 (Sekundärquelle: Lieferkette beginnt bei der fertigen leeren Verpackung; bei Folien u. ä. erst mit der Befüllung)</w:t>
      </w:r>
    </w:p>
    <w:p>
      <w:pPr>
        <w:spacing w:after="20" w:before="60"/>
      </w:pPr>
      <w:r>
        <w:rPr>
          <w:rFonts w:ascii="Arial" w:cs="Arial" w:eastAsia="Arial" w:hAnsi="Arial"/>
          <w:b/>
          <w:bCs/>
          <w:sz w:val="18"/>
          <w:szCs w:val="18"/>
        </w:rPr>
        <w:t xml:space="preserve">Wenn:</w:t>
      </w:r>
    </w:p>
    <w:p>
      <w:pPr>
        <w:spacing w:after="40" w:before="0"/>
      </w:pPr>
      <w:r>
        <w:rPr>
          <w:rFonts w:ascii="Arial" w:cs="Arial" w:eastAsia="Arial" w:hAnsi="Arial"/>
          <w:sz w:val="18"/>
          <w:szCs w:val="18"/>
        </w:rPr>
        <w:t xml:space="preserve">verpackungsart IN (transport, service, primaerproduktion) UND zustand = leer UND sitz = DE UND erste_bereitstellung_aus_DE_in_DE = ja</w:t>
      </w:r>
    </w:p>
    <w:p>
      <w:pPr>
        <w:spacing w:after="20" w:before="60"/>
      </w:pPr>
      <w:r>
        <w:rPr>
          <w:rFonts w:ascii="Arial" w:cs="Arial" w:eastAsia="Arial" w:hAnsi="Arial"/>
          <w:b/>
          <w:bCs/>
          <w:sz w:val="18"/>
          <w:szCs w:val="18"/>
        </w:rPr>
        <w:t xml:space="preserve">Dann:</w:t>
      </w:r>
    </w:p>
    <w:p>
      <w:pPr>
        <w:spacing w:after="40" w:before="0"/>
      </w:pPr>
      <w:r>
        <w:rPr>
          <w:rFonts w:ascii="Arial" w:cs="Arial" w:eastAsia="Arial" w:hAnsi="Arial"/>
          <w:sz w:val="18"/>
          <w:szCs w:val="18"/>
        </w:rPr>
        <w:t xml:space="preserve">hersteller</w:t>
      </w:r>
    </w:p>
    <w:p>
      <w:pPr>
        <w:spacing w:after="20" w:before="60"/>
      </w:pPr>
      <w:r>
        <w:rPr>
          <w:rFonts w:ascii="Arial" w:cs="Arial" w:eastAsia="Arial" w:hAnsi="Arial"/>
          <w:b/>
          <w:bCs/>
          <w:sz w:val="18"/>
          <w:szCs w:val="18"/>
        </w:rPr>
        <w:t xml:space="preserve">Erläuterung:</w:t>
      </w:r>
    </w:p>
    <w:p>
      <w:pPr>
        <w:spacing w:after="40" w:before="0"/>
      </w:pPr>
      <w:r>
        <w:rPr>
          <w:rFonts w:ascii="Arial" w:cs="Arial" w:eastAsia="Arial" w:hAnsi="Arial"/>
          <w:sz w:val="18"/>
          <w:szCs w:val="18"/>
        </w:rPr>
        <w:t xml:space="preserve">Für Transport-, Service- und Primärproduktionsverpackungen wird der Hersteller anhand der LEEREN Verpackung bestimmt (Entlastung kleiner Befüller). Erst-Bereitsteller in DE = Hersteller. | Delta 17.10.2026: vgl. Praxisfrage A31 (Finalform-Doktrin, Kommissions-FAQ 2. Ed.).</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w:t>
      </w:r>
    </w:p>
    <w:p>
      <w:pPr>
        <w:keepNext/>
        <w:pBdr>
          <w:top w:val="single" w:color="24A27F" w:sz="4" w:space="4"/>
        </w:pBdr>
        <w:spacing w:after="40" w:before="260"/>
      </w:pPr>
      <w:r>
        <w:rPr>
          <w:rFonts w:ascii="Arial" w:cs="Arial" w:eastAsia="Arial" w:hAnsi="Arial"/>
          <w:b/>
          <w:bCs/>
          <w:color w:val="004494"/>
          <w:sz w:val="22"/>
          <w:szCs w:val="22"/>
        </w:rPr>
        <w:t xml:space="preserve">Regel B2  </w:t>
      </w:r>
      <w:r>
        <w:rPr>
          <w:rFonts w:ascii="Arial" w:cs="Arial" w:eastAsia="Arial" w:hAnsi="Arial"/>
          <w:b/>
          <w:bCs/>
          <w:sz w:val="22"/>
          <w:szCs w:val="22"/>
        </w:rPr>
        <w:t xml:space="preserve">Block „hersteller“ · DE</w:t>
      </w:r>
    </w:p>
    <w:p>
      <w:pPr>
        <w:spacing w:after="60" w:before="0"/>
      </w:pPr>
      <w:r>
        <w:rPr>
          <w:rFonts w:ascii="Arial" w:cs="Arial" w:eastAsia="Arial" w:hAnsi="Arial"/>
          <w:color w:val="6B7280"/>
          <w:sz w:val="16"/>
          <w:szCs w:val="16"/>
        </w:rPr>
        <w:t xml:space="preserve">Priorität 20 · Fundstellen: Art. 3 Abs. 1 Nr. 15 lit. b VO (EU) 2025/40; Leitfaden C(2026)3702, Abschn. 3 (Verkaufsverpackung: der Befüller, der erstmals im Mitgliedstaat bereitstellt); ErwG 122; EUNR-Papier</w:t>
      </w:r>
    </w:p>
    <w:p>
      <w:pPr>
        <w:spacing w:after="20" w:before="60"/>
      </w:pPr>
      <w:r>
        <w:rPr>
          <w:rFonts w:ascii="Arial" w:cs="Arial" w:eastAsia="Arial" w:hAnsi="Arial"/>
          <w:b/>
          <w:bCs/>
          <w:sz w:val="18"/>
          <w:szCs w:val="18"/>
        </w:rPr>
        <w:t xml:space="preserve">Wenn:</w:t>
      </w:r>
    </w:p>
    <w:p>
      <w:pPr>
        <w:spacing w:after="40" w:before="0"/>
      </w:pPr>
      <w:r>
        <w:rPr>
          <w:rFonts w:ascii="Arial" w:cs="Arial" w:eastAsia="Arial" w:hAnsi="Arial"/>
          <w:sz w:val="18"/>
          <w:szCs w:val="18"/>
        </w:rPr>
        <w:t xml:space="preserve">verpackungsart IN (verkauf, um, sonstige_befuellt) UND sitz = DE UND erste_bereitstellung_aus_DE_in_DE = ja</w:t>
      </w:r>
    </w:p>
    <w:p>
      <w:pPr>
        <w:spacing w:after="20" w:before="60"/>
      </w:pPr>
      <w:r>
        <w:rPr>
          <w:rFonts w:ascii="Arial" w:cs="Arial" w:eastAsia="Arial" w:hAnsi="Arial"/>
          <w:b/>
          <w:bCs/>
          <w:sz w:val="18"/>
          <w:szCs w:val="18"/>
        </w:rPr>
        <w:t xml:space="preserve">Dann:</w:t>
      </w:r>
    </w:p>
    <w:p>
      <w:pPr>
        <w:spacing w:after="40" w:before="0"/>
      </w:pPr>
      <w:r>
        <w:rPr>
          <w:rFonts w:ascii="Arial" w:cs="Arial" w:eastAsia="Arial" w:hAnsi="Arial"/>
          <w:sz w:val="18"/>
          <w:szCs w:val="18"/>
        </w:rPr>
        <w:t xml:space="preserve">hersteller</w:t>
      </w:r>
    </w:p>
    <w:p>
      <w:pPr>
        <w:spacing w:after="20" w:before="60"/>
      </w:pPr>
      <w:r>
        <w:rPr>
          <w:rFonts w:ascii="Arial" w:cs="Arial" w:eastAsia="Arial" w:hAnsi="Arial"/>
          <w:b/>
          <w:bCs/>
          <w:sz w:val="18"/>
          <w:szCs w:val="18"/>
        </w:rPr>
        <w:t xml:space="preserve">Erläuterung:</w:t>
      </w:r>
    </w:p>
    <w:p>
      <w:pPr>
        <w:spacing w:after="40" w:before="0"/>
      </w:pPr>
      <w:r>
        <w:rPr>
          <w:rFonts w:ascii="Arial" w:cs="Arial" w:eastAsia="Arial" w:hAnsi="Arial"/>
          <w:sz w:val="18"/>
          <w:szCs w:val="18"/>
        </w:rPr>
        <w:t xml:space="preserve">Bei verpackten Produkten ist Hersteller, wer sie erstmals in DE bereitstellt: der inländische Abfüller ODER – bei Bezug verpackter Ware aus anderem Mitgliedstaat/Drittland – das erste inländische Unternehmen in der Lieferkette.</w:t>
      </w:r>
    </w:p>
    <w:p>
      <w:pPr>
        <w:keepNext/>
        <w:pBdr>
          <w:top w:val="single" w:color="24A27F" w:sz="4" w:space="4"/>
        </w:pBdr>
        <w:spacing w:after="40" w:before="260"/>
      </w:pPr>
      <w:r>
        <w:rPr>
          <w:rFonts w:ascii="Arial" w:cs="Arial" w:eastAsia="Arial" w:hAnsi="Arial"/>
          <w:b/>
          <w:bCs/>
          <w:color w:val="004494"/>
          <w:sz w:val="22"/>
          <w:szCs w:val="22"/>
        </w:rPr>
        <w:t xml:space="preserve">Regel B3  </w:t>
      </w:r>
      <w:r>
        <w:rPr>
          <w:rFonts w:ascii="Arial" w:cs="Arial" w:eastAsia="Arial" w:hAnsi="Arial"/>
          <w:b/>
          <w:bCs/>
          <w:sz w:val="22"/>
          <w:szCs w:val="22"/>
        </w:rPr>
        <w:t xml:space="preserve">Block „hersteller“ · DE</w:t>
      </w:r>
    </w:p>
    <w:p>
      <w:pPr>
        <w:spacing w:after="60" w:before="0"/>
      </w:pPr>
      <w:r>
        <w:rPr>
          <w:rFonts w:ascii="Arial" w:cs="Arial" w:eastAsia="Arial" w:hAnsi="Arial"/>
          <w:color w:val="6B7280"/>
          <w:sz w:val="16"/>
          <w:szCs w:val="16"/>
        </w:rPr>
        <w:t xml:space="preserve">Priorität 30 · Fundstellen: Art. 3 Abs. 1 Nr. 15 lit. c und d VO (EU) 2025/40; § 5 Abs. 2 VerpackDG (BGBl. 2026 I Nr. 207); Leitfaden C(2026)3702, Abschn. 3 (distance seller is the producer; Plattform-Prüfpflichten); ErwG 123, 132</w:t>
      </w:r>
    </w:p>
    <w:p>
      <w:pPr>
        <w:spacing w:after="20" w:before="60"/>
      </w:pPr>
      <w:r>
        <w:rPr>
          <w:rFonts w:ascii="Arial" w:cs="Arial" w:eastAsia="Arial" w:hAnsi="Arial"/>
          <w:b/>
          <w:bCs/>
          <w:sz w:val="18"/>
          <w:szCs w:val="18"/>
        </w:rPr>
        <w:t xml:space="preserve">Wenn:</w:t>
      </w:r>
    </w:p>
    <w:p>
      <w:pPr>
        <w:spacing w:after="40" w:before="0"/>
      </w:pPr>
      <w:r>
        <w:rPr>
          <w:rFonts w:ascii="Arial" w:cs="Arial" w:eastAsia="Arial" w:hAnsi="Arial"/>
          <w:sz w:val="18"/>
          <w:szCs w:val="18"/>
        </w:rPr>
        <w:t xml:space="preserve">vertriebsweg ENTHÄLT fernabsatz_direkt_an_endabnehmer_DE UND sitz IN (anderer_mitgliedstaat, drittland)</w:t>
      </w:r>
    </w:p>
    <w:p>
      <w:pPr>
        <w:spacing w:after="20" w:before="60"/>
      </w:pPr>
      <w:r>
        <w:rPr>
          <w:rFonts w:ascii="Arial" w:cs="Arial" w:eastAsia="Arial" w:hAnsi="Arial"/>
          <w:b/>
          <w:bCs/>
          <w:sz w:val="18"/>
          <w:szCs w:val="18"/>
        </w:rPr>
        <w:t xml:space="preserve">Dann:</w:t>
      </w:r>
    </w:p>
    <w:p>
      <w:pPr>
        <w:spacing w:after="40" w:before="0"/>
      </w:pPr>
      <w:r>
        <w:rPr>
          <w:rFonts w:ascii="Arial" w:cs="Arial" w:eastAsia="Arial" w:hAnsi="Arial"/>
          <w:sz w:val="18"/>
          <w:szCs w:val="18"/>
        </w:rPr>
        <w:t xml:space="preserve">hersteller (in DE) + pflicht_bevollmaechtigter_ehv</w:t>
      </w:r>
    </w:p>
    <w:p>
      <w:pPr>
        <w:spacing w:after="20" w:before="60"/>
      </w:pPr>
      <w:r>
        <w:rPr>
          <w:rFonts w:ascii="Arial" w:cs="Arial" w:eastAsia="Arial" w:hAnsi="Arial"/>
          <w:b/>
          <w:bCs/>
          <w:sz w:val="18"/>
          <w:szCs w:val="18"/>
        </w:rPr>
        <w:t xml:space="preserve">Erläuterung:</w:t>
      </w:r>
    </w:p>
    <w:p>
      <w:pPr>
        <w:spacing w:after="40" w:before="0"/>
      </w:pPr>
      <w:r>
        <w:rPr>
          <w:rFonts w:ascii="Arial" w:cs="Arial" w:eastAsia="Arial" w:hAnsi="Arial"/>
          <w:sz w:val="18"/>
          <w:szCs w:val="18"/>
        </w:rPr>
        <w:t xml:space="preserve">Wer aus dem Ausland direkt an Endabnehmer in DE liefert, ist Hersteller in DE. Ohne Niederlassung im Bundesgebiet: Pflicht zur Beauftragung/Benennung eines Bevollmächtigten für die erweiterte Herstellerverantwortung vor der ersten Bereitstellung (Registrierung selbst ausgenommen). | Delta 17.10.2026: Watch-Item, vgl. Praxisfrage A35.</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w:t>
      </w:r>
    </w:p>
    <w:p>
      <w:pPr>
        <w:keepNext/>
        <w:pBdr>
          <w:top w:val="single" w:color="24A27F" w:sz="4" w:space="4"/>
        </w:pBdr>
        <w:spacing w:after="40" w:before="260"/>
      </w:pPr>
      <w:r>
        <w:rPr>
          <w:rFonts w:ascii="Arial" w:cs="Arial" w:eastAsia="Arial" w:hAnsi="Arial"/>
          <w:b/>
          <w:bCs/>
          <w:color w:val="004494"/>
          <w:sz w:val="22"/>
          <w:szCs w:val="22"/>
        </w:rPr>
        <w:t xml:space="preserve">Regel B4  </w:t>
      </w:r>
      <w:r>
        <w:rPr>
          <w:rFonts w:ascii="Arial" w:cs="Arial" w:eastAsia="Arial" w:hAnsi="Arial"/>
          <w:b/>
          <w:bCs/>
          <w:sz w:val="22"/>
          <w:szCs w:val="22"/>
        </w:rPr>
        <w:t xml:space="preserve">Block „hersteller“ · DE</w:t>
      </w:r>
    </w:p>
    <w:p>
      <w:pPr>
        <w:spacing w:after="60" w:before="0"/>
      </w:pPr>
      <w:r>
        <w:rPr>
          <w:rFonts w:ascii="Arial" w:cs="Arial" w:eastAsia="Arial" w:hAnsi="Arial"/>
          <w:color w:val="6B7280"/>
          <w:sz w:val="16"/>
          <w:szCs w:val="16"/>
        </w:rPr>
        <w:t xml:space="preserve">Priorität 40 · Fundstellen: Art. 3 Abs. 1 Nr. 15 lit. e VO (EU) 2025/40; § 6 Abs. 1 VerpackDG (Registrierung vor dem Auspacken); Leitfaden C(2026)3702, Abschn. 3 (Logistikunternehmen: Umpacken von Drittlandsware macht zum Hersteller der Transportverpackung, auch ohne Eigentum); ErwG 123</w:t>
      </w:r>
    </w:p>
    <w:p>
      <w:pPr>
        <w:spacing w:after="20" w:before="60"/>
      </w:pPr>
      <w:r>
        <w:rPr>
          <w:rFonts w:ascii="Arial" w:cs="Arial" w:eastAsia="Arial" w:hAnsi="Arial"/>
          <w:b/>
          <w:bCs/>
          <w:sz w:val="18"/>
          <w:szCs w:val="18"/>
        </w:rPr>
        <w:t xml:space="preserve">Wenn:</w:t>
      </w:r>
    </w:p>
    <w:p>
      <w:pPr>
        <w:spacing w:after="40" w:before="0"/>
      </w:pPr>
      <w:r>
        <w:rPr>
          <w:rFonts w:ascii="Arial" w:cs="Arial" w:eastAsia="Arial" w:hAnsi="Arial"/>
          <w:sz w:val="18"/>
          <w:szCs w:val="18"/>
        </w:rPr>
        <w:t xml:space="preserve">taetigkeit ENTHÄLT packt_aus UND ist_endabnehmer = nein UND kein_anderer_hersteller_nach_a_bis_d = ja</w:t>
      </w:r>
    </w:p>
    <w:p>
      <w:pPr>
        <w:spacing w:after="20" w:before="60"/>
      </w:pPr>
      <w:r>
        <w:rPr>
          <w:rFonts w:ascii="Arial" w:cs="Arial" w:eastAsia="Arial" w:hAnsi="Arial"/>
          <w:b/>
          <w:bCs/>
          <w:sz w:val="18"/>
          <w:szCs w:val="18"/>
        </w:rPr>
        <w:t xml:space="preserve">Dann:</w:t>
      </w:r>
    </w:p>
    <w:p>
      <w:pPr>
        <w:spacing w:after="40" w:before="0"/>
      </w:pPr>
      <w:r>
        <w:rPr>
          <w:rFonts w:ascii="Arial" w:cs="Arial" w:eastAsia="Arial" w:hAnsi="Arial"/>
          <w:sz w:val="18"/>
          <w:szCs w:val="18"/>
        </w:rPr>
        <w:t xml:space="preserve">hersteller (Auffangtatbestand)</w:t>
      </w:r>
    </w:p>
    <w:p>
      <w:pPr>
        <w:spacing w:after="20" w:before="60"/>
      </w:pPr>
      <w:r>
        <w:rPr>
          <w:rFonts w:ascii="Arial" w:cs="Arial" w:eastAsia="Arial" w:hAnsi="Arial"/>
          <w:b/>
          <w:bCs/>
          <w:sz w:val="18"/>
          <w:szCs w:val="18"/>
        </w:rPr>
        <w:t xml:space="preserve">Erläuterung:</w:t>
      </w:r>
    </w:p>
    <w:p>
      <w:pPr>
        <w:spacing w:after="40" w:before="0"/>
      </w:pPr>
      <w:r>
        <w:rPr>
          <w:rFonts w:ascii="Arial" w:cs="Arial" w:eastAsia="Arial" w:hAnsi="Arial"/>
          <w:sz w:val="18"/>
          <w:szCs w:val="18"/>
        </w:rPr>
        <w:t xml:space="preserve">Auspacker-Tatbestand: Wer verpackte Produkte auspackt, ohne Endabnehmer zu sein, wird Hersteller der anfallenden Verpackung, sofern kein anderer Hersteller nach lit. a–d existiert. Kernfall: Fulfillment/Logistik mit Drittlandsware. Registrierung VOR dem Auspacken.</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w:t>
      </w:r>
    </w:p>
    <w:p>
      <w:pPr>
        <w:keepNext/>
        <w:pBdr>
          <w:top w:val="single" w:color="24A27F" w:sz="4" w:space="4"/>
        </w:pBdr>
        <w:spacing w:after="40" w:before="260"/>
      </w:pPr>
      <w:r>
        <w:rPr>
          <w:rFonts w:ascii="Arial" w:cs="Arial" w:eastAsia="Arial" w:hAnsi="Arial"/>
          <w:b/>
          <w:bCs/>
          <w:color w:val="004494"/>
          <w:sz w:val="22"/>
          <w:szCs w:val="22"/>
        </w:rPr>
        <w:t xml:space="preserve">Regel B5  </w:t>
      </w:r>
      <w:r>
        <w:rPr>
          <w:rFonts w:ascii="Arial" w:cs="Arial" w:eastAsia="Arial" w:hAnsi="Arial"/>
          <w:b/>
          <w:bCs/>
          <w:sz w:val="22"/>
          <w:szCs w:val="22"/>
        </w:rPr>
        <w:t xml:space="preserve">Block „hersteller“ · DE/EU</w:t>
      </w:r>
    </w:p>
    <w:p>
      <w:pPr>
        <w:spacing w:after="60" w:before="0"/>
      </w:pPr>
      <w:r>
        <w:rPr>
          <w:rFonts w:ascii="Arial" w:cs="Arial" w:eastAsia="Arial" w:hAnsi="Arial"/>
          <w:color w:val="6B7280"/>
          <w:sz w:val="16"/>
          <w:szCs w:val="16"/>
        </w:rPr>
        <w:t xml:space="preserve">Priorität 50 · Fundstellen: Art. 3 Abs. 1 Nr. 15 i. V. m. Art. 45 VO (EU) 2025/40 (Systematik); Leitfaden C(2026)3702, Abschn. 3 (Export: kein producer, da kein Abfall in der EU erwartet; bei Weitervertrieb in anderen Mitgliedstaat: Gebührenerstattung)</w:t>
      </w:r>
    </w:p>
    <w:p>
      <w:pPr>
        <w:spacing w:after="20" w:before="60"/>
      </w:pPr>
      <w:r>
        <w:rPr>
          <w:rFonts w:ascii="Arial" w:cs="Arial" w:eastAsia="Arial" w:hAnsi="Arial"/>
          <w:b/>
          <w:bCs/>
          <w:sz w:val="18"/>
          <w:szCs w:val="18"/>
        </w:rPr>
        <w:t xml:space="preserve">Wenn:</w:t>
      </w:r>
    </w:p>
    <w:p>
      <w:pPr>
        <w:spacing w:after="40" w:before="0"/>
      </w:pPr>
      <w:r>
        <w:rPr>
          <w:rFonts w:ascii="Arial" w:cs="Arial" w:eastAsia="Arial" w:hAnsi="Arial"/>
          <w:sz w:val="18"/>
          <w:szCs w:val="18"/>
        </w:rPr>
        <w:t xml:space="preserve">warenstrom = export_aus_EU</w:t>
      </w:r>
    </w:p>
    <w:p>
      <w:pPr>
        <w:spacing w:after="20" w:before="60"/>
      </w:pPr>
      <w:r>
        <w:rPr>
          <w:rFonts w:ascii="Arial" w:cs="Arial" w:eastAsia="Arial" w:hAnsi="Arial"/>
          <w:b/>
          <w:bCs/>
          <w:sz w:val="18"/>
          <w:szCs w:val="18"/>
        </w:rPr>
        <w:t xml:space="preserve">Dann:</w:t>
      </w:r>
    </w:p>
    <w:p>
      <w:pPr>
        <w:spacing w:after="40" w:before="0"/>
      </w:pPr>
      <w:r>
        <w:rPr>
          <w:rFonts w:ascii="Arial" w:cs="Arial" w:eastAsia="Arial" w:hAnsi="Arial"/>
          <w:sz w:val="18"/>
          <w:szCs w:val="18"/>
        </w:rPr>
        <w:t xml:space="preserve">kein_hersteller (für diese Mengen)</w:t>
      </w:r>
    </w:p>
    <w:p>
      <w:pPr>
        <w:spacing w:after="20" w:before="60"/>
      </w:pPr>
      <w:r>
        <w:rPr>
          <w:rFonts w:ascii="Arial" w:cs="Arial" w:eastAsia="Arial" w:hAnsi="Arial"/>
          <w:b/>
          <w:bCs/>
          <w:sz w:val="18"/>
          <w:szCs w:val="18"/>
        </w:rPr>
        <w:t xml:space="preserve">Erläuterung:</w:t>
      </w:r>
    </w:p>
    <w:p>
      <w:pPr>
        <w:spacing w:after="40" w:before="0"/>
      </w:pPr>
      <w:r>
        <w:rPr>
          <w:rFonts w:ascii="Arial" w:cs="Arial" w:eastAsia="Arial" w:hAnsi="Arial"/>
          <w:sz w:val="18"/>
          <w:szCs w:val="18"/>
        </w:rPr>
        <w:t xml:space="preserve">Exportmengen lösen keine EPR in DE aus. Wird nach Gebührenzahlung in DE erstmals in einem anderen Mitgliedstaat bereitgestellt, sind die Beiträge zu erstatten; die Pflicht entsteht dort neu.</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w:t>
      </w:r>
    </w:p>
    <w:p>
      <w:pPr>
        <w:keepNext/>
        <w:pBdr>
          <w:top w:val="single" w:color="24A27F" w:sz="4" w:space="4"/>
        </w:pBdr>
        <w:spacing w:after="40" w:before="260"/>
      </w:pPr>
      <w:r>
        <w:rPr>
          <w:rFonts w:ascii="Arial" w:cs="Arial" w:eastAsia="Arial" w:hAnsi="Arial"/>
          <w:b/>
          <w:bCs/>
          <w:color w:val="004494"/>
          <w:sz w:val="22"/>
          <w:szCs w:val="22"/>
        </w:rPr>
        <w:t xml:space="preserve">Regel B6  </w:t>
      </w:r>
      <w:r>
        <w:rPr>
          <w:rFonts w:ascii="Arial" w:cs="Arial" w:eastAsia="Arial" w:hAnsi="Arial"/>
          <w:b/>
          <w:bCs/>
          <w:sz w:val="22"/>
          <w:szCs w:val="22"/>
        </w:rPr>
        <w:t xml:space="preserve">Block „hersteller“ · DE</w:t>
      </w:r>
    </w:p>
    <w:p>
      <w:pPr>
        <w:spacing w:after="60" w:before="0"/>
      </w:pPr>
      <w:r>
        <w:rPr>
          <w:rFonts w:ascii="Arial" w:cs="Arial" w:eastAsia="Arial" w:hAnsi="Arial"/>
          <w:color w:val="6B7280"/>
          <w:sz w:val="16"/>
          <w:szCs w:val="16"/>
        </w:rPr>
        <w:t xml:space="preserve">Priorität 60 · Fundstellen: §§ 6, 7, 9, 10 VerpackDG; Art. 44, 45 VO (EU) 2025/40; § 68 VerpackDG (Übergang, final: LUCID-Registrierungen gelten fort, Abs. 2 Satz 1; Änderungsmitteilungen bis 12.11.2026, Abs. 2 Satz 2; erstmals Verpflichtete bis 12.09.2026, Abs. 2 Satz 3; Alt-Systembeteiligungen längstens bis 31.12.2026, Abs. 1); § 68 Abs. 17: Bußgeldtatbestände für PPWR-Verstöße (§ 66 Abs. 2) erst ab 12.02.2027 anwendbar</w:t>
      </w:r>
    </w:p>
    <w:p>
      <w:pPr>
        <w:spacing w:after="20" w:before="60"/>
      </w:pPr>
      <w:r>
        <w:rPr>
          <w:rFonts w:ascii="Arial" w:cs="Arial" w:eastAsia="Arial" w:hAnsi="Arial"/>
          <w:b/>
          <w:bCs/>
          <w:sz w:val="18"/>
          <w:szCs w:val="18"/>
        </w:rPr>
        <w:t xml:space="preserve">Wenn:</w:t>
      </w:r>
    </w:p>
    <w:p>
      <w:pPr>
        <w:spacing w:after="40" w:before="0"/>
      </w:pPr>
      <w:r>
        <w:rPr>
          <w:rFonts w:ascii="Arial" w:cs="Arial" w:eastAsia="Arial" w:hAnsi="Arial"/>
          <w:sz w:val="18"/>
          <w:szCs w:val="18"/>
        </w:rPr>
        <w:t xml:space="preserve">rolle = hersteller UND verpackung IN systembeteiligungspflichtig (§ 3 Abs. 6 VerpackDG)</w:t>
      </w:r>
    </w:p>
    <w:p>
      <w:pPr>
        <w:spacing w:after="20" w:before="60"/>
      </w:pPr>
      <w:r>
        <w:rPr>
          <w:rFonts w:ascii="Arial" w:cs="Arial" w:eastAsia="Arial" w:hAnsi="Arial"/>
          <w:b/>
          <w:bCs/>
          <w:sz w:val="18"/>
          <w:szCs w:val="18"/>
        </w:rPr>
        <w:t xml:space="preserve">Dann:</w:t>
      </w:r>
    </w:p>
    <w:p>
      <w:pPr>
        <w:spacing w:after="40" w:before="0"/>
      </w:pPr>
      <w:r>
        <w:rPr>
          <w:rFonts w:ascii="Arial" w:cs="Arial" w:eastAsia="Arial" w:hAnsi="Arial"/>
          <w:sz w:val="18"/>
          <w:szCs w:val="18"/>
        </w:rPr>
        <w:t xml:space="preserve">rechtsfolgen_DE: registrierung_zsvr + systembeteiligung + datenmeldung</w:t>
      </w:r>
    </w:p>
    <w:p>
      <w:pPr>
        <w:spacing w:after="20" w:before="60"/>
      </w:pPr>
      <w:r>
        <w:rPr>
          <w:rFonts w:ascii="Arial" w:cs="Arial" w:eastAsia="Arial" w:hAnsi="Arial"/>
          <w:b/>
          <w:bCs/>
          <w:sz w:val="18"/>
          <w:szCs w:val="18"/>
        </w:rPr>
        <w:t xml:space="preserve">Erläuterung:</w:t>
      </w:r>
    </w:p>
    <w:p>
      <w:pPr>
        <w:spacing w:after="40" w:before="0"/>
      </w:pPr>
      <w:r>
        <w:rPr>
          <w:rFonts w:ascii="Arial" w:cs="Arial" w:eastAsia="Arial" w:hAnsi="Arial"/>
          <w:sz w:val="18"/>
          <w:szCs w:val="18"/>
        </w:rPr>
        <w:t xml:space="preserve">Rechtsfolgen-Kaskade in DE: Registrierung bei der ZSVR vor erstmaliger Bereitstellung bzw. vor dem Auspacken (§ 6 Abs. 1); Systembeteiligung mit Materialart/Masse (§ 7 Abs. 1); bei Serviceverpackungen Übertragungsmöglichkeit auf Vorvertreiber (§ 7 Abs. 2 – Auslegungsfrage, s. Review); Datenmeldung § 9; ggf. Vollständigkeitserklärung § 10.</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w:t>
      </w:r>
    </w:p>
    <w:p>
      <w:pPr>
        <w:keepNext/>
        <w:pBdr>
          <w:top w:val="single" w:color="24A27F" w:sz="4" w:space="4"/>
        </w:pBdr>
        <w:spacing w:after="40" w:before="260"/>
      </w:pPr>
      <w:r>
        <w:rPr>
          <w:rFonts w:ascii="Arial" w:cs="Arial" w:eastAsia="Arial" w:hAnsi="Arial"/>
          <w:b/>
          <w:bCs/>
          <w:color w:val="004494"/>
          <w:sz w:val="22"/>
          <w:szCs w:val="22"/>
        </w:rPr>
        <w:t xml:space="preserve">Regel Z1  </w:t>
      </w:r>
      <w:r>
        <w:rPr>
          <w:rFonts w:ascii="Arial" w:cs="Arial" w:eastAsia="Arial" w:hAnsi="Arial"/>
          <w:b/>
          <w:bCs/>
          <w:sz w:val="22"/>
          <w:szCs w:val="22"/>
        </w:rPr>
        <w:t xml:space="preserve">Block „output“ · —</w:t>
      </w:r>
    </w:p>
    <w:p>
      <w:pPr>
        <w:spacing w:after="60" w:before="0"/>
      </w:pPr>
      <w:r>
        <w:rPr>
          <w:rFonts w:ascii="Arial" w:cs="Arial" w:eastAsia="Arial" w:hAnsi="Arial"/>
          <w:color w:val="6B7280"/>
          <w:sz w:val="16"/>
          <w:szCs w:val="16"/>
        </w:rPr>
        <w:t xml:space="preserve">Priorität 1 · Fundstellen: Systematik Art. 3 Abs. 1 Nr. 12–21 VO (EU) 2025/40; Leitfaden C(2026)3702, Abschn. 2/3 (Tabelle Manufacturer vs. Producer)</w:t>
      </w:r>
    </w:p>
    <w:p>
      <w:pPr>
        <w:spacing w:after="20" w:before="60"/>
      </w:pPr>
      <w:r>
        <w:rPr>
          <w:rFonts w:ascii="Arial" w:cs="Arial" w:eastAsia="Arial" w:hAnsi="Arial"/>
          <w:b/>
          <w:bCs/>
          <w:sz w:val="18"/>
          <w:szCs w:val="18"/>
        </w:rPr>
        <w:t xml:space="preserve">Wenn:</w:t>
      </w:r>
    </w:p>
    <w:p>
      <w:pPr>
        <w:spacing w:after="40" w:before="0"/>
      </w:pPr>
      <w:r>
        <w:rPr>
          <w:rFonts w:ascii="Arial" w:cs="Arial" w:eastAsia="Arial" w:hAnsi="Arial"/>
          <w:sz w:val="18"/>
          <w:szCs w:val="18"/>
        </w:rPr>
        <w:t xml:space="preserve">IMMER</w:t>
      </w:r>
    </w:p>
    <w:p>
      <w:pPr>
        <w:spacing w:after="20" w:before="60"/>
      </w:pPr>
      <w:r>
        <w:rPr>
          <w:rFonts w:ascii="Arial" w:cs="Arial" w:eastAsia="Arial" w:hAnsi="Arial"/>
          <w:b/>
          <w:bCs/>
          <w:sz w:val="18"/>
          <w:szCs w:val="18"/>
        </w:rPr>
        <w:t xml:space="preserve">Dann:</w:t>
      </w:r>
    </w:p>
    <w:p>
      <w:pPr>
        <w:spacing w:after="40" w:before="0"/>
      </w:pPr>
      <w:r>
        <w:rPr>
          <w:rFonts w:ascii="Arial" w:cs="Arial" w:eastAsia="Arial" w:hAnsi="Arial"/>
          <w:sz w:val="18"/>
          <w:szCs w:val="18"/>
        </w:rPr>
        <w:t xml:space="preserve">rollen_set_je_produktlinie (Mehrfachrollen möglich; keine pauschale Firmenrolle)</w:t>
      </w:r>
    </w:p>
    <w:p>
      <w:pPr>
        <w:spacing w:after="20" w:before="60"/>
      </w:pPr>
      <w:r>
        <w:rPr>
          <w:rFonts w:ascii="Arial" w:cs="Arial" w:eastAsia="Arial" w:hAnsi="Arial"/>
          <w:b/>
          <w:bCs/>
          <w:sz w:val="18"/>
          <w:szCs w:val="18"/>
        </w:rPr>
        <w:t xml:space="preserve">Erläuterung:</w:t>
      </w:r>
    </w:p>
    <w:p>
      <w:pPr>
        <w:spacing w:after="40" w:before="0"/>
      </w:pPr>
      <w:r>
        <w:rPr>
          <w:rFonts w:ascii="Arial" w:cs="Arial" w:eastAsia="Arial" w:hAnsi="Arial"/>
          <w:sz w:val="18"/>
          <w:szCs w:val="18"/>
        </w:rPr>
        <w:t xml:space="preserve">Output-Prinzip der Engine: Jede Produktlinie erhält ein Rollen-SET mit Herleitung (angewandte Regeln + Fundstellen). Typische Doppelrollen: Marken-Abfüller = Erzeuger + Hersteller; Eigenmarken-Importeur = Importeur + Erzeuger (Art. 21) + ggf. Hersteller; Händler mit Endkundengeschäft = Vertreiber + Endvertreiber + ggf. Hersteller (lit. b bei EU-Bezug).</w:t>
      </w:r>
    </w:p>
    <w:p>
      <w:pPr>
        <w:keepNext/>
        <w:pBdr>
          <w:top w:val="single" w:color="24A27F" w:sz="4" w:space="4"/>
        </w:pBdr>
        <w:spacing w:after="40" w:before="260"/>
      </w:pPr>
      <w:r>
        <w:rPr>
          <w:rFonts w:ascii="Arial" w:cs="Arial" w:eastAsia="Arial" w:hAnsi="Arial"/>
          <w:b/>
          <w:bCs/>
          <w:color w:val="004494"/>
          <w:sz w:val="22"/>
          <w:szCs w:val="22"/>
        </w:rPr>
        <w:t xml:space="preserve">Regel D1  </w:t>
      </w:r>
      <w:r>
        <w:rPr>
          <w:rFonts w:ascii="Arial" w:cs="Arial" w:eastAsia="Arial" w:hAnsi="Arial"/>
          <w:b/>
          <w:bCs/>
          <w:sz w:val="22"/>
          <w:szCs w:val="22"/>
        </w:rPr>
        <w:t xml:space="preserve">Block „verpackung“ · DE</w:t>
      </w:r>
    </w:p>
    <w:p>
      <w:pPr>
        <w:spacing w:after="60" w:before="0"/>
      </w:pPr>
      <w:r>
        <w:rPr>
          <w:rFonts w:ascii="Arial" w:cs="Arial" w:eastAsia="Arial" w:hAnsi="Arial"/>
          <w:color w:val="6B7280"/>
          <w:sz w:val="16"/>
          <w:szCs w:val="16"/>
        </w:rPr>
        <w:t xml:space="preserve">Priorität 70 · Fundstellen: Art. 3 Abs. 1 Nr. 13 und Nr. 15 lit. a VO (EU) 2025/40; ZSVR: „Abgrenzung Erzeuger &amp; Hersteller“ (formstabile Transportverpackung ist mit der Herstellung fertig; Behördeninformation); Kommissions-FAQ 2. Ed. (03.08.2026) Kap. II FAQ 5 (unverbindliche Auslegung)</w:t>
      </w:r>
    </w:p>
    <w:p>
      <w:pPr>
        <w:spacing w:after="20" w:before="60"/>
      </w:pPr>
      <w:r>
        <w:rPr>
          <w:rFonts w:ascii="Arial" w:cs="Arial" w:eastAsia="Arial" w:hAnsi="Arial"/>
          <w:b/>
          <w:bCs/>
          <w:sz w:val="18"/>
          <w:szCs w:val="18"/>
        </w:rPr>
        <w:t xml:space="preserve">Wenn:</w:t>
      </w:r>
    </w:p>
    <w:p>
      <w:pPr>
        <w:spacing w:after="40" w:before="0"/>
      </w:pPr>
      <w:r>
        <w:rPr>
          <w:rFonts w:ascii="Arial" w:cs="Arial" w:eastAsia="Arial" w:hAnsi="Arial"/>
          <w:sz w:val="18"/>
          <w:szCs w:val="18"/>
        </w:rPr>
        <w:t xml:space="preserve">verpackung.art IN (transport, ecommerce, service, primaerproduktion) UND verpackung.form = formstabil UND verpackung.bezug = fertig_gekauft UND verpackung.lieferant_sitz = DE UND sitz = DE UND verpackung.marke != eigene</w:t>
      </w:r>
    </w:p>
    <w:p>
      <w:pPr>
        <w:spacing w:after="20" w:before="60"/>
      </w:pPr>
      <w:r>
        <w:rPr>
          <w:rFonts w:ascii="Arial" w:cs="Arial" w:eastAsia="Arial" w:hAnsi="Arial"/>
          <w:b/>
          <w:bCs/>
          <w:sz w:val="18"/>
          <w:szCs w:val="18"/>
        </w:rPr>
        <w:t xml:space="preserve">Dann:</w:t>
      </w:r>
    </w:p>
    <w:p>
      <w:pPr>
        <w:spacing w:after="40" w:before="0"/>
      </w:pPr>
      <w:r>
        <w:rPr>
          <w:rFonts w:ascii="Arial" w:cs="Arial" w:eastAsia="Arial" w:hAnsi="Arial"/>
          <w:sz w:val="18"/>
          <w:szCs w:val="18"/>
        </w:rPr>
        <w:t xml:space="preserve">entlastung: epr_beim_lieferanten (Erzeuger und Hersteller dieser Verpackung ist der Lieferant); Nutzer: vertreiber</w:t>
      </w:r>
    </w:p>
    <w:p>
      <w:pPr>
        <w:spacing w:after="20" w:before="60"/>
      </w:pPr>
      <w:r>
        <w:rPr>
          <w:rFonts w:ascii="Arial" w:cs="Arial" w:eastAsia="Arial" w:hAnsi="Arial"/>
          <w:b/>
          <w:bCs/>
          <w:sz w:val="18"/>
          <w:szCs w:val="18"/>
        </w:rPr>
        <w:t xml:space="preserve">Erläuterung:</w:t>
      </w:r>
    </w:p>
    <w:p>
      <w:pPr>
        <w:spacing w:after="40" w:before="0"/>
      </w:pPr>
      <w:r>
        <w:rPr>
          <w:rFonts w:ascii="Arial" w:cs="Arial" w:eastAsia="Arial" w:hAnsi="Arial"/>
          <w:sz w:val="18"/>
          <w:szCs w:val="18"/>
        </w:rPr>
        <w:t xml:space="preserve">Fertig bezogene formstabile Transport-, Service- oder Primärproduktionsverpackung (Karton, Umschlag, Tüte) eines deutschen Lieferanten: Der Lieferant hat sie in ihre endgültige Form gebracht (Erzeuger) und erstmals in Deutschland bereitgestellt (Hersteller, lit. a). Der Nutzer ist für diese Verpackung Vertreiber mit Prüfpflicht (Registrierung des Lieferanten, vgl. B14) und braucht weder Konformitätserklärung noch Systembeteiligung dafür. Gilt nur, solange die Verpackung unverändert verwendet wird (sonst D3) und keine eigene Marke trägt (sonst A2/A5).</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w:t>
      </w:r>
    </w:p>
    <w:p>
      <w:pPr>
        <w:keepNext/>
        <w:pBdr>
          <w:top w:val="single" w:color="24A27F" w:sz="4" w:space="4"/>
        </w:pBdr>
        <w:spacing w:after="40" w:before="260"/>
      </w:pPr>
      <w:r>
        <w:rPr>
          <w:rFonts w:ascii="Arial" w:cs="Arial" w:eastAsia="Arial" w:hAnsi="Arial"/>
          <w:b/>
          <w:bCs/>
          <w:color w:val="004494"/>
          <w:sz w:val="22"/>
          <w:szCs w:val="22"/>
        </w:rPr>
        <w:t xml:space="preserve">Regel D2  </w:t>
      </w:r>
      <w:r>
        <w:rPr>
          <w:rFonts w:ascii="Arial" w:cs="Arial" w:eastAsia="Arial" w:hAnsi="Arial"/>
          <w:b/>
          <w:bCs/>
          <w:sz w:val="22"/>
          <w:szCs w:val="22"/>
        </w:rPr>
        <w:t xml:space="preserve">Block „verpackung“ · DE</w:t>
      </w:r>
    </w:p>
    <w:p>
      <w:pPr>
        <w:spacing w:after="60" w:before="0"/>
      </w:pPr>
      <w:r>
        <w:rPr>
          <w:rFonts w:ascii="Arial" w:cs="Arial" w:eastAsia="Arial" w:hAnsi="Arial"/>
          <w:color w:val="6B7280"/>
          <w:sz w:val="16"/>
          <w:szCs w:val="16"/>
        </w:rPr>
        <w:t xml:space="preserve">Priorität 72 · Fundstellen: Art. 3 Abs. 1 Nr. 13 und Nr. 15 lit. a VO (EU) 2025/40; ZSVR: „Abgrenzung Erzeuger &amp; Hersteller“ (flexible Verpackung wie Folie oder Umreifung entsteht erst bei der Anwendung; Behördeninformation); Kommissions-FAQ 2. Ed. Kap. II FAQ 5 (unbedruckte Stretchfolie: Folienhersteller ist Erzeuger – abweichende Lesart, (!) vgl. A23, A31)</w:t>
      </w:r>
    </w:p>
    <w:p>
      <w:pPr>
        <w:spacing w:after="20" w:before="60"/>
      </w:pPr>
      <w:r>
        <w:rPr>
          <w:rFonts w:ascii="Arial" w:cs="Arial" w:eastAsia="Arial" w:hAnsi="Arial"/>
          <w:b/>
          <w:bCs/>
          <w:sz w:val="18"/>
          <w:szCs w:val="18"/>
        </w:rPr>
        <w:t xml:space="preserve">Wenn:</w:t>
      </w:r>
    </w:p>
    <w:p>
      <w:pPr>
        <w:spacing w:after="40" w:before="0"/>
      </w:pPr>
      <w:r>
        <w:rPr>
          <w:rFonts w:ascii="Arial" w:cs="Arial" w:eastAsia="Arial" w:hAnsi="Arial"/>
          <w:sz w:val="18"/>
          <w:szCs w:val="18"/>
        </w:rPr>
        <w:t xml:space="preserve">verpackung.art IN (transport, ecommerce) UND verpackung.form = flexibel UND verpackung.bezug IN (selbst_hergestellt, selbst_zusammengefuegt) UND sitz = DE</w:t>
      </w:r>
    </w:p>
    <w:p>
      <w:pPr>
        <w:spacing w:after="20" w:before="60"/>
      </w:pPr>
      <w:r>
        <w:rPr>
          <w:rFonts w:ascii="Arial" w:cs="Arial" w:eastAsia="Arial" w:hAnsi="Arial"/>
          <w:b/>
          <w:bCs/>
          <w:sz w:val="18"/>
          <w:szCs w:val="18"/>
        </w:rPr>
        <w:t xml:space="preserve">Dann:</w:t>
      </w:r>
    </w:p>
    <w:p>
      <w:pPr>
        <w:spacing w:after="40" w:before="0"/>
      </w:pPr>
      <w:r>
        <w:rPr>
          <w:rFonts w:ascii="Arial" w:cs="Arial" w:eastAsia="Arial" w:hAnsi="Arial"/>
          <w:sz w:val="18"/>
          <w:szCs w:val="18"/>
        </w:rPr>
        <w:t xml:space="preserve">erzeuger + hersteller (für diese Verpackung)</w:t>
      </w:r>
    </w:p>
    <w:p>
      <w:pPr>
        <w:spacing w:after="20" w:before="60"/>
      </w:pPr>
      <w:r>
        <w:rPr>
          <w:rFonts w:ascii="Arial" w:cs="Arial" w:eastAsia="Arial" w:hAnsi="Arial"/>
          <w:b/>
          <w:bCs/>
          <w:sz w:val="18"/>
          <w:szCs w:val="18"/>
        </w:rPr>
        <w:t xml:space="preserve">Erläuterung:</w:t>
      </w:r>
    </w:p>
    <w:p>
      <w:pPr>
        <w:spacing w:after="40" w:before="0"/>
      </w:pPr>
      <w:r>
        <w:rPr>
          <w:rFonts w:ascii="Arial" w:cs="Arial" w:eastAsia="Arial" w:hAnsi="Arial"/>
          <w:sz w:val="18"/>
          <w:szCs w:val="18"/>
        </w:rPr>
        <w:t xml:space="preserve">Flexible Verpackung, die der Nutzer selbst anwendet (Zeitschrift einschweißen, Palette wickeln, Bündel umreifen): Nach der ZSVR-Lesart entsteht die Verpackung erst bei der Anwendung, der Anwender ist Erzeuger und Hersteller. Folge: Konformitätserklärung für die Folienverpackung, Erzeugerkennzeichnung, LUCID-Meldung der Folienmengen. (!) Die Kommission sieht bei unbedruckter Folie den Folienhersteller als Erzeuger; Cattwyk-Einordnung, welche Lesart ausgespielt wird.</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w:t>
      </w:r>
    </w:p>
    <w:p>
      <w:pPr>
        <w:keepNext/>
        <w:pBdr>
          <w:top w:val="single" w:color="24A27F" w:sz="4" w:space="4"/>
        </w:pBdr>
        <w:spacing w:after="40" w:before="260"/>
      </w:pPr>
      <w:r>
        <w:rPr>
          <w:rFonts w:ascii="Arial" w:cs="Arial" w:eastAsia="Arial" w:hAnsi="Arial"/>
          <w:b/>
          <w:bCs/>
          <w:color w:val="004494"/>
          <w:sz w:val="22"/>
          <w:szCs w:val="22"/>
        </w:rPr>
        <w:t xml:space="preserve">Regel D3  </w:t>
      </w:r>
      <w:r>
        <w:rPr>
          <w:rFonts w:ascii="Arial" w:cs="Arial" w:eastAsia="Arial" w:hAnsi="Arial"/>
          <w:b/>
          <w:bCs/>
          <w:sz w:val="22"/>
          <w:szCs w:val="22"/>
        </w:rPr>
        <w:t xml:space="preserve">Block „verpackung“ · DE</w:t>
      </w:r>
    </w:p>
    <w:p>
      <w:pPr>
        <w:spacing w:after="60" w:before="0"/>
      </w:pPr>
      <w:r>
        <w:rPr>
          <w:rFonts w:ascii="Arial" w:cs="Arial" w:eastAsia="Arial" w:hAnsi="Arial"/>
          <w:color w:val="6B7280"/>
          <w:sz w:val="16"/>
          <w:szCs w:val="16"/>
        </w:rPr>
        <w:t xml:space="preserve">Priorität 74 · Fundstellen: Art. 3 Abs. 1 Nr. 13 VO (EU) 2025/40; Art. 21 VO (EU) 2025/40; ZSVR: „Versand- und Onlinehandel“, Fall B.2 (wer Materialien zur vollständigen Versandverpackung zusammenfügt, ist Erzeuger und Hersteller; Behördeninformation); Kommissions-FAQ 2. Ed. Kap. II FAQ 5 (Faltkarton ist mit Herstellung fertig – abweichend, vgl. A31)</w:t>
      </w:r>
    </w:p>
    <w:p>
      <w:pPr>
        <w:spacing w:after="20" w:before="60"/>
      </w:pPr>
      <w:r>
        <w:rPr>
          <w:rFonts w:ascii="Arial" w:cs="Arial" w:eastAsia="Arial" w:hAnsi="Arial"/>
          <w:b/>
          <w:bCs/>
          <w:sz w:val="18"/>
          <w:szCs w:val="18"/>
        </w:rPr>
        <w:t xml:space="preserve">Wenn:</w:t>
      </w:r>
    </w:p>
    <w:p>
      <w:pPr>
        <w:spacing w:after="40" w:before="0"/>
      </w:pPr>
      <w:r>
        <w:rPr>
          <w:rFonts w:ascii="Arial" w:cs="Arial" w:eastAsia="Arial" w:hAnsi="Arial"/>
          <w:sz w:val="18"/>
          <w:szCs w:val="18"/>
        </w:rPr>
        <w:t xml:space="preserve">verpackung.art IN (transport, ecommerce) UND verpackung.form = formstabil UND verpackung.bezug = selbst_zusammengefuegt UND sitz = DE</w:t>
      </w:r>
    </w:p>
    <w:p>
      <w:pPr>
        <w:spacing w:after="20" w:before="60"/>
      </w:pPr>
      <w:r>
        <w:rPr>
          <w:rFonts w:ascii="Arial" w:cs="Arial" w:eastAsia="Arial" w:hAnsi="Arial"/>
          <w:b/>
          <w:bCs/>
          <w:sz w:val="18"/>
          <w:szCs w:val="18"/>
        </w:rPr>
        <w:t xml:space="preserve">Dann:</w:t>
      </w:r>
    </w:p>
    <w:p>
      <w:pPr>
        <w:spacing w:after="40" w:before="0"/>
      </w:pPr>
      <w:r>
        <w:rPr>
          <w:rFonts w:ascii="Arial" w:cs="Arial" w:eastAsia="Arial" w:hAnsi="Arial"/>
          <w:sz w:val="18"/>
          <w:szCs w:val="18"/>
        </w:rPr>
        <w:t xml:space="preserve">erzeuger + hersteller (für diese Verpackung) – mit Vorbehalt</w:t>
      </w:r>
    </w:p>
    <w:p>
      <w:pPr>
        <w:spacing w:after="20" w:before="60"/>
      </w:pPr>
      <w:r>
        <w:rPr>
          <w:rFonts w:ascii="Arial" w:cs="Arial" w:eastAsia="Arial" w:hAnsi="Arial"/>
          <w:b/>
          <w:bCs/>
          <w:sz w:val="18"/>
          <w:szCs w:val="18"/>
        </w:rPr>
        <w:t xml:space="preserve">Erläuterung:</w:t>
      </w:r>
    </w:p>
    <w:p>
      <w:pPr>
        <w:spacing w:after="40" w:before="0"/>
      </w:pPr>
      <w:r>
        <w:rPr>
          <w:rFonts w:ascii="Arial" w:cs="Arial" w:eastAsia="Arial" w:hAnsi="Arial"/>
          <w:sz w:val="18"/>
          <w:szCs w:val="18"/>
        </w:rPr>
        <w:t xml:space="preserve">Aus Teilen zusammengefügte Versandverpackung (Faltkarton selbst aufgerichtet und verklebt, Zuschnitt, Füllmaterial): Die ZSVR ordnet den Zusammenfügenden als Erzeuger und Hersteller ein, die Kommission sieht den Kartonhersteller als Erzeuger. Bis zur Klärung wird die strengere ZSVR-Lesart mit Vorbehalt ausgespielt; der Nutzer sollte beide Wege dokumentieren (Lieferantenangaben nach Art. 16 einholen, eigene Konfektionierung festhalten).</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w:t>
      </w:r>
    </w:p>
    <w:p>
      <w:pPr>
        <w:keepNext/>
        <w:pBdr>
          <w:top w:val="single" w:color="24A27F" w:sz="4" w:space="4"/>
        </w:pBdr>
        <w:spacing w:after="40" w:before="260"/>
      </w:pPr>
      <w:r>
        <w:rPr>
          <w:rFonts w:ascii="Arial" w:cs="Arial" w:eastAsia="Arial" w:hAnsi="Arial"/>
          <w:b/>
          <w:bCs/>
          <w:color w:val="004494"/>
          <w:sz w:val="22"/>
          <w:szCs w:val="22"/>
        </w:rPr>
        <w:t xml:space="preserve">Regel D4  </w:t>
      </w:r>
      <w:r>
        <w:rPr>
          <w:rFonts w:ascii="Arial" w:cs="Arial" w:eastAsia="Arial" w:hAnsi="Arial"/>
          <w:b/>
          <w:bCs/>
          <w:sz w:val="22"/>
          <w:szCs w:val="22"/>
        </w:rPr>
        <w:t xml:space="preserve">Block „verpackung“ · DE</w:t>
      </w:r>
    </w:p>
    <w:p>
      <w:pPr>
        <w:spacing w:after="60" w:before="0"/>
      </w:pPr>
      <w:r>
        <w:rPr>
          <w:rFonts w:ascii="Arial" w:cs="Arial" w:eastAsia="Arial" w:hAnsi="Arial"/>
          <w:color w:val="6B7280"/>
          <w:sz w:val="16"/>
          <w:szCs w:val="16"/>
        </w:rPr>
        <w:t xml:space="preserve">Priorität 76 · Fundstellen: Art. 3 Abs. 1 Nr. 15 lit. a und Nr. 17 VO (EU) 2025/40; §§ 6, 7 VerpackDG (BGBl. 2026 I Nr. 207); Leitfaden C(2026) 3702 Abschn. 3 und 4 (unverbindliche Auslegung); ZSVR: „Abgrenzung Erzeuger &amp; Hersteller“ (Inlandsvorrang)</w:t>
      </w:r>
    </w:p>
    <w:p>
      <w:pPr>
        <w:spacing w:after="20" w:before="60"/>
      </w:pPr>
      <w:r>
        <w:rPr>
          <w:rFonts w:ascii="Arial" w:cs="Arial" w:eastAsia="Arial" w:hAnsi="Arial"/>
          <w:b/>
          <w:bCs/>
          <w:sz w:val="18"/>
          <w:szCs w:val="18"/>
        </w:rPr>
        <w:t xml:space="preserve">Wenn:</w:t>
      </w:r>
    </w:p>
    <w:p>
      <w:pPr>
        <w:spacing w:after="40" w:before="0"/>
      </w:pPr>
      <w:r>
        <w:rPr>
          <w:rFonts w:ascii="Arial" w:cs="Arial" w:eastAsia="Arial" w:hAnsi="Arial"/>
          <w:sz w:val="18"/>
          <w:szCs w:val="18"/>
        </w:rPr>
        <w:t xml:space="preserve">verpackung.art IN (transport, ecommerce, service, primaerproduktion) UND verpackung.bezug = fertig_gekauft UND verpackung.lieferant_sitz IN (EU, drittland) UND sitz = DE</w:t>
      </w:r>
    </w:p>
    <w:p>
      <w:pPr>
        <w:spacing w:after="20" w:before="60"/>
      </w:pPr>
      <w:r>
        <w:rPr>
          <w:rFonts w:ascii="Arial" w:cs="Arial" w:eastAsia="Arial" w:hAnsi="Arial"/>
          <w:b/>
          <w:bCs/>
          <w:sz w:val="18"/>
          <w:szCs w:val="18"/>
        </w:rPr>
        <w:t xml:space="preserve">Dann:</w:t>
      </w:r>
    </w:p>
    <w:p>
      <w:pPr>
        <w:spacing w:after="40" w:before="0"/>
      </w:pPr>
      <w:r>
        <w:rPr>
          <w:rFonts w:ascii="Arial" w:cs="Arial" w:eastAsia="Arial" w:hAnsi="Arial"/>
          <w:sz w:val="18"/>
          <w:szCs w:val="18"/>
        </w:rPr>
        <w:t xml:space="preserve">hersteller (erste Bereitstellung in DE); bei drittland zusätzlich importeur</w:t>
      </w:r>
    </w:p>
    <w:p>
      <w:pPr>
        <w:spacing w:after="20" w:before="60"/>
      </w:pPr>
      <w:r>
        <w:rPr>
          <w:rFonts w:ascii="Arial" w:cs="Arial" w:eastAsia="Arial" w:hAnsi="Arial"/>
          <w:b/>
          <w:bCs/>
          <w:sz w:val="18"/>
          <w:szCs w:val="18"/>
        </w:rPr>
        <w:t xml:space="preserve">Erläuterung:</w:t>
      </w:r>
    </w:p>
    <w:p>
      <w:pPr>
        <w:spacing w:after="40" w:before="0"/>
      </w:pPr>
      <w:r>
        <w:rPr>
          <w:rFonts w:ascii="Arial" w:cs="Arial" w:eastAsia="Arial" w:hAnsi="Arial"/>
          <w:sz w:val="18"/>
          <w:szCs w:val="18"/>
        </w:rPr>
        <w:t xml:space="preserve">Wer leere Transportverpackung aus einem anderen Mitgliedstaat oder Drittland bezieht und erstmals in Deutschland bereitstellt, ist für diese Verpackung Hersteller (Registrierung, Systembeteiligung, Datenmeldung). Beim Bezug aus einem Drittland kommt die Importeursrolle hinzu (Prüfung, dass der Drittlandserzeuger Konformitätsbewertung und Erklärung vorgenommen hat, Art. 18). Der Erzeuger bleibt der ausländische Verpackungshersteller.</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w:t>
      </w:r>
    </w:p>
    <w:p>
      <w:pPr>
        <w:keepNext/>
        <w:pBdr>
          <w:top w:val="single" w:color="24A27F" w:sz="4" w:space="4"/>
        </w:pBdr>
        <w:spacing w:after="40" w:before="260"/>
      </w:pPr>
      <w:r>
        <w:rPr>
          <w:rFonts w:ascii="Arial" w:cs="Arial" w:eastAsia="Arial" w:hAnsi="Arial"/>
          <w:b/>
          <w:bCs/>
          <w:color w:val="004494"/>
          <w:sz w:val="22"/>
          <w:szCs w:val="22"/>
        </w:rPr>
        <w:t xml:space="preserve">Regel D5  </w:t>
      </w:r>
      <w:r>
        <w:rPr>
          <w:rFonts w:ascii="Arial" w:cs="Arial" w:eastAsia="Arial" w:hAnsi="Arial"/>
          <w:b/>
          <w:bCs/>
          <w:sz w:val="22"/>
          <w:szCs w:val="22"/>
        </w:rPr>
        <w:t xml:space="preserve">Block „verpackung“ · EU/DE</w:t>
      </w:r>
    </w:p>
    <w:p>
      <w:pPr>
        <w:spacing w:after="60" w:before="0"/>
      </w:pPr>
      <w:r>
        <w:rPr>
          <w:rFonts w:ascii="Arial" w:cs="Arial" w:eastAsia="Arial" w:hAnsi="Arial"/>
          <w:color w:val="6B7280"/>
          <w:sz w:val="16"/>
          <w:szCs w:val="16"/>
        </w:rPr>
        <w:t xml:space="preserve">Priorität 78 · Fundstellen: Art. 3 Abs. 1 Nr. 13 lit. a und Nr. 15 lit. b VO (EU) 2025/40; Leitfaden C(2026) 3702 Abschn. 2 und 3 (unverbindliche Auslegung); Praxisfragen A01, A02 (Lohnabfüllung, Flag offen)</w:t>
      </w:r>
    </w:p>
    <w:p>
      <w:pPr>
        <w:spacing w:after="20" w:before="60"/>
      </w:pPr>
      <w:r>
        <w:rPr>
          <w:rFonts w:ascii="Arial" w:cs="Arial" w:eastAsia="Arial" w:hAnsi="Arial"/>
          <w:b/>
          <w:bCs/>
          <w:sz w:val="18"/>
          <w:szCs w:val="18"/>
        </w:rPr>
        <w:t xml:space="preserve">Wenn:</w:t>
      </w:r>
    </w:p>
    <w:p>
      <w:pPr>
        <w:spacing w:after="40" w:before="0"/>
      </w:pPr>
      <w:r>
        <w:rPr>
          <w:rFonts w:ascii="Arial" w:cs="Arial" w:eastAsia="Arial" w:hAnsi="Arial"/>
          <w:sz w:val="18"/>
          <w:szCs w:val="18"/>
        </w:rPr>
        <w:t xml:space="preserve">verpackung.bezug = lohnfertigung</w:t>
      </w:r>
    </w:p>
    <w:p>
      <w:pPr>
        <w:spacing w:after="20" w:before="60"/>
      </w:pPr>
      <w:r>
        <w:rPr>
          <w:rFonts w:ascii="Arial" w:cs="Arial" w:eastAsia="Arial" w:hAnsi="Arial"/>
          <w:b/>
          <w:bCs/>
          <w:sz w:val="18"/>
          <w:szCs w:val="18"/>
        </w:rPr>
        <w:t xml:space="preserve">Dann:</w:t>
      </w:r>
    </w:p>
    <w:p>
      <w:pPr>
        <w:spacing w:after="40" w:before="0"/>
      </w:pPr>
      <w:r>
        <w:rPr>
          <w:rFonts w:ascii="Arial" w:cs="Arial" w:eastAsia="Arial" w:hAnsi="Arial"/>
          <w:sz w:val="18"/>
          <w:szCs w:val="18"/>
        </w:rPr>
        <w:t xml:space="preserve">unklar (Rollen hängen vom Vertrag mit dem Dienstleister ab) – Verweis A01/A02</w:t>
      </w:r>
    </w:p>
    <w:p>
      <w:pPr>
        <w:spacing w:after="20" w:before="60"/>
      </w:pPr>
      <w:r>
        <w:rPr>
          <w:rFonts w:ascii="Arial" w:cs="Arial" w:eastAsia="Arial" w:hAnsi="Arial"/>
          <w:b/>
          <w:bCs/>
          <w:sz w:val="18"/>
          <w:szCs w:val="18"/>
        </w:rPr>
        <w:t xml:space="preserve">Erläuterung:</w:t>
      </w:r>
    </w:p>
    <w:p>
      <w:pPr>
        <w:spacing w:after="40" w:before="0"/>
      </w:pPr>
      <w:r>
        <w:rPr>
          <w:rFonts w:ascii="Arial" w:cs="Arial" w:eastAsia="Arial" w:hAnsi="Arial"/>
          <w:sz w:val="18"/>
          <w:szCs w:val="18"/>
        </w:rPr>
        <w:t xml:space="preserve">Wird die Verpackung durch einen Dienstleister im Auftrag angebracht oder befüllt (Druckerei, Konfektionär, Lohnabfüller), entscheidet die Vertragsgestaltung über Erzeuger- und Herstellerrolle. Das System gibt keine Rolle vor, sondern zeigt die Fragen, die im Vertrag geklärt sein müssen, und verweist auf A01/A02. (!) Lohnfertigungs-Zuordnung ist Cattwyk-Pin (A02).</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w:t>
      </w:r>
    </w:p>
    <w:p>
      <w:pPr>
        <w:keepNext/>
        <w:pBdr>
          <w:top w:val="single" w:color="24A27F" w:sz="4" w:space="4"/>
        </w:pBdr>
        <w:spacing w:after="40" w:before="260"/>
      </w:pPr>
      <w:r>
        <w:rPr>
          <w:rFonts w:ascii="Arial" w:cs="Arial" w:eastAsia="Arial" w:hAnsi="Arial"/>
          <w:b/>
          <w:bCs/>
          <w:color w:val="004494"/>
          <w:sz w:val="22"/>
          <w:szCs w:val="22"/>
        </w:rPr>
        <w:t xml:space="preserve">Regel C1  </w:t>
      </w:r>
      <w:r>
        <w:rPr>
          <w:rFonts w:ascii="Arial" w:cs="Arial" w:eastAsia="Arial" w:hAnsi="Arial"/>
          <w:b/>
          <w:bCs/>
          <w:sz w:val="22"/>
          <w:szCs w:val="22"/>
        </w:rPr>
        <w:t xml:space="preserve">Block „weitere“ · EU-weit</w:t>
      </w:r>
    </w:p>
    <w:p>
      <w:pPr>
        <w:spacing w:after="60" w:before="0"/>
      </w:pPr>
      <w:r>
        <w:rPr>
          <w:rFonts w:ascii="Arial" w:cs="Arial" w:eastAsia="Arial" w:hAnsi="Arial"/>
          <w:color w:val="6B7280"/>
          <w:sz w:val="16"/>
          <w:szCs w:val="16"/>
        </w:rPr>
        <w:t xml:space="preserve">Priorität 10 · Fundstellen: Art. 3 Abs. 1 Nr. 17; Art. 18 VO (EU) 2025/40; Leitfaden C(2026)3702, Abschn. 4 (Zweigniederlassung genügt nicht; harmonisierter Begriff)</w:t>
      </w:r>
    </w:p>
    <w:p>
      <w:pPr>
        <w:spacing w:after="20" w:before="60"/>
      </w:pPr>
      <w:r>
        <w:rPr>
          <w:rFonts w:ascii="Arial" w:cs="Arial" w:eastAsia="Arial" w:hAnsi="Arial"/>
          <w:b/>
          <w:bCs/>
          <w:sz w:val="18"/>
          <w:szCs w:val="18"/>
        </w:rPr>
        <w:t xml:space="preserve">Wenn:</w:t>
      </w:r>
    </w:p>
    <w:p>
      <w:pPr>
        <w:spacing w:after="40" w:before="0"/>
      </w:pPr>
      <w:r>
        <w:rPr>
          <w:rFonts w:ascii="Arial" w:cs="Arial" w:eastAsia="Arial" w:hAnsi="Arial"/>
          <w:sz w:val="18"/>
          <w:szCs w:val="18"/>
        </w:rPr>
        <w:t xml:space="preserve">taetigkeit ENTHÄLT importiert_drittland UND bringt_in_verkehr = ja UND eu_rechtspersoenlichkeit = ja</w:t>
      </w:r>
    </w:p>
    <w:p>
      <w:pPr>
        <w:spacing w:after="20" w:before="60"/>
      </w:pPr>
      <w:r>
        <w:rPr>
          <w:rFonts w:ascii="Arial" w:cs="Arial" w:eastAsia="Arial" w:hAnsi="Arial"/>
          <w:b/>
          <w:bCs/>
          <w:sz w:val="18"/>
          <w:szCs w:val="18"/>
        </w:rPr>
        <w:t xml:space="preserve">Dann:</w:t>
      </w:r>
    </w:p>
    <w:p>
      <w:pPr>
        <w:spacing w:after="40" w:before="0"/>
      </w:pPr>
      <w:r>
        <w:rPr>
          <w:rFonts w:ascii="Arial" w:cs="Arial" w:eastAsia="Arial" w:hAnsi="Arial"/>
          <w:sz w:val="18"/>
          <w:szCs w:val="18"/>
        </w:rPr>
        <w:t xml:space="preserve">importeur</w:t>
      </w:r>
    </w:p>
    <w:p>
      <w:pPr>
        <w:spacing w:after="20" w:before="60"/>
      </w:pPr>
      <w:r>
        <w:rPr>
          <w:rFonts w:ascii="Arial" w:cs="Arial" w:eastAsia="Arial" w:hAnsi="Arial"/>
          <w:b/>
          <w:bCs/>
          <w:sz w:val="18"/>
          <w:szCs w:val="18"/>
        </w:rPr>
        <w:t xml:space="preserve">Erläuterung:</w:t>
      </w:r>
    </w:p>
    <w:p>
      <w:pPr>
        <w:spacing w:after="40" w:before="0"/>
      </w:pPr>
      <w:r>
        <w:rPr>
          <w:rFonts w:ascii="Arial" w:cs="Arial" w:eastAsia="Arial" w:hAnsi="Arial"/>
          <w:sz w:val="18"/>
          <w:szCs w:val="18"/>
        </w:rPr>
        <w:t xml:space="preserve">Importeur ist nur, wer mit eigener EU-Rechtspersönlichkeit Drittlandsverpackungen erstmals auf dem Unionsmarkt bereitstellt. Zweigniederlassung/USt-Registrierung reicht nicht: dann Tochtergesellschaft oder Bevollmächtigter erforderlich.</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w:t>
      </w:r>
    </w:p>
    <w:p>
      <w:pPr>
        <w:keepNext/>
        <w:pBdr>
          <w:top w:val="single" w:color="24A27F" w:sz="4" w:space="4"/>
        </w:pBdr>
        <w:spacing w:after="40" w:before="260"/>
      </w:pPr>
      <w:r>
        <w:rPr>
          <w:rFonts w:ascii="Arial" w:cs="Arial" w:eastAsia="Arial" w:hAnsi="Arial"/>
          <w:b/>
          <w:bCs/>
          <w:color w:val="004494"/>
          <w:sz w:val="22"/>
          <w:szCs w:val="22"/>
        </w:rPr>
        <w:t xml:space="preserve">Regel C2  </w:t>
      </w:r>
      <w:r>
        <w:rPr>
          <w:rFonts w:ascii="Arial" w:cs="Arial" w:eastAsia="Arial" w:hAnsi="Arial"/>
          <w:b/>
          <w:bCs/>
          <w:sz w:val="22"/>
          <w:szCs w:val="22"/>
        </w:rPr>
        <w:t xml:space="preserve">Block „weitere“ · EU-weit</w:t>
      </w:r>
    </w:p>
    <w:p>
      <w:pPr>
        <w:spacing w:after="60" w:before="0"/>
      </w:pPr>
      <w:r>
        <w:rPr>
          <w:rFonts w:ascii="Arial" w:cs="Arial" w:eastAsia="Arial" w:hAnsi="Arial"/>
          <w:color w:val="6B7280"/>
          <w:sz w:val="16"/>
          <w:szCs w:val="16"/>
        </w:rPr>
        <w:t xml:space="preserve">Priorität 20 · Fundstellen: Art. 3 Abs. 1 Nr. 18; Art. 19 VO (EU) 2025/40; —</w:t>
      </w:r>
    </w:p>
    <w:p>
      <w:pPr>
        <w:spacing w:after="20" w:before="60"/>
      </w:pPr>
      <w:r>
        <w:rPr>
          <w:rFonts w:ascii="Arial" w:cs="Arial" w:eastAsia="Arial" w:hAnsi="Arial"/>
          <w:b/>
          <w:bCs/>
          <w:sz w:val="18"/>
          <w:szCs w:val="18"/>
        </w:rPr>
        <w:t xml:space="preserve">Wenn:</w:t>
      </w:r>
    </w:p>
    <w:p>
      <w:pPr>
        <w:spacing w:after="40" w:before="0"/>
      </w:pPr>
      <w:r>
        <w:rPr>
          <w:rFonts w:ascii="Arial" w:cs="Arial" w:eastAsia="Arial" w:hAnsi="Arial"/>
          <w:sz w:val="18"/>
          <w:szCs w:val="18"/>
        </w:rPr>
        <w:t xml:space="preserve">taetigkeit ENTHÄLT stellt_bereit UND rolle != erzeuger UND rolle != importeur</w:t>
      </w:r>
    </w:p>
    <w:p>
      <w:pPr>
        <w:spacing w:after="20" w:before="60"/>
      </w:pPr>
      <w:r>
        <w:rPr>
          <w:rFonts w:ascii="Arial" w:cs="Arial" w:eastAsia="Arial" w:hAnsi="Arial"/>
          <w:b/>
          <w:bCs/>
          <w:sz w:val="18"/>
          <w:szCs w:val="18"/>
        </w:rPr>
        <w:t xml:space="preserve">Dann:</w:t>
      </w:r>
    </w:p>
    <w:p>
      <w:pPr>
        <w:spacing w:after="40" w:before="0"/>
      </w:pPr>
      <w:r>
        <w:rPr>
          <w:rFonts w:ascii="Arial" w:cs="Arial" w:eastAsia="Arial" w:hAnsi="Arial"/>
          <w:sz w:val="18"/>
          <w:szCs w:val="18"/>
        </w:rPr>
        <w:t xml:space="preserve">vertreiber</w:t>
      </w:r>
    </w:p>
    <w:p>
      <w:pPr>
        <w:spacing w:after="20" w:before="60"/>
      </w:pPr>
      <w:r>
        <w:rPr>
          <w:rFonts w:ascii="Arial" w:cs="Arial" w:eastAsia="Arial" w:hAnsi="Arial"/>
          <w:b/>
          <w:bCs/>
          <w:sz w:val="18"/>
          <w:szCs w:val="18"/>
        </w:rPr>
        <w:t xml:space="preserve">Erläuterung:</w:t>
      </w:r>
    </w:p>
    <w:p>
      <w:pPr>
        <w:spacing w:after="40" w:before="0"/>
      </w:pPr>
      <w:r>
        <w:rPr>
          <w:rFonts w:ascii="Arial" w:cs="Arial" w:eastAsia="Arial" w:hAnsi="Arial"/>
          <w:sz w:val="18"/>
          <w:szCs w:val="18"/>
        </w:rPr>
        <w:t xml:space="preserve">Auffangrolle der Lieferkette mit Sorgfaltspflichten (u. a. Prüfung Registereintrag des Herstellers, Art. 44).</w:t>
      </w:r>
    </w:p>
    <w:p>
      <w:pPr>
        <w:keepNext/>
        <w:pBdr>
          <w:top w:val="single" w:color="24A27F" w:sz="4" w:space="4"/>
        </w:pBdr>
        <w:spacing w:after="40" w:before="260"/>
      </w:pPr>
      <w:r>
        <w:rPr>
          <w:rFonts w:ascii="Arial" w:cs="Arial" w:eastAsia="Arial" w:hAnsi="Arial"/>
          <w:b/>
          <w:bCs/>
          <w:color w:val="004494"/>
          <w:sz w:val="22"/>
          <w:szCs w:val="22"/>
        </w:rPr>
        <w:t xml:space="preserve">Regel C3  </w:t>
      </w:r>
      <w:r>
        <w:rPr>
          <w:rFonts w:ascii="Arial" w:cs="Arial" w:eastAsia="Arial" w:hAnsi="Arial"/>
          <w:b/>
          <w:bCs/>
          <w:sz w:val="22"/>
          <w:szCs w:val="22"/>
        </w:rPr>
        <w:t xml:space="preserve">Block „weitere“ · EU-weit + DE-Pflichten</w:t>
      </w:r>
    </w:p>
    <w:p>
      <w:pPr>
        <w:spacing w:after="60" w:before="0"/>
      </w:pPr>
      <w:r>
        <w:rPr>
          <w:rFonts w:ascii="Arial" w:cs="Arial" w:eastAsia="Arial" w:hAnsi="Arial"/>
          <w:color w:val="6B7280"/>
          <w:sz w:val="16"/>
          <w:szCs w:val="16"/>
        </w:rPr>
        <w:t xml:space="preserve">Priorität 30 · Fundstellen: Art. 3 Abs. 1 Nr. 21 VO (EU) 2025/40; §§ 39 ff., 46 VerpackDG; Leitfaden C(2026)3702, Abschn. 22/23</w:t>
      </w:r>
    </w:p>
    <w:p>
      <w:pPr>
        <w:spacing w:after="20" w:before="60"/>
      </w:pPr>
      <w:r>
        <w:rPr>
          <w:rFonts w:ascii="Arial" w:cs="Arial" w:eastAsia="Arial" w:hAnsi="Arial"/>
          <w:b/>
          <w:bCs/>
          <w:sz w:val="18"/>
          <w:szCs w:val="18"/>
        </w:rPr>
        <w:t xml:space="preserve">Wenn:</w:t>
      </w:r>
    </w:p>
    <w:p>
      <w:pPr>
        <w:spacing w:after="40" w:before="0"/>
      </w:pPr>
      <w:r>
        <w:rPr>
          <w:rFonts w:ascii="Arial" w:cs="Arial" w:eastAsia="Arial" w:hAnsi="Arial"/>
          <w:sz w:val="18"/>
          <w:szCs w:val="18"/>
        </w:rPr>
        <w:t xml:space="preserve">taetigkeit ENTHÄLT liefert_an_endabnehmer</w:t>
      </w:r>
    </w:p>
    <w:p>
      <w:pPr>
        <w:spacing w:after="20" w:before="60"/>
      </w:pPr>
      <w:r>
        <w:rPr>
          <w:rFonts w:ascii="Arial" w:cs="Arial" w:eastAsia="Arial" w:hAnsi="Arial"/>
          <w:b/>
          <w:bCs/>
          <w:sz w:val="18"/>
          <w:szCs w:val="18"/>
        </w:rPr>
        <w:t xml:space="preserve">Dann:</w:t>
      </w:r>
    </w:p>
    <w:p>
      <w:pPr>
        <w:spacing w:after="40" w:before="0"/>
      </w:pPr>
      <w:r>
        <w:rPr>
          <w:rFonts w:ascii="Arial" w:cs="Arial" w:eastAsia="Arial" w:hAnsi="Arial"/>
          <w:sz w:val="18"/>
          <w:szCs w:val="18"/>
        </w:rPr>
        <w:t xml:space="preserve">endvertreiber (zusätzlich)</w:t>
      </w:r>
    </w:p>
    <w:p>
      <w:pPr>
        <w:spacing w:after="20" w:before="60"/>
      </w:pPr>
      <w:r>
        <w:rPr>
          <w:rFonts w:ascii="Arial" w:cs="Arial" w:eastAsia="Arial" w:hAnsi="Arial"/>
          <w:b/>
          <w:bCs/>
          <w:sz w:val="18"/>
          <w:szCs w:val="18"/>
        </w:rPr>
        <w:t xml:space="preserve">Erläuterung:</w:t>
      </w:r>
    </w:p>
    <w:p>
      <w:pPr>
        <w:spacing w:after="40" w:before="0"/>
      </w:pPr>
      <w:r>
        <w:rPr>
          <w:rFonts w:ascii="Arial" w:cs="Arial" w:eastAsia="Arial" w:hAnsi="Arial"/>
          <w:sz w:val="18"/>
          <w:szCs w:val="18"/>
        </w:rPr>
        <w:t xml:space="preserve">Zusatzrolle bei Lieferung an Endabnehmer (auch beruflicher Endabnehmer, auch via Website). Löst endkundennahe Pflichten aus (Mehrwegangebot, Rücknahme, Pfand).</w:t>
      </w:r>
    </w:p>
    <w:p>
      <w:pPr>
        <w:keepNext/>
        <w:pBdr>
          <w:top w:val="single" w:color="24A27F" w:sz="4" w:space="4"/>
        </w:pBdr>
        <w:spacing w:after="40" w:before="260"/>
      </w:pPr>
      <w:r>
        <w:rPr>
          <w:rFonts w:ascii="Arial" w:cs="Arial" w:eastAsia="Arial" w:hAnsi="Arial"/>
          <w:b/>
          <w:bCs/>
          <w:color w:val="004494"/>
          <w:sz w:val="22"/>
          <w:szCs w:val="22"/>
        </w:rPr>
        <w:t xml:space="preserve">Regel C4  </w:t>
      </w:r>
      <w:r>
        <w:rPr>
          <w:rFonts w:ascii="Arial" w:cs="Arial" w:eastAsia="Arial" w:hAnsi="Arial"/>
          <w:b/>
          <w:bCs/>
          <w:sz w:val="22"/>
          <w:szCs w:val="22"/>
        </w:rPr>
        <w:t xml:space="preserve">Block „weitere“ · EU-weit</w:t>
      </w:r>
    </w:p>
    <w:p>
      <w:pPr>
        <w:spacing w:after="60" w:before="0"/>
      </w:pPr>
      <w:r>
        <w:rPr>
          <w:rFonts w:ascii="Arial" w:cs="Arial" w:eastAsia="Arial" w:hAnsi="Arial"/>
          <w:color w:val="6B7280"/>
          <w:sz w:val="16"/>
          <w:szCs w:val="16"/>
        </w:rPr>
        <w:t xml:space="preserve">Priorität 40 · Fundstellen: Art. 3 Abs. 1 UAbs. 3 VO (EU) 2025/40 i. V. m. Art. 3 Nr. 11 VO (EU) 2019/1020; Art. 20 VO (EU) 2025/40; ErwG 133; Leitfaden C(2026)3702, Abschn. 3</w:t>
      </w:r>
    </w:p>
    <w:p>
      <w:pPr>
        <w:spacing w:after="20" w:before="60"/>
      </w:pPr>
      <w:r>
        <w:rPr>
          <w:rFonts w:ascii="Arial" w:cs="Arial" w:eastAsia="Arial" w:hAnsi="Arial"/>
          <w:b/>
          <w:bCs/>
          <w:sz w:val="18"/>
          <w:szCs w:val="18"/>
        </w:rPr>
        <w:t xml:space="preserve">Wenn:</w:t>
      </w:r>
    </w:p>
    <w:p>
      <w:pPr>
        <w:spacing w:after="40" w:before="0"/>
      </w:pPr>
      <w:r>
        <w:rPr>
          <w:rFonts w:ascii="Arial" w:cs="Arial" w:eastAsia="Arial" w:hAnsi="Arial"/>
          <w:sz w:val="18"/>
          <w:szCs w:val="18"/>
        </w:rPr>
        <w:t xml:space="preserve">taetigkeit ENTHÄLT lagert_und_versendet_fuer_dritte UND eigentum_an_ware = nein UND dienstleistungen &gt;= 2 aus (lagerhaltung, verpackung, adressierung, versand)</w:t>
      </w:r>
    </w:p>
    <w:p>
      <w:pPr>
        <w:spacing w:after="20" w:before="60"/>
      </w:pPr>
      <w:r>
        <w:rPr>
          <w:rFonts w:ascii="Arial" w:cs="Arial" w:eastAsia="Arial" w:hAnsi="Arial"/>
          <w:b/>
          <w:bCs/>
          <w:sz w:val="18"/>
          <w:szCs w:val="18"/>
        </w:rPr>
        <w:t xml:space="preserve">Dann:</w:t>
      </w:r>
    </w:p>
    <w:p>
      <w:pPr>
        <w:spacing w:after="40" w:before="0"/>
      </w:pPr>
      <w:r>
        <w:rPr>
          <w:rFonts w:ascii="Arial" w:cs="Arial" w:eastAsia="Arial" w:hAnsi="Arial"/>
          <w:sz w:val="18"/>
          <w:szCs w:val="18"/>
        </w:rPr>
        <w:t xml:space="preserve">fulfillment_dienstleister</w:t>
      </w:r>
    </w:p>
    <w:p>
      <w:pPr>
        <w:spacing w:after="20" w:before="60"/>
      </w:pPr>
      <w:r>
        <w:rPr>
          <w:rFonts w:ascii="Arial" w:cs="Arial" w:eastAsia="Arial" w:hAnsi="Arial"/>
          <w:b/>
          <w:bCs/>
          <w:sz w:val="18"/>
          <w:szCs w:val="18"/>
        </w:rPr>
        <w:t xml:space="preserve">Erläuterung:</w:t>
      </w:r>
    </w:p>
    <w:p>
      <w:pPr>
        <w:spacing w:after="40" w:before="0"/>
      </w:pPr>
      <w:r>
        <w:rPr>
          <w:rFonts w:ascii="Arial" w:cs="Arial" w:eastAsia="Arial" w:hAnsi="Arial"/>
          <w:sz w:val="18"/>
          <w:szCs w:val="18"/>
        </w:rPr>
        <w:t xml:space="preserve">Mindestens zwei der vier Dienstleistungen ohne Eigentum an der Ware; Post-/Paket-/Frachtdienste ausgenommen. Bei Umpacken von Drittlandsware zusätzlich Prüfung Regel B4.</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w:t>
      </w:r>
    </w:p>
    <w:p>
      <w:pPr>
        <w:keepNext/>
        <w:pBdr>
          <w:top w:val="single" w:color="24A27F" w:sz="4" w:space="4"/>
        </w:pBdr>
        <w:spacing w:after="40" w:before="260"/>
      </w:pPr>
      <w:r>
        <w:rPr>
          <w:rFonts w:ascii="Arial" w:cs="Arial" w:eastAsia="Arial" w:hAnsi="Arial"/>
          <w:b/>
          <w:bCs/>
          <w:color w:val="004494"/>
          <w:sz w:val="22"/>
          <w:szCs w:val="22"/>
        </w:rPr>
        <w:t xml:space="preserve">Regel C5  </w:t>
      </w:r>
      <w:r>
        <w:rPr>
          <w:rFonts w:ascii="Arial" w:cs="Arial" w:eastAsia="Arial" w:hAnsi="Arial"/>
          <w:b/>
          <w:bCs/>
          <w:sz w:val="22"/>
          <w:szCs w:val="22"/>
        </w:rPr>
        <w:t xml:space="preserve">Block „weitere“ · EU-weit</w:t>
      </w:r>
    </w:p>
    <w:p>
      <w:pPr>
        <w:spacing w:after="60" w:before="0"/>
      </w:pPr>
      <w:r>
        <w:rPr>
          <w:rFonts w:ascii="Arial" w:cs="Arial" w:eastAsia="Arial" w:hAnsi="Arial"/>
          <w:color w:val="6B7280"/>
          <w:sz w:val="16"/>
          <w:szCs w:val="16"/>
        </w:rPr>
        <w:t xml:space="preserve">Priorität 50 · Fundstellen: Art. 3 Abs. 1 Nr. 16; Art. 16 VO (EU) 2025/40; Leitfaden C(2026)3702, Abschn. 2 (Kleinstunternehmen-Ausnahme: Lieferant kann Erzeuger werden, Regel A3)</w:t>
      </w:r>
    </w:p>
    <w:p>
      <w:pPr>
        <w:spacing w:after="20" w:before="60"/>
      </w:pPr>
      <w:r>
        <w:rPr>
          <w:rFonts w:ascii="Arial" w:cs="Arial" w:eastAsia="Arial" w:hAnsi="Arial"/>
          <w:b/>
          <w:bCs/>
          <w:sz w:val="18"/>
          <w:szCs w:val="18"/>
        </w:rPr>
        <w:t xml:space="preserve">Wenn:</w:t>
      </w:r>
    </w:p>
    <w:p>
      <w:pPr>
        <w:spacing w:after="40" w:before="0"/>
      </w:pPr>
      <w:r>
        <w:rPr>
          <w:rFonts w:ascii="Arial" w:cs="Arial" w:eastAsia="Arial" w:hAnsi="Arial"/>
          <w:sz w:val="18"/>
          <w:szCs w:val="18"/>
        </w:rPr>
        <w:t xml:space="preserve">taetigkeit ENTHÄLT liefert_verpackungen_oder_material_an_erzeuger</w:t>
      </w:r>
    </w:p>
    <w:p>
      <w:pPr>
        <w:spacing w:after="20" w:before="60"/>
      </w:pPr>
      <w:r>
        <w:rPr>
          <w:rFonts w:ascii="Arial" w:cs="Arial" w:eastAsia="Arial" w:hAnsi="Arial"/>
          <w:b/>
          <w:bCs/>
          <w:sz w:val="18"/>
          <w:szCs w:val="18"/>
        </w:rPr>
        <w:t xml:space="preserve">Dann:</w:t>
      </w:r>
    </w:p>
    <w:p>
      <w:pPr>
        <w:spacing w:after="40" w:before="0"/>
      </w:pPr>
      <w:r>
        <w:rPr>
          <w:rFonts w:ascii="Arial" w:cs="Arial" w:eastAsia="Arial" w:hAnsi="Arial"/>
          <w:sz w:val="18"/>
          <w:szCs w:val="18"/>
        </w:rPr>
        <w:t xml:space="preserve">lieferant</w:t>
      </w:r>
    </w:p>
    <w:p>
      <w:pPr>
        <w:spacing w:after="20" w:before="60"/>
      </w:pPr>
      <w:r>
        <w:rPr>
          <w:rFonts w:ascii="Arial" w:cs="Arial" w:eastAsia="Arial" w:hAnsi="Arial"/>
          <w:b/>
          <w:bCs/>
          <w:sz w:val="18"/>
          <w:szCs w:val="18"/>
        </w:rPr>
        <w:t xml:space="preserve">Erläuterung:</w:t>
      </w:r>
    </w:p>
    <w:p>
      <w:pPr>
        <w:spacing w:after="40" w:before="0"/>
      </w:pPr>
      <w:r>
        <w:rPr>
          <w:rFonts w:ascii="Arial" w:cs="Arial" w:eastAsia="Arial" w:hAnsi="Arial"/>
          <w:sz w:val="18"/>
          <w:szCs w:val="18"/>
        </w:rPr>
        <w:t xml:space="preserve">Informationspflichten gegenüber dem Erzeuger (Anhang VII); bei Serviceverpackungen zugleich potenzieller Vorvertreiber i. S. d. § 7 Abs. 2 VerpackDG.</w:t>
      </w:r>
    </w:p>
    <w:p>
      <w:pPr>
        <w:keepNext/>
        <w:pBdr>
          <w:top w:val="single" w:color="24A27F" w:sz="4" w:space="4"/>
        </w:pBdr>
        <w:spacing w:after="40" w:before="260"/>
      </w:pPr>
      <w:r>
        <w:rPr>
          <w:rFonts w:ascii="Arial" w:cs="Arial" w:eastAsia="Arial" w:hAnsi="Arial"/>
          <w:b/>
          <w:bCs/>
          <w:color w:val="004494"/>
          <w:sz w:val="22"/>
          <w:szCs w:val="22"/>
        </w:rPr>
        <w:t xml:space="preserve">Regel C6  </w:t>
      </w:r>
      <w:r>
        <w:rPr>
          <w:rFonts w:ascii="Arial" w:cs="Arial" w:eastAsia="Arial" w:hAnsi="Arial"/>
          <w:b/>
          <w:bCs/>
          <w:sz w:val="22"/>
          <w:szCs w:val="22"/>
        </w:rPr>
        <w:t xml:space="preserve">Block „weitere“ · DE</w:t>
      </w:r>
    </w:p>
    <w:p>
      <w:pPr>
        <w:spacing w:after="60" w:before="0"/>
      </w:pPr>
      <w:r>
        <w:rPr>
          <w:rFonts w:ascii="Arial" w:cs="Arial" w:eastAsia="Arial" w:hAnsi="Arial"/>
          <w:color w:val="6B7280"/>
          <w:sz w:val="16"/>
          <w:szCs w:val="16"/>
        </w:rPr>
        <w:t xml:space="preserve">Priorität 60 · Fundstellen: Art. 45 Abs. 3 Satz 1 und 2 VO (EU) 2025/40; § 5 Abs. 2–6 VerpackDG (BGBl. 2026 I Nr. 207); Leitfaden C(2026)3702, Abschn. 4</w:t>
      </w:r>
    </w:p>
    <w:p>
      <w:pPr>
        <w:spacing w:after="20" w:before="60"/>
      </w:pPr>
      <w:r>
        <w:rPr>
          <w:rFonts w:ascii="Arial" w:cs="Arial" w:eastAsia="Arial" w:hAnsi="Arial"/>
          <w:b/>
          <w:bCs/>
          <w:sz w:val="18"/>
          <w:szCs w:val="18"/>
        </w:rPr>
        <w:t xml:space="preserve">Wenn:</w:t>
      </w:r>
    </w:p>
    <w:p>
      <w:pPr>
        <w:spacing w:after="40" w:before="0"/>
      </w:pPr>
      <w:r>
        <w:rPr>
          <w:rFonts w:ascii="Arial" w:cs="Arial" w:eastAsia="Arial" w:hAnsi="Arial"/>
          <w:sz w:val="18"/>
          <w:szCs w:val="18"/>
        </w:rPr>
        <w:t xml:space="preserve">rolle = hersteller UND sitz IN (anderer_mitgliedstaat, drittland) UND niederlassung_DE = nein</w:t>
      </w:r>
    </w:p>
    <w:p>
      <w:pPr>
        <w:spacing w:after="20" w:before="60"/>
      </w:pPr>
      <w:r>
        <w:rPr>
          <w:rFonts w:ascii="Arial" w:cs="Arial" w:eastAsia="Arial" w:hAnsi="Arial"/>
          <w:b/>
          <w:bCs/>
          <w:sz w:val="18"/>
          <w:szCs w:val="18"/>
        </w:rPr>
        <w:t xml:space="preserve">Dann:</w:t>
      </w:r>
    </w:p>
    <w:p>
      <w:pPr>
        <w:spacing w:after="40" w:before="0"/>
      </w:pPr>
      <w:r>
        <w:rPr>
          <w:rFonts w:ascii="Arial" w:cs="Arial" w:eastAsia="Arial" w:hAnsi="Arial"/>
          <w:sz w:val="18"/>
          <w:szCs w:val="18"/>
        </w:rPr>
        <w:t xml:space="preserve">pflicht: bevollmaechtigter_ehv beauftragen/benennen (vor erster Bereitstellung)</w:t>
      </w:r>
    </w:p>
    <w:p>
      <w:pPr>
        <w:spacing w:after="20" w:before="60"/>
      </w:pPr>
      <w:r>
        <w:rPr>
          <w:rFonts w:ascii="Arial" w:cs="Arial" w:eastAsia="Arial" w:hAnsi="Arial"/>
          <w:b/>
          <w:bCs/>
          <w:sz w:val="18"/>
          <w:szCs w:val="18"/>
        </w:rPr>
        <w:t xml:space="preserve">Erläuterung:</w:t>
      </w:r>
    </w:p>
    <w:p>
      <w:pPr>
        <w:spacing w:after="40" w:before="0"/>
      </w:pPr>
      <w:r>
        <w:rPr>
          <w:rFonts w:ascii="Arial" w:cs="Arial" w:eastAsia="Arial" w:hAnsi="Arial"/>
          <w:sz w:val="18"/>
          <w:szCs w:val="18"/>
        </w:rPr>
        <w:t xml:space="preserve">DE hat die Drittlands-Option des Art. 45 Abs. 3 Satz 2 ausgeübt (§ 5 Abs. 2 Satz 2 VerpackDG). Nur ein Bevollmächtigter je Hersteller; schriftliche Vollmacht auf Deutsch; Benennung gegenüber ZSVR mit Bestätigung; Registrierung nicht delegierbar. | Delta 17.10.2026: Watch-Item, vgl. Praxisfrage A35.</w:t>
      </w:r>
    </w:p>
    <w:p>
      <w:pPr>
        <w:pStyle w:val="Heading1"/>
        <w:pageBreakBefore/>
        <w:spacing w:after="160" w:before="0"/>
      </w:pPr>
      <w:r>
        <w:rPr>
          <w:rFonts w:ascii="Arial" w:cs="Arial" w:eastAsia="Arial" w:hAnsi="Arial"/>
          <w:b/>
          <w:bCs/>
          <w:color w:val="004494"/>
          <w:sz w:val="30"/>
          <w:szCs w:val="30"/>
        </w:rPr>
        <w:t xml:space="preserve">5. Vereinfachungs-Hinweise (8)</w:t>
      </w:r>
    </w:p>
    <w:p>
      <w:pPr>
        <w:keepNext/>
        <w:pBdr>
          <w:top w:val="single" w:color="24A27F" w:sz="4" w:space="4"/>
        </w:pBdr>
        <w:spacing w:after="40" w:before="260"/>
      </w:pPr>
      <w:r>
        <w:rPr>
          <w:rFonts w:ascii="Arial" w:cs="Arial" w:eastAsia="Arial" w:hAnsi="Arial"/>
          <w:b/>
          <w:bCs/>
          <w:color w:val="004494"/>
          <w:sz w:val="22"/>
          <w:szCs w:val="22"/>
        </w:rPr>
        <w:t xml:space="preserve">H01  </w:t>
      </w:r>
      <w:r>
        <w:rPr>
          <w:rFonts w:ascii="Arial" w:cs="Arial" w:eastAsia="Arial" w:hAnsi="Arial"/>
          <w:b/>
          <w:bCs/>
          <w:sz w:val="22"/>
          <w:szCs w:val="22"/>
        </w:rPr>
        <w:t xml:space="preserve">Umschlag oder Karton statt Folie prüfen</w:t>
      </w:r>
    </w:p>
    <w:p>
      <w:pPr>
        <w:spacing w:after="60" w:before="0"/>
      </w:pPr>
      <w:r>
        <w:rPr>
          <w:rFonts w:ascii="Arial" w:cs="Arial" w:eastAsia="Arial" w:hAnsi="Arial"/>
          <w:color w:val="6B7280"/>
          <w:sz w:val="16"/>
          <w:szCs w:val="16"/>
        </w:rPr>
        <w:t xml:space="preserve">Bedingung: folie_selbst_angewendet · Verweise: A31, A23</w:t>
      </w:r>
    </w:p>
    <w:p>
      <w:pPr>
        <w:spacing w:after="20" w:before="60"/>
      </w:pPr>
      <w:r>
        <w:rPr>
          <w:rFonts w:ascii="Arial" w:cs="Arial" w:eastAsia="Arial" w:hAnsi="Arial"/>
          <w:b/>
          <w:bCs/>
          <w:sz w:val="18"/>
          <w:szCs w:val="18"/>
        </w:rPr>
        <w:t xml:space="preserve">Text:</w:t>
      </w:r>
    </w:p>
    <w:p>
      <w:pPr>
        <w:spacing w:after="40" w:before="0"/>
      </w:pPr>
      <w:r>
        <w:rPr>
          <w:rFonts w:ascii="Arial" w:cs="Arial" w:eastAsia="Arial" w:hAnsi="Arial"/>
          <w:sz w:val="18"/>
          <w:szCs w:val="18"/>
        </w:rPr>
        <w:t xml:space="preserve">Für Folie, die Sie selbst anwenden, tragen Sie nach der Lesart der ZSVR Erzeuger- und Herstellerpflichten: Konformitätserklärung, Erzeugerkennzeichnung, LUCID-Meldung. Bei einem fertig gekauften Umschlag oder Karton eines deutschen Lieferanten liegen beide Rollen beim Lieferanten; Sie prüfen nur dessen Registrierung. Ob ein Umschlag die Folie ersetzen kann, ist eine Frage von Produktschutz, Porto und Kosten. Das ist ein Hinweis zur Vereinfachung, keine Empfehlung für Ihren Einzelfall.</w:t>
      </w:r>
    </w:p>
    <w:p>
      <w:pPr>
        <w:spacing w:after="20" w:before="60"/>
      </w:pPr>
      <w:r>
        <w:rPr>
          <w:rFonts w:ascii="Arial" w:cs="Arial" w:eastAsia="Arial" w:hAnsi="Arial"/>
          <w:b/>
          <w:bCs/>
          <w:sz w:val="18"/>
          <w:szCs w:val="18"/>
        </w:rPr>
        <w:t xml:space="preserve">Fundstellen:</w:t>
      </w:r>
    </w:p>
    <w:p>
      <w:pPr>
        <w:spacing w:after="40" w:before="0"/>
      </w:pPr>
      <w:r>
        <w:rPr>
          <w:rFonts w:ascii="Arial" w:cs="Arial" w:eastAsia="Arial" w:hAnsi="Arial"/>
          <w:sz w:val="18"/>
          <w:szCs w:val="18"/>
        </w:rPr>
        <w:t xml:space="preserve">Art. 3 Abs. 1 Nr. 13 und Nr. 15 lit. a PPWR (VO (EU) 2025/40); ZSVR: „Abgrenzung Erzeuger &amp; Hersteller“ (Behördeninformation, keine Rechtsnorm)</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(neu 10/2026) Beruht auf der ZSVR-Lesart zu flexibler Verpackung (Regel D2); Kommissions-FAQ sieht den Folienhersteller als Erzeuger. Freigabe zusammen mit D2.</w:t>
      </w:r>
    </w:p>
    <w:p>
      <w:pPr>
        <w:keepNext/>
        <w:pBdr>
          <w:top w:val="single" w:color="24A27F" w:sz="4" w:space="4"/>
        </w:pBdr>
        <w:spacing w:after="40" w:before="260"/>
      </w:pPr>
      <w:r>
        <w:rPr>
          <w:rFonts w:ascii="Arial" w:cs="Arial" w:eastAsia="Arial" w:hAnsi="Arial"/>
          <w:b/>
          <w:bCs/>
          <w:color w:val="004494"/>
          <w:sz w:val="22"/>
          <w:szCs w:val="22"/>
        </w:rPr>
        <w:t xml:space="preserve">H02  </w:t>
      </w:r>
      <w:r>
        <w:rPr>
          <w:rFonts w:ascii="Arial" w:cs="Arial" w:eastAsia="Arial" w:hAnsi="Arial"/>
          <w:b/>
          <w:bCs/>
          <w:sz w:val="22"/>
          <w:szCs w:val="22"/>
        </w:rPr>
        <w:t xml:space="preserve">Bezug aus Deutschland verlagert die Herstellerpflichten</w:t>
      </w:r>
    </w:p>
    <w:p>
      <w:pPr>
        <w:spacing w:after="60" w:before="0"/>
      </w:pPr>
      <w:r>
        <w:rPr>
          <w:rFonts w:ascii="Arial" w:cs="Arial" w:eastAsia="Arial" w:hAnsi="Arial"/>
          <w:color w:val="6B7280"/>
          <w:sz w:val="16"/>
          <w:szCs w:val="16"/>
        </w:rPr>
        <w:t xml:space="preserve">Bedingung: lieferant_ausland_formstabil · Verweise: A19, B14</w:t>
      </w:r>
    </w:p>
    <w:p>
      <w:pPr>
        <w:spacing w:after="20" w:before="60"/>
      </w:pPr>
      <w:r>
        <w:rPr>
          <w:rFonts w:ascii="Arial" w:cs="Arial" w:eastAsia="Arial" w:hAnsi="Arial"/>
          <w:b/>
          <w:bCs/>
          <w:sz w:val="18"/>
          <w:szCs w:val="18"/>
        </w:rPr>
        <w:t xml:space="preserve">Text:</w:t>
      </w:r>
    </w:p>
    <w:p>
      <w:pPr>
        <w:spacing w:after="40" w:before="0"/>
      </w:pPr>
      <w:r>
        <w:rPr>
          <w:rFonts w:ascii="Arial" w:cs="Arial" w:eastAsia="Arial" w:hAnsi="Arial"/>
          <w:sz w:val="18"/>
          <w:szCs w:val="18"/>
        </w:rPr>
        <w:t xml:space="preserve">Kaufen Sie leere Transportverpackung im EU-Ausland oder in einem Drittland, sind Sie der erste Bereitsteller in Deutschland und damit Hersteller: Registrierung, Systembeteiligung, Datenmeldung für diese Verpackung. Beziehen Sie dieselbe Verpackung von einem in Deutschland ansässigen Lieferanten, übernimmt dieser die Herstellerrolle, und Sie prüfen nur seine Registrierung. Beim Drittlandbezug kommt die Importeurspflicht hinzu. Ob der Wechsel wirtschaftlich sinnvoll ist, entscheiden Sie.</w:t>
      </w:r>
    </w:p>
    <w:p>
      <w:pPr>
        <w:spacing w:after="20" w:before="60"/>
      </w:pPr>
      <w:r>
        <w:rPr>
          <w:rFonts w:ascii="Arial" w:cs="Arial" w:eastAsia="Arial" w:hAnsi="Arial"/>
          <w:b/>
          <w:bCs/>
          <w:sz w:val="18"/>
          <w:szCs w:val="18"/>
        </w:rPr>
        <w:t xml:space="preserve">Fundstellen:</w:t>
      </w:r>
    </w:p>
    <w:p>
      <w:pPr>
        <w:spacing w:after="40" w:before="0"/>
      </w:pPr>
      <w:r>
        <w:rPr>
          <w:rFonts w:ascii="Arial" w:cs="Arial" w:eastAsia="Arial" w:hAnsi="Arial"/>
          <w:sz w:val="18"/>
          <w:szCs w:val="18"/>
        </w:rPr>
        <w:t xml:space="preserve">Art. 3 Abs. 1 Nr. 15 lit. a und Nr. 17 PPWR (VO (EU) 2025/40); Art. 18 PPWR; §§ 6, 7 VerpackDG (BGBl. 2026 I Nr. 207)</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(neu 10/2026) Regel D4; Fundstellen am Volltext pinnen (lit. a vs. lit. b bei verpackter Ware).</w:t>
      </w:r>
    </w:p>
    <w:p>
      <w:pPr>
        <w:keepNext/>
        <w:pBdr>
          <w:top w:val="single" w:color="24A27F" w:sz="4" w:space="4"/>
        </w:pBdr>
        <w:spacing w:after="40" w:before="260"/>
      </w:pPr>
      <w:r>
        <w:rPr>
          <w:rFonts w:ascii="Arial" w:cs="Arial" w:eastAsia="Arial" w:hAnsi="Arial"/>
          <w:b/>
          <w:bCs/>
          <w:color w:val="004494"/>
          <w:sz w:val="22"/>
          <w:szCs w:val="22"/>
        </w:rPr>
        <w:t xml:space="preserve">H03  </w:t>
      </w:r>
      <w:r>
        <w:rPr>
          <w:rFonts w:ascii="Arial" w:cs="Arial" w:eastAsia="Arial" w:hAnsi="Arial"/>
          <w:b/>
          <w:bCs/>
          <w:sz w:val="22"/>
          <w:szCs w:val="22"/>
        </w:rPr>
        <w:t xml:space="preserve">Fertig konfektionierte Verpackung kaufen</w:t>
      </w:r>
    </w:p>
    <w:p>
      <w:pPr>
        <w:spacing w:after="60" w:before="0"/>
      </w:pPr>
      <w:r>
        <w:rPr>
          <w:rFonts w:ascii="Arial" w:cs="Arial" w:eastAsia="Arial" w:hAnsi="Arial"/>
          <w:color w:val="6B7280"/>
          <w:sz w:val="16"/>
          <w:szCs w:val="16"/>
        </w:rPr>
        <w:t xml:space="preserve">Bedingung: selbst_zusammengefuegt · Verweise: A31, A30</w:t>
      </w:r>
    </w:p>
    <w:p>
      <w:pPr>
        <w:spacing w:after="20" w:before="60"/>
      </w:pPr>
      <w:r>
        <w:rPr>
          <w:rFonts w:ascii="Arial" w:cs="Arial" w:eastAsia="Arial" w:hAnsi="Arial"/>
          <w:b/>
          <w:bCs/>
          <w:sz w:val="18"/>
          <w:szCs w:val="18"/>
        </w:rPr>
        <w:t xml:space="preserve">Text:</w:t>
      </w:r>
    </w:p>
    <w:p>
      <w:pPr>
        <w:spacing w:after="40" w:before="0"/>
      </w:pPr>
      <w:r>
        <w:rPr>
          <w:rFonts w:ascii="Arial" w:cs="Arial" w:eastAsia="Arial" w:hAnsi="Arial"/>
          <w:sz w:val="18"/>
          <w:szCs w:val="18"/>
        </w:rPr>
        <w:t xml:space="preserve">Wer Kartons selbst aufrichtet und verklebt oder Zuschnitte selbst konfektioniert, wird nach der Lesart der ZSVR Erzeuger und Hersteller der Versandverpackung. Bei fertig bezogener, unverändert verwendeter Verpackung eines deutschen Lieferanten liegen diese Rollen beim Lieferanten. Die Kommission sieht das weniger streng, die Frage ist offen. Wer die Unsicherheit vermeiden will, kauft fertig konfektioniert und lässt sich die Angaben nach Art. 16 PPWR vom Lieferanten geben.</w:t>
      </w:r>
    </w:p>
    <w:p>
      <w:pPr>
        <w:spacing w:after="20" w:before="60"/>
      </w:pPr>
      <w:r>
        <w:rPr>
          <w:rFonts w:ascii="Arial" w:cs="Arial" w:eastAsia="Arial" w:hAnsi="Arial"/>
          <w:b/>
          <w:bCs/>
          <w:sz w:val="18"/>
          <w:szCs w:val="18"/>
        </w:rPr>
        <w:t xml:space="preserve">Fundstellen:</w:t>
      </w:r>
    </w:p>
    <w:p>
      <w:pPr>
        <w:spacing w:after="40" w:before="0"/>
      </w:pPr>
      <w:r>
        <w:rPr>
          <w:rFonts w:ascii="Arial" w:cs="Arial" w:eastAsia="Arial" w:hAnsi="Arial"/>
          <w:sz w:val="18"/>
          <w:szCs w:val="18"/>
        </w:rPr>
        <w:t xml:space="preserve">Art. 3 Abs. 1 Nr. 13 PPWR (VO (EU) 2025/40); Art. 16 Abs. 1 PPWR; ZSVR: „Versand- und Onlinehandel“, Fall B.2 (Behördeninformation); Kommissions-FAQ 2. Ed. Kap. II FAQ 5 (unverbindliche Auslegung)</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(neu 10/2026) Regel D3; Divergenz Kommission/ZSVR offen.</w:t>
      </w:r>
    </w:p>
    <w:p>
      <w:pPr>
        <w:keepNext/>
        <w:pBdr>
          <w:top w:val="single" w:color="24A27F" w:sz="4" w:space="4"/>
        </w:pBdr>
        <w:spacing w:after="40" w:before="260"/>
      </w:pPr>
      <w:r>
        <w:rPr>
          <w:rFonts w:ascii="Arial" w:cs="Arial" w:eastAsia="Arial" w:hAnsi="Arial"/>
          <w:b/>
          <w:bCs/>
          <w:color w:val="004494"/>
          <w:sz w:val="22"/>
          <w:szCs w:val="22"/>
        </w:rPr>
        <w:t xml:space="preserve">H04  </w:t>
      </w:r>
      <w:r>
        <w:rPr>
          <w:rFonts w:ascii="Arial" w:cs="Arial" w:eastAsia="Arial" w:hAnsi="Arial"/>
          <w:b/>
          <w:bCs/>
          <w:sz w:val="22"/>
          <w:szCs w:val="22"/>
        </w:rPr>
        <w:t xml:space="preserve">Als Kleinstunternehmen: Lieferant im selben Mitgliedstaat</w:t>
      </w:r>
    </w:p>
    <w:p>
      <w:pPr>
        <w:spacing w:after="60" w:before="0"/>
      </w:pPr>
      <w:r>
        <w:rPr>
          <w:rFonts w:ascii="Arial" w:cs="Arial" w:eastAsia="Arial" w:hAnsi="Arial"/>
          <w:color w:val="6B7280"/>
          <w:sz w:val="16"/>
          <w:szCs w:val="16"/>
        </w:rPr>
        <w:t xml:space="preserve">Bedingung: kleinst_lieferant_eu · Verweise: A04, A05, A06</w:t>
      </w:r>
    </w:p>
    <w:p>
      <w:pPr>
        <w:spacing w:after="20" w:before="60"/>
      </w:pPr>
      <w:r>
        <w:rPr>
          <w:rFonts w:ascii="Arial" w:cs="Arial" w:eastAsia="Arial" w:hAnsi="Arial"/>
          <w:b/>
          <w:bCs/>
          <w:sz w:val="18"/>
          <w:szCs w:val="18"/>
        </w:rPr>
        <w:t xml:space="preserve">Text:</w:t>
      </w:r>
    </w:p>
    <w:p>
      <w:pPr>
        <w:spacing w:after="40" w:before="0"/>
      </w:pPr>
      <w:r>
        <w:rPr>
          <w:rFonts w:ascii="Arial" w:cs="Arial" w:eastAsia="Arial" w:hAnsi="Arial"/>
          <w:sz w:val="18"/>
          <w:szCs w:val="18"/>
        </w:rPr>
        <w:t xml:space="preserve">Lassen Sie als Kleinstunternehmen Verpackung unter eigener Marke herstellen, geht die Erzeugerrolle auf den Lieferanten über, wenn dieser im selben Mitgliedstaat sitzt (Art. 3 Abs. 1 Nr. 13 lit. b PPWR). Sitzt Ihr Lieferant im Ausland, bleiben Sie Erzeuger mit Konformitätsbewertung, Dokumentation und Erklärung. Ein Lieferant in Deutschland entlastet Sie von diesen Pflichten; die Kleinstunternehmens-Schwelle (unter 10 Beschäftigte, Umsatz oder Bilanzsumme bis 2 Mio. Euro) müssen Sie dafür einhalten.</w:t>
      </w:r>
    </w:p>
    <w:p>
      <w:pPr>
        <w:spacing w:after="20" w:before="60"/>
      </w:pPr>
      <w:r>
        <w:rPr>
          <w:rFonts w:ascii="Arial" w:cs="Arial" w:eastAsia="Arial" w:hAnsi="Arial"/>
          <w:b/>
          <w:bCs/>
          <w:sz w:val="18"/>
          <w:szCs w:val="18"/>
        </w:rPr>
        <w:t xml:space="preserve">Fundstellen:</w:t>
      </w:r>
    </w:p>
    <w:p>
      <w:pPr>
        <w:spacing w:after="40" w:before="0"/>
      </w:pPr>
      <w:r>
        <w:rPr>
          <w:rFonts w:ascii="Arial" w:cs="Arial" w:eastAsia="Arial" w:hAnsi="Arial"/>
          <w:sz w:val="18"/>
          <w:szCs w:val="18"/>
        </w:rPr>
        <w:t xml:space="preserve">Art. 3 Abs. 1 Nr. 13 lit. b PPWR (VO (EU) 2025/40); Empfehlung 2003/361/EG</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(neu 10/2026) Regel A3 (Flag offen: Verbund-/Franchise-Berechnung U8).</w:t>
      </w:r>
    </w:p>
    <w:p>
      <w:pPr>
        <w:keepNext/>
        <w:pBdr>
          <w:top w:val="single" w:color="24A27F" w:sz="4" w:space="4"/>
        </w:pBdr>
        <w:spacing w:after="40" w:before="260"/>
      </w:pPr>
      <w:r>
        <w:rPr>
          <w:rFonts w:ascii="Arial" w:cs="Arial" w:eastAsia="Arial" w:hAnsi="Arial"/>
          <w:b/>
          <w:bCs/>
          <w:color w:val="004494"/>
          <w:sz w:val="22"/>
          <w:szCs w:val="22"/>
        </w:rPr>
        <w:t xml:space="preserve">H05  </w:t>
      </w:r>
      <w:r>
        <w:rPr>
          <w:rFonts w:ascii="Arial" w:cs="Arial" w:eastAsia="Arial" w:hAnsi="Arial"/>
          <w:b/>
          <w:bCs/>
          <w:sz w:val="22"/>
          <w:szCs w:val="22"/>
        </w:rPr>
        <w:t xml:space="preserve">Kartongrößen jetzt schon auf die Leerraumquote ausrichten</w:t>
      </w:r>
    </w:p>
    <w:p>
      <w:pPr>
        <w:spacing w:after="60" w:before="0"/>
      </w:pPr>
      <w:r>
        <w:rPr>
          <w:rFonts w:ascii="Arial" w:cs="Arial" w:eastAsia="Arial" w:hAnsi="Arial"/>
          <w:color w:val="6B7280"/>
          <w:sz w:val="16"/>
          <w:szCs w:val="16"/>
        </w:rPr>
        <w:t xml:space="preserve">Bedingung: transport_leerraum</w:t>
      </w:r>
    </w:p>
    <w:p>
      <w:pPr>
        <w:spacing w:after="20" w:before="60"/>
      </w:pPr>
      <w:r>
        <w:rPr>
          <w:rFonts w:ascii="Arial" w:cs="Arial" w:eastAsia="Arial" w:hAnsi="Arial"/>
          <w:b/>
          <w:bCs/>
          <w:sz w:val="18"/>
          <w:szCs w:val="18"/>
        </w:rPr>
        <w:t xml:space="preserve">Text:</w:t>
      </w:r>
    </w:p>
    <w:p>
      <w:pPr>
        <w:spacing w:after="40" w:before="0"/>
      </w:pPr>
      <w:r>
        <w:rPr>
          <w:rFonts w:ascii="Arial" w:cs="Arial" w:eastAsia="Arial" w:hAnsi="Arial"/>
          <w:sz w:val="18"/>
          <w:szCs w:val="18"/>
        </w:rPr>
        <w:t xml:space="preserve">Ab dem 01.01.2030 darf der Leerraum in Um-, Transport- und E-Commerce-Verpackungen 50 Prozent nicht überschreiten. Wer Verpackungsgrößen oder Füllmaterial jetzt neu festlegt, spart sich eine zweite Umstellung. Für Versandkartons heißt das: wenige passende Größen statt eines Universalkartons.</w:t>
      </w:r>
    </w:p>
    <w:p>
      <w:pPr>
        <w:spacing w:after="20" w:before="60"/>
      </w:pPr>
      <w:r>
        <w:rPr>
          <w:rFonts w:ascii="Arial" w:cs="Arial" w:eastAsia="Arial" w:hAnsi="Arial"/>
          <w:b/>
          <w:bCs/>
          <w:sz w:val="18"/>
          <w:szCs w:val="18"/>
        </w:rPr>
        <w:t xml:space="preserve">Fundstellen:</w:t>
      </w:r>
    </w:p>
    <w:p>
      <w:pPr>
        <w:spacing w:after="40" w:before="0"/>
      </w:pPr>
      <w:r>
        <w:rPr>
          <w:rFonts w:ascii="Arial" w:cs="Arial" w:eastAsia="Arial" w:hAnsi="Arial"/>
          <w:sz w:val="18"/>
          <w:szCs w:val="18"/>
        </w:rPr>
        <w:t xml:space="preserve">Art. 24 Abs. 1 PPWR (VO (EU) 2025/40)</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(neu 10/2026) Rechtsakt zur Berechnungsmethode steht aus (Anforderung #18).</w:t>
      </w:r>
    </w:p>
    <w:p>
      <w:pPr>
        <w:keepNext/>
        <w:pBdr>
          <w:top w:val="single" w:color="24A27F" w:sz="4" w:space="4"/>
        </w:pBdr>
        <w:spacing w:after="40" w:before="260"/>
      </w:pPr>
      <w:r>
        <w:rPr>
          <w:rFonts w:ascii="Arial" w:cs="Arial" w:eastAsia="Arial" w:hAnsi="Arial"/>
          <w:b/>
          <w:bCs/>
          <w:color w:val="004494"/>
          <w:sz w:val="22"/>
          <w:szCs w:val="22"/>
        </w:rPr>
        <w:t xml:space="preserve">H06  </w:t>
      </w:r>
      <w:r>
        <w:rPr>
          <w:rFonts w:ascii="Arial" w:cs="Arial" w:eastAsia="Arial" w:hAnsi="Arial"/>
          <w:b/>
          <w:bCs/>
          <w:sz w:val="22"/>
          <w:szCs w:val="22"/>
        </w:rPr>
        <w:t xml:space="preserve">Registrierungsnummer des Lieferanten einholen</w:t>
      </w:r>
    </w:p>
    <w:p>
      <w:pPr>
        <w:spacing w:after="60" w:before="0"/>
      </w:pPr>
      <w:r>
        <w:rPr>
          <w:rFonts w:ascii="Arial" w:cs="Arial" w:eastAsia="Arial" w:hAnsi="Arial"/>
          <w:color w:val="6B7280"/>
          <w:sz w:val="16"/>
          <w:szCs w:val="16"/>
        </w:rPr>
        <w:t xml:space="preserve">Bedingung: vertreiber_lieferant_pruefen · Verweise: B14</w:t>
      </w:r>
    </w:p>
    <w:p>
      <w:pPr>
        <w:spacing w:after="20" w:before="60"/>
      </w:pPr>
      <w:r>
        <w:rPr>
          <w:rFonts w:ascii="Arial" w:cs="Arial" w:eastAsia="Arial" w:hAnsi="Arial"/>
          <w:b/>
          <w:bCs/>
          <w:sz w:val="18"/>
          <w:szCs w:val="18"/>
        </w:rPr>
        <w:t xml:space="preserve">Text:</w:t>
      </w:r>
    </w:p>
    <w:p>
      <w:pPr>
        <w:spacing w:after="40" w:before="0"/>
      </w:pPr>
      <w:r>
        <w:rPr>
          <w:rFonts w:ascii="Arial" w:cs="Arial" w:eastAsia="Arial" w:hAnsi="Arial"/>
          <w:sz w:val="18"/>
          <w:szCs w:val="18"/>
        </w:rPr>
        <w:t xml:space="preserve">Für Verpackung, bei der Ihr Lieferant Hersteller ist, müssen Sie als Vertreiber prüfen, dass er im Verpackungsregister LUCID registriert ist, bevor Sie die Verpackung weitergeben. Lassen Sie sich die LUCID-Registrierungsnummer schriftlich bestätigen und legen Sie sie zur Verpackung ab. Das ersetzt für diese Verpackung Ihre eigene Lizenzierung nicht automatisch, belegt aber, dass die Pflicht beim Lieferanten liegt.</w:t>
      </w:r>
    </w:p>
    <w:p>
      <w:pPr>
        <w:spacing w:after="20" w:before="60"/>
      </w:pPr>
      <w:r>
        <w:rPr>
          <w:rFonts w:ascii="Arial" w:cs="Arial" w:eastAsia="Arial" w:hAnsi="Arial"/>
          <w:b/>
          <w:bCs/>
          <w:sz w:val="18"/>
          <w:szCs w:val="18"/>
        </w:rPr>
        <w:t xml:space="preserve">Fundstellen:</w:t>
      </w:r>
    </w:p>
    <w:p>
      <w:pPr>
        <w:spacing w:after="40" w:before="0"/>
      </w:pPr>
      <w:r>
        <w:rPr>
          <w:rFonts w:ascii="Arial" w:cs="Arial" w:eastAsia="Arial" w:hAnsi="Arial"/>
          <w:sz w:val="18"/>
          <w:szCs w:val="18"/>
        </w:rPr>
        <w:t xml:space="preserve">Art. 19 PPWR (VO (EU) 2025/40); Art. 44 PPWR; § 13 Abs. 3 VerpackDG (BGBl. 2026 I Nr. 207); § 6 Abs. 4 VerpackDG</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(neu 10/2026) Fundstellen aus B14 übernommen, am Volltext pinnen.</w:t>
      </w:r>
    </w:p>
    <w:p>
      <w:pPr>
        <w:keepNext/>
        <w:pBdr>
          <w:top w:val="single" w:color="24A27F" w:sz="4" w:space="4"/>
        </w:pBdr>
        <w:spacing w:after="40" w:before="260"/>
      </w:pPr>
      <w:r>
        <w:rPr>
          <w:rFonts w:ascii="Arial" w:cs="Arial" w:eastAsia="Arial" w:hAnsi="Arial"/>
          <w:b/>
          <w:bCs/>
          <w:color w:val="004494"/>
          <w:sz w:val="22"/>
          <w:szCs w:val="22"/>
        </w:rPr>
        <w:t xml:space="preserve">H07  </w:t>
      </w:r>
      <w:r>
        <w:rPr>
          <w:rFonts w:ascii="Arial" w:cs="Arial" w:eastAsia="Arial" w:hAnsi="Arial"/>
          <w:b/>
          <w:bCs/>
          <w:sz w:val="22"/>
          <w:szCs w:val="22"/>
        </w:rPr>
        <w:t xml:space="preserve">Eine Konformitätserklärung je Verpackungseinheit</w:t>
      </w:r>
    </w:p>
    <w:p>
      <w:pPr>
        <w:spacing w:after="60" w:before="0"/>
      </w:pPr>
      <w:r>
        <w:rPr>
          <w:rFonts w:ascii="Arial" w:cs="Arial" w:eastAsia="Arial" w:hAnsi="Arial"/>
          <w:color w:val="6B7280"/>
          <w:sz w:val="16"/>
          <w:szCs w:val="16"/>
        </w:rPr>
        <w:t xml:space="preserve">Bedingung: erzeuger_mehrere_bestandteile · Verweise: C16, C03</w:t>
      </w:r>
    </w:p>
    <w:p>
      <w:pPr>
        <w:spacing w:after="20" w:before="60"/>
      </w:pPr>
      <w:r>
        <w:rPr>
          <w:rFonts w:ascii="Arial" w:cs="Arial" w:eastAsia="Arial" w:hAnsi="Arial"/>
          <w:b/>
          <w:bCs/>
          <w:sz w:val="18"/>
          <w:szCs w:val="18"/>
        </w:rPr>
        <w:t xml:space="preserve">Text:</w:t>
      </w:r>
    </w:p>
    <w:p>
      <w:pPr>
        <w:spacing w:after="40" w:before="0"/>
      </w:pPr>
      <w:r>
        <w:rPr>
          <w:rFonts w:ascii="Arial" w:cs="Arial" w:eastAsia="Arial" w:hAnsi="Arial"/>
          <w:sz w:val="18"/>
          <w:szCs w:val="18"/>
        </w:rPr>
        <w:t xml:space="preserve">Besteht Ihre Verpackung aus mehreren Bestandteilen (Karton, Einlage, Folie), die zusammen in Verkehr gebracht werden, kann eine Konformitätsbewertung und eine Erklärung die gesamte Einheit abdecken. Sie brauchen also nicht je Bestandteil ein Dokument, wohl aber je Bestandteil die Nachweise des Lieferanten. Legen Sie Verpackungen, die immer zusammen versendet werden, als eine Einheit an.</w:t>
      </w:r>
    </w:p>
    <w:p>
      <w:pPr>
        <w:spacing w:after="20" w:before="60"/>
      </w:pPr>
      <w:r>
        <w:rPr>
          <w:rFonts w:ascii="Arial" w:cs="Arial" w:eastAsia="Arial" w:hAnsi="Arial"/>
          <w:b/>
          <w:bCs/>
          <w:sz w:val="18"/>
          <w:szCs w:val="18"/>
        </w:rPr>
        <w:t xml:space="preserve">Fundstellen:</w:t>
      </w:r>
    </w:p>
    <w:p>
      <w:pPr>
        <w:spacing w:after="40" w:before="0"/>
      </w:pPr>
      <w:r>
        <w:rPr>
          <w:rFonts w:ascii="Arial" w:cs="Arial" w:eastAsia="Arial" w:hAnsi="Arial"/>
          <w:sz w:val="18"/>
          <w:szCs w:val="18"/>
        </w:rPr>
        <w:t xml:space="preserve">Art. 38 und 39 PPWR (VO (EU) 2025/40); Kommissions-FAQ 2. Ed. Kap. XV FAQ 5 (unverbindliche Auslegung)</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(neu 10/2026) Begriff „Verpackungseinheit“ nicht normiert; vgl. C16.</w:t>
      </w:r>
    </w:p>
    <w:p>
      <w:pPr>
        <w:keepNext/>
        <w:pBdr>
          <w:top w:val="single" w:color="24A27F" w:sz="4" w:space="4"/>
        </w:pBdr>
        <w:spacing w:after="40" w:before="260"/>
      </w:pPr>
      <w:r>
        <w:rPr>
          <w:rFonts w:ascii="Arial" w:cs="Arial" w:eastAsia="Arial" w:hAnsi="Arial"/>
          <w:b/>
          <w:bCs/>
          <w:color w:val="004494"/>
          <w:sz w:val="22"/>
          <w:szCs w:val="22"/>
        </w:rPr>
        <w:t xml:space="preserve">H08  </w:t>
      </w:r>
      <w:r>
        <w:rPr>
          <w:rFonts w:ascii="Arial" w:cs="Arial" w:eastAsia="Arial" w:hAnsi="Arial"/>
          <w:b/>
          <w:bCs/>
          <w:sz w:val="22"/>
          <w:szCs w:val="22"/>
        </w:rPr>
        <w:t xml:space="preserve">Lagerbestände nicht umetikettieren</w:t>
      </w:r>
    </w:p>
    <w:p>
      <w:pPr>
        <w:spacing w:after="60" w:before="0"/>
      </w:pPr>
      <w:r>
        <w:rPr>
          <w:rFonts w:ascii="Arial" w:cs="Arial" w:eastAsia="Arial" w:hAnsi="Arial"/>
          <w:color w:val="6B7280"/>
          <w:sz w:val="16"/>
          <w:szCs w:val="16"/>
        </w:rPr>
        <w:t xml:space="preserve">Bedingung: erzeuger_lagerware · Verweise: C15, C01</w:t>
      </w:r>
    </w:p>
    <w:p>
      <w:pPr>
        <w:spacing w:after="20" w:before="60"/>
      </w:pPr>
      <w:r>
        <w:rPr>
          <w:rFonts w:ascii="Arial" w:cs="Arial" w:eastAsia="Arial" w:hAnsi="Arial"/>
          <w:b/>
          <w:bCs/>
          <w:sz w:val="18"/>
          <w:szCs w:val="18"/>
        </w:rPr>
        <w:t xml:space="preserve">Text:</w:t>
      </w:r>
    </w:p>
    <w:p>
      <w:pPr>
        <w:spacing w:after="40" w:before="0"/>
      </w:pPr>
      <w:r>
        <w:rPr>
          <w:rFonts w:ascii="Arial" w:cs="Arial" w:eastAsia="Arial" w:hAnsi="Arial"/>
          <w:sz w:val="18"/>
          <w:szCs w:val="18"/>
        </w:rPr>
        <w:t xml:space="preserve">Für Verpackung, die vor dem 12.08.2026 produziert, aber noch nicht in Verkehr gebracht wurde, erwartet die Kommission keine Umetikettierung: Die Erzeugerangaben nach Art. 15 Abs. 5 und 6 dürfen über Begleitdokumente mitgegeben werden, eine Chargennummer genügt. Dokumentieren Sie je Charge Name, Marke, Anschrift und Kontaktweg in den Lieferpapieren, statt Bestände neu zu bedrucken.</w:t>
      </w:r>
    </w:p>
    <w:p>
      <w:pPr>
        <w:spacing w:after="20" w:before="60"/>
      </w:pPr>
      <w:r>
        <w:rPr>
          <w:rFonts w:ascii="Arial" w:cs="Arial" w:eastAsia="Arial" w:hAnsi="Arial"/>
          <w:b/>
          <w:bCs/>
          <w:sz w:val="18"/>
          <w:szCs w:val="18"/>
        </w:rPr>
        <w:t xml:space="preserve">Fundstellen:</w:t>
      </w:r>
    </w:p>
    <w:p>
      <w:pPr>
        <w:spacing w:after="40" w:before="0"/>
      </w:pPr>
      <w:r>
        <w:rPr>
          <w:rFonts w:ascii="Arial" w:cs="Arial" w:eastAsia="Arial" w:hAnsi="Arial"/>
          <w:sz w:val="18"/>
          <w:szCs w:val="18"/>
        </w:rPr>
        <w:t xml:space="preserve">Art. 15 Abs. 5 und 6 PPWR (VO (EU) 2025/40); Kommissions-FAQ 2. Ed. Kap. X FAQ 5 (unverbindliche Auslegung)</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(neu 10/2026) Spannung zu #10/C01 (kein Abverkaufsprivileg für stoffliche Anforderungen); vgl. C15.</w:t>
      </w:r>
    </w:p>
    <w:p>
      <w:pPr>
        <w:pStyle w:val="Heading1"/>
        <w:pageBreakBefore/>
        <w:spacing w:after="160" w:before="0"/>
      </w:pPr>
      <w:r>
        <w:rPr>
          <w:rFonts w:ascii="Arial" w:cs="Arial" w:eastAsia="Arial" w:hAnsi="Arial"/>
          <w:b/>
          <w:bCs/>
          <w:color w:val="004494"/>
          <w:sz w:val="30"/>
          <w:szCs w:val="30"/>
        </w:rPr>
        <w:t xml:space="preserve">6. Glossar (67)</w:t>
      </w:r>
    </w:p>
    <w:p>
      <w:pPr>
        <w:keepNext/>
        <w:pBdr>
          <w:top w:val="single" w:color="24A27F" w:sz="4" w:space="4"/>
        </w:pBdr>
        <w:spacing w:after="40" w:before="260"/>
      </w:pPr>
      <w:r>
        <w:rPr>
          <w:rFonts w:ascii="Arial" w:cs="Arial" w:eastAsia="Arial" w:hAnsi="Arial"/>
          <w:b/>
          <w:bCs/>
          <w:color w:val="004494"/>
          <w:sz w:val="22"/>
          <w:szCs w:val="22"/>
        </w:rPr>
        <w:t xml:space="preserve">L01  </w:t>
      </w:r>
      <w:r>
        <w:rPr>
          <w:rFonts w:ascii="Arial" w:cs="Arial" w:eastAsia="Arial" w:hAnsi="Arial"/>
          <w:b/>
          <w:bCs/>
          <w:sz w:val="22"/>
          <w:szCs w:val="22"/>
        </w:rPr>
        <w:t xml:space="preserve">Marmeladenglas</w:t>
      </w:r>
    </w:p>
    <w:p>
      <w:pPr>
        <w:spacing w:after="60" w:before="0"/>
      </w:pPr>
      <w:r>
        <w:rPr>
          <w:rFonts w:ascii="Arial" w:cs="Arial" w:eastAsia="Arial" w:hAnsi="Arial"/>
          <w:color w:val="6B7280"/>
          <w:sz w:val="16"/>
          <w:szCs w:val="16"/>
        </w:rPr>
        <w:t xml:space="preserve">objekt · Synonyme: Schraubglas; Twist-off-Glas; Konfitürenglas; Einmachglas; Honigglas</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Verkaufsverpackung aus Glas mit Metall-Twist-off-Deckel und Etikett – eine Verpackungseinheit aus mehreren Bestandteilen (Glaskörper, Deckel, Etikett). Im Handel praktisch immer Einweg, auch wenn Kunden das Glas zu Hause weiterverwenden; Mehrweg ist es nur innerhalb eines echten Wiederverwendungssystems. Direkter Lebensmittelkontakt.</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materialien: glas, weißblech (Deckel), papier (Etikett); lmk: ja</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#01, #07, #32, A01, A02, C06, erzeuger, hersteller, endvertreiber</w:t>
      </w:r>
    </w:p>
    <w:p>
      <w:pPr>
        <w:keepNext/>
        <w:pBdr>
          <w:top w:val="single" w:color="24A27F" w:sz="4" w:space="4"/>
        </w:pBdr>
        <w:spacing w:after="40" w:before="260"/>
      </w:pPr>
      <w:r>
        <w:rPr>
          <w:rFonts w:ascii="Arial" w:cs="Arial" w:eastAsia="Arial" w:hAnsi="Arial"/>
          <w:b/>
          <w:bCs/>
          <w:color w:val="004494"/>
          <w:sz w:val="22"/>
          <w:szCs w:val="22"/>
        </w:rPr>
        <w:t xml:space="preserve">L02  </w:t>
      </w:r>
      <w:r>
        <w:rPr>
          <w:rFonts w:ascii="Arial" w:cs="Arial" w:eastAsia="Arial" w:hAnsi="Arial"/>
          <w:b/>
          <w:bCs/>
          <w:sz w:val="22"/>
          <w:szCs w:val="22"/>
        </w:rPr>
        <w:t xml:space="preserve">Versandkarton</w:t>
      </w:r>
    </w:p>
    <w:p>
      <w:pPr>
        <w:spacing w:after="60" w:before="0"/>
      </w:pPr>
      <w:r>
        <w:rPr>
          <w:rFonts w:ascii="Arial" w:cs="Arial" w:eastAsia="Arial" w:hAnsi="Arial"/>
          <w:color w:val="6B7280"/>
          <w:sz w:val="16"/>
          <w:szCs w:val="16"/>
        </w:rPr>
        <w:t xml:space="preserve">objekt · Synonyme: Versandverpackung; E-Commerce-Karton; Paketkarton; Versandschachtel; Onlineshop-Karton</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Wellpappe-Verpackung, in der Ware im Versandhandel zum Endkunden geht – die PPWR kennt dafür den eigenen Typ E-Commerce-Versandverpackung. Fällt typischerweise beim privaten Endkunden als Abfall an. Der Leerraum im Karton (samt Polstern) ist das kommende Regulierungs-Thema dieses Formats.</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ecommerce_versand; materialien: wellpappe/PPK; lmk: nein</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#18, #19, #27, #32, hersteller, endvertreiber, fulfillment_dienstleister</w:t>
      </w:r>
    </w:p>
    <w:p>
      <w:pPr>
        <w:keepNext/>
        <w:pBdr>
          <w:top w:val="single" w:color="24A27F" w:sz="4" w:space="4"/>
        </w:pBdr>
        <w:spacing w:after="40" w:before="260"/>
      </w:pPr>
      <w:r>
        <w:rPr>
          <w:rFonts w:ascii="Arial" w:cs="Arial" w:eastAsia="Arial" w:hAnsi="Arial"/>
          <w:b/>
          <w:bCs/>
          <w:color w:val="004494"/>
          <w:sz w:val="22"/>
          <w:szCs w:val="22"/>
        </w:rPr>
        <w:t xml:space="preserve">L03  </w:t>
      </w:r>
      <w:r>
        <w:rPr>
          <w:rFonts w:ascii="Arial" w:cs="Arial" w:eastAsia="Arial" w:hAnsi="Arial"/>
          <w:b/>
          <w:bCs/>
          <w:sz w:val="22"/>
          <w:szCs w:val="22"/>
        </w:rPr>
        <w:t xml:space="preserve">Stretchfolie</w:t>
      </w:r>
    </w:p>
    <w:p>
      <w:pPr>
        <w:spacing w:after="60" w:before="0"/>
      </w:pPr>
      <w:r>
        <w:rPr>
          <w:rFonts w:ascii="Arial" w:cs="Arial" w:eastAsia="Arial" w:hAnsi="Arial"/>
          <w:color w:val="6B7280"/>
          <w:sz w:val="16"/>
          <w:szCs w:val="16"/>
        </w:rPr>
        <w:t xml:space="preserve">objekt · Synonyme: Wickelfolie; Palettenfolie; Stretchwrap; Sicherungsfolie; Palettenwickel</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Transportverpackung aus gedehnter PE-Folie, mit der Palettenladungen stabilisiert werden. Zählt zu den Wickelfolien, die die PPWR den Transportformaten für die Mehrwegquoten zurechnet. Wer die Folie als Befüller einsetzt und woher sie bezogen wird, entscheidet über die Rollenverteilung – der Bezug aus dem EU-Ausland ist ein offener Grenzfall.</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transport; materialien: kunststoff (LDPE); lmk: nein</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#27, #34, A23, hersteller, lieferant</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 A23/U4: Herstellerrolle bei EU-Auslandsbezug ungeklärt – A23 steht auf nicht_ausspielen</w:t>
      </w:r>
    </w:p>
    <w:p>
      <w:pPr>
        <w:keepNext/>
        <w:pBdr>
          <w:top w:val="single" w:color="24A27F" w:sz="4" w:space="4"/>
        </w:pBdr>
        <w:spacing w:after="40" w:before="260"/>
      </w:pPr>
      <w:r>
        <w:rPr>
          <w:rFonts w:ascii="Arial" w:cs="Arial" w:eastAsia="Arial" w:hAnsi="Arial"/>
          <w:b/>
          <w:bCs/>
          <w:color w:val="004494"/>
          <w:sz w:val="22"/>
          <w:szCs w:val="22"/>
        </w:rPr>
        <w:t xml:space="preserve">L04  </w:t>
      </w:r>
      <w:r>
        <w:rPr>
          <w:rFonts w:ascii="Arial" w:cs="Arial" w:eastAsia="Arial" w:hAnsi="Arial"/>
          <w:b/>
          <w:bCs/>
          <w:sz w:val="22"/>
          <w:szCs w:val="22"/>
        </w:rPr>
        <w:t xml:space="preserve">Getränkedose</w:t>
      </w:r>
    </w:p>
    <w:p>
      <w:pPr>
        <w:spacing w:after="60" w:before="0"/>
      </w:pPr>
      <w:r>
        <w:rPr>
          <w:rFonts w:ascii="Arial" w:cs="Arial" w:eastAsia="Arial" w:hAnsi="Arial"/>
          <w:color w:val="6B7280"/>
          <w:sz w:val="16"/>
          <w:szCs w:val="16"/>
        </w:rPr>
        <w:t xml:space="preserve">objekt · Synonyme: Dose; Alu-Dose; Weißblechdose; Bierdose; Energydose; Getränkebüchse</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Einweg-Getränkeverkaufsverpackung aus Aluminium oder Weißblech mit Aufreißdeckel. Der klassische Pfand-Fall: Dosen gehören zu den Formaten, bei denen die Getränke-Ausnahmen vom Pfand gerade nicht greifen (Rückausnahme). Direkter Lebensmittelkontakt über die Innenbeschichtung.</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materialien: aluminium, weißblech; lmk: ja</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#36, #01, #31, B08, hersteller, vertreiber, endvertreiber</w:t>
      </w:r>
    </w:p>
    <w:p>
      <w:pPr>
        <w:keepNext/>
        <w:pBdr>
          <w:top w:val="single" w:color="24A27F" w:sz="4" w:space="4"/>
        </w:pBdr>
        <w:spacing w:after="40" w:before="260"/>
      </w:pPr>
      <w:r>
        <w:rPr>
          <w:rFonts w:ascii="Arial" w:cs="Arial" w:eastAsia="Arial" w:hAnsi="Arial"/>
          <w:b/>
          <w:bCs/>
          <w:color w:val="004494"/>
          <w:sz w:val="22"/>
          <w:szCs w:val="22"/>
        </w:rPr>
        <w:t xml:space="preserve">L05  </w:t>
      </w:r>
      <w:r>
        <w:rPr>
          <w:rFonts w:ascii="Arial" w:cs="Arial" w:eastAsia="Arial" w:hAnsi="Arial"/>
          <w:b/>
          <w:bCs/>
          <w:sz w:val="22"/>
          <w:szCs w:val="22"/>
        </w:rPr>
        <w:t xml:space="preserve">Skin-/Wurstverpackung</w:t>
      </w:r>
    </w:p>
    <w:p>
      <w:pPr>
        <w:spacing w:after="60" w:before="0"/>
      </w:pPr>
      <w:r>
        <w:rPr>
          <w:rFonts w:ascii="Arial" w:cs="Arial" w:eastAsia="Arial" w:hAnsi="Arial"/>
          <w:color w:val="6B7280"/>
          <w:sz w:val="16"/>
          <w:szCs w:val="16"/>
        </w:rPr>
        <w:t xml:space="preserve">objekt · Synonyme: Skinverpackung; Vakuum-Skinpack; Aufschnittverpackung; Tiefziehverpackung; MAP-Schale; SB-Fleischverpackung</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Verkaufsverpackung für Fleisch- und Wurstwaren, bei der eine Folie das Produkt hauteng auf einer Trägerschale fixiert (Skin) oder unter Schutzatmosphäre verschließt (MAP). Typisch sind Mehrschicht-Barrierefolien aus Kombinationen wie PET/PE/PP – also Verbund-Charakteristik. Solche Multilayer gelten im Recycling-Design als anspruchsvoll; direkter Lebensmittelkontakt.</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materialien: kunststoff (PET, PE, PP), verbund; lmk: ja</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#02, #11, #12, #32, erzeuger, hersteller</w:t>
      </w:r>
    </w:p>
    <w:p>
      <w:pPr>
        <w:keepNext/>
        <w:pBdr>
          <w:top w:val="single" w:color="24A27F" w:sz="4" w:space="4"/>
        </w:pBdr>
        <w:spacing w:after="40" w:before="260"/>
      </w:pPr>
      <w:r>
        <w:rPr>
          <w:rFonts w:ascii="Arial" w:cs="Arial" w:eastAsia="Arial" w:hAnsi="Arial"/>
          <w:b/>
          <w:bCs/>
          <w:color w:val="004494"/>
          <w:sz w:val="22"/>
          <w:szCs w:val="22"/>
        </w:rPr>
        <w:t xml:space="preserve">L06  </w:t>
      </w:r>
      <w:r>
        <w:rPr>
          <w:rFonts w:ascii="Arial" w:cs="Arial" w:eastAsia="Arial" w:hAnsi="Arial"/>
          <w:b/>
          <w:bCs/>
          <w:sz w:val="22"/>
          <w:szCs w:val="22"/>
        </w:rPr>
        <w:t xml:space="preserve">Coffee-to-go-Becher</w:t>
      </w:r>
    </w:p>
    <w:p>
      <w:pPr>
        <w:spacing w:after="60" w:before="0"/>
      </w:pPr>
      <w:r>
        <w:rPr>
          <w:rFonts w:ascii="Arial" w:cs="Arial" w:eastAsia="Arial" w:hAnsi="Arial"/>
          <w:color w:val="6B7280"/>
          <w:sz w:val="16"/>
          <w:szCs w:val="16"/>
        </w:rPr>
        <w:t xml:space="preserve">objekt · Synonyme: Einwegbecher; Kaffeebecher; To-go-Becher; Pappbecher; Heißgetränkebecher</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Einweg-Getränkebecher, der erst an der Theke befüllt wird – damit eine Serviceverpackung. Meist Papier mit PE-Innenbeschichtung (Verbund) plus Kunststoffdeckel. Kernformat der Mehrwegangebotspflicht in Gastronomie und To-go; direkter Lebensmittelkontakt.</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service; materialien: verbund (papier/PE), kunststoff (Deckel); lmk: ja</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#29, #26, #32, C08, A14, endvertreiber, hersteller</w:t>
      </w:r>
    </w:p>
    <w:p>
      <w:pPr>
        <w:keepNext/>
        <w:pBdr>
          <w:top w:val="single" w:color="24A27F" w:sz="4" w:space="4"/>
        </w:pBdr>
        <w:spacing w:after="40" w:before="260"/>
      </w:pPr>
      <w:r>
        <w:rPr>
          <w:rFonts w:ascii="Arial" w:cs="Arial" w:eastAsia="Arial" w:hAnsi="Arial"/>
          <w:b/>
          <w:bCs/>
          <w:color w:val="004494"/>
          <w:sz w:val="22"/>
          <w:szCs w:val="22"/>
        </w:rPr>
        <w:t xml:space="preserve">L07  </w:t>
      </w:r>
      <w:r>
        <w:rPr>
          <w:rFonts w:ascii="Arial" w:cs="Arial" w:eastAsia="Arial" w:hAnsi="Arial"/>
          <w:b/>
          <w:bCs/>
          <w:sz w:val="22"/>
          <w:szCs w:val="22"/>
        </w:rPr>
        <w:t xml:space="preserve">Palette</w:t>
      </w:r>
    </w:p>
    <w:p>
      <w:pPr>
        <w:spacing w:after="60" w:before="0"/>
      </w:pPr>
      <w:r>
        <w:rPr>
          <w:rFonts w:ascii="Arial" w:cs="Arial" w:eastAsia="Arial" w:hAnsi="Arial"/>
          <w:color w:val="6B7280"/>
          <w:sz w:val="16"/>
          <w:szCs w:val="16"/>
        </w:rPr>
        <w:t xml:space="preserve">objekt · Synonyme: Europalette; Holzpalette; Kunststoffpalette; Ladungsträger; Tauschpalette; Poolpalette</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Transportverpackung/Ladungsträger aus Holz oder Kunststoff, in der Praxis fast immer im Mehrweg-Umlauf über Tausch- oder Poolsysteme. Kunststoffpaletten mit hohem Rezyklatanteil sind der Anwendungsfall der deutschen Schwermetall-Ausnahme für geschlossene Kreisläufe. Rollenfragen stellen sich beim Bezug aus dem EU-Ausland.</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transport, mehrweg; materialien: holz, kunststoff (HDPE); lmk: nein</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#27, #01, #03, C05, C07, A23, hersteller, lieferant</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 A23/U4: Zurechnung bei EU-Auslandsbezug offen (wie L03)</w:t>
      </w:r>
    </w:p>
    <w:p>
      <w:pPr>
        <w:keepNext/>
        <w:pBdr>
          <w:top w:val="single" w:color="24A27F" w:sz="4" w:space="4"/>
        </w:pBdr>
        <w:spacing w:after="40" w:before="260"/>
      </w:pPr>
      <w:r>
        <w:rPr>
          <w:rFonts w:ascii="Arial" w:cs="Arial" w:eastAsia="Arial" w:hAnsi="Arial"/>
          <w:b/>
          <w:bCs/>
          <w:color w:val="004494"/>
          <w:sz w:val="22"/>
          <w:szCs w:val="22"/>
        </w:rPr>
        <w:t xml:space="preserve">L08  </w:t>
      </w:r>
      <w:r>
        <w:rPr>
          <w:rFonts w:ascii="Arial" w:cs="Arial" w:eastAsia="Arial" w:hAnsi="Arial"/>
          <w:b/>
          <w:bCs/>
          <w:sz w:val="22"/>
          <w:szCs w:val="22"/>
        </w:rPr>
        <w:t xml:space="preserve">Luftpolstertasche</w:t>
      </w:r>
    </w:p>
    <w:p>
      <w:pPr>
        <w:spacing w:after="60" w:before="0"/>
      </w:pPr>
      <w:r>
        <w:rPr>
          <w:rFonts w:ascii="Arial" w:cs="Arial" w:eastAsia="Arial" w:hAnsi="Arial"/>
          <w:color w:val="6B7280"/>
          <w:sz w:val="16"/>
          <w:szCs w:val="16"/>
        </w:rPr>
        <w:t xml:space="preserve">objekt · Synonyme: Polsterversandtasche; Luftpolsterumschlag; gepolsterter Umschlag; Bubble-Mailer; Polstertasche</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E-Commerce-Versandverpackung für kleine Waren – klassisch als Papier-Kunststoff-Verbund (Papierhülle mit PE-Luftpolsterfolie), zunehmend als Mono-Papier-Variante. Die feste Materialkombination ist der Knackpunkt fürs Recycling-Design. Ob integriertes Polster als Leerraum zählt, ist eine offene Detailfrage der künftigen Leerraum-Methodik.</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ecommerce_versand; materialien: verbund (papier/LDPE) oder papier; lmk: nein</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#18, #11, #12, #19, hersteller, fulfillment_dienstleister</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 V8: Zählweise von Polstermaterial im Leerraum-Begriff offen</w:t>
      </w:r>
    </w:p>
    <w:p>
      <w:pPr>
        <w:keepNext/>
        <w:pBdr>
          <w:top w:val="single" w:color="24A27F" w:sz="4" w:space="4"/>
        </w:pBdr>
        <w:spacing w:after="40" w:before="260"/>
      </w:pPr>
      <w:r>
        <w:rPr>
          <w:rFonts w:ascii="Arial" w:cs="Arial" w:eastAsia="Arial" w:hAnsi="Arial"/>
          <w:b/>
          <w:bCs/>
          <w:color w:val="004494"/>
          <w:sz w:val="22"/>
          <w:szCs w:val="22"/>
        </w:rPr>
        <w:t xml:space="preserve">L09  </w:t>
      </w:r>
      <w:r>
        <w:rPr>
          <w:rFonts w:ascii="Arial" w:cs="Arial" w:eastAsia="Arial" w:hAnsi="Arial"/>
          <w:b/>
          <w:bCs/>
          <w:sz w:val="22"/>
          <w:szCs w:val="22"/>
        </w:rPr>
        <w:t xml:space="preserve">Bäckertüte</w:t>
      </w:r>
    </w:p>
    <w:p>
      <w:pPr>
        <w:spacing w:after="60" w:before="0"/>
      </w:pPr>
      <w:r>
        <w:rPr>
          <w:rFonts w:ascii="Arial" w:cs="Arial" w:eastAsia="Arial" w:hAnsi="Arial"/>
          <w:color w:val="6B7280"/>
          <w:sz w:val="16"/>
          <w:szCs w:val="16"/>
        </w:rPr>
        <w:t xml:space="preserve">objekt · Synonyme: Brötchentüte; Bäckereitüte; Faltenbeutel; Snacktüte; Papiertüte vom Bäcker</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Serviceverpackung in Reinform: Die Tüte wird erst an der Verkaufsstelle befüllt und an den Kunden abgegeben. Meist Papier, teils mit Folien-Sichtfenster oder Pergamin-Einlage. Direkter Lebensmittelkontakt; fettabweisende Ausrüstungen sind der PFAS-Prüfpunkt. Für Serviceverpackungen gilt die besondere Lieferketten-Logik samt eng zugeschnittener Übertragungsoption.</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service; materialien: papier, ggf. verbund (Sichtfenster); lmk: ja</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#02, #32, A14, A15, endvertreiber, hersteller, lieferant</w:t>
      </w:r>
    </w:p>
    <w:p>
      <w:pPr>
        <w:keepNext/>
        <w:pBdr>
          <w:top w:val="single" w:color="24A27F" w:sz="4" w:space="4"/>
        </w:pBdr>
        <w:spacing w:after="40" w:before="260"/>
      </w:pPr>
      <w:r>
        <w:rPr>
          <w:rFonts w:ascii="Arial" w:cs="Arial" w:eastAsia="Arial" w:hAnsi="Arial"/>
          <w:b/>
          <w:bCs/>
          <w:color w:val="004494"/>
          <w:sz w:val="22"/>
          <w:szCs w:val="22"/>
        </w:rPr>
        <w:t xml:space="preserve">L10  </w:t>
      </w:r>
      <w:r>
        <w:rPr>
          <w:rFonts w:ascii="Arial" w:cs="Arial" w:eastAsia="Arial" w:hAnsi="Arial"/>
          <w:b/>
          <w:bCs/>
          <w:sz w:val="22"/>
          <w:szCs w:val="22"/>
        </w:rPr>
        <w:t xml:space="preserve">Pizzakarton</w:t>
      </w:r>
    </w:p>
    <w:p>
      <w:pPr>
        <w:spacing w:after="60" w:before="0"/>
      </w:pPr>
      <w:r>
        <w:rPr>
          <w:rFonts w:ascii="Arial" w:cs="Arial" w:eastAsia="Arial" w:hAnsi="Arial"/>
          <w:color w:val="6B7280"/>
          <w:sz w:val="16"/>
          <w:szCs w:val="16"/>
        </w:rPr>
        <w:t xml:space="preserve">objekt · Synonyme: Pizzabox; Pizzaschachtel; Lieferkarton (Pizza)</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Faltschachtel aus (Well-)Pappe, die in Pizzeria oder Lieferdienst erst beim Befüllen zum Einsatz kommt – nach der Serviceverpackungs-Logik einzuordnen. Direkter, heißer und fettiger Lebensmittelkontakt: der Klassiker unter den PFAS-Prüf-Fällen bei beschichteten Faserverpackungen.</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service; materialien: PPK/wellpappe, ggf. beschichtet; lmk: ja</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#02, #32, A14, C01, C02, endvertreiber, hersteller</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 NEU: Ob (PE-)beschichtete Pizzakartons als Einwegkunststoff-Lebensmittelverpackung unter die Mehrwegangebotspflicht (#29) fallen, ist aus den Datensätzen nicht ableitbar → Eskalation Cattwyk</w:t>
      </w:r>
    </w:p>
    <w:p>
      <w:pPr>
        <w:keepNext/>
        <w:pBdr>
          <w:top w:val="single" w:color="24A27F" w:sz="4" w:space="4"/>
        </w:pBdr>
        <w:spacing w:after="40" w:before="260"/>
      </w:pPr>
      <w:r>
        <w:rPr>
          <w:rFonts w:ascii="Arial" w:cs="Arial" w:eastAsia="Arial" w:hAnsi="Arial"/>
          <w:b/>
          <w:bCs/>
          <w:color w:val="004494"/>
          <w:sz w:val="22"/>
          <w:szCs w:val="22"/>
        </w:rPr>
        <w:t xml:space="preserve">L11  </w:t>
      </w:r>
      <w:r>
        <w:rPr>
          <w:rFonts w:ascii="Arial" w:cs="Arial" w:eastAsia="Arial" w:hAnsi="Arial"/>
          <w:b/>
          <w:bCs/>
          <w:sz w:val="22"/>
          <w:szCs w:val="22"/>
        </w:rPr>
        <w:t xml:space="preserve">PET-Einweggetränkeflasche</w:t>
      </w:r>
    </w:p>
    <w:p>
      <w:pPr>
        <w:spacing w:after="60" w:before="0"/>
      </w:pPr>
      <w:r>
        <w:rPr>
          <w:rFonts w:ascii="Arial" w:cs="Arial" w:eastAsia="Arial" w:hAnsi="Arial"/>
          <w:color w:val="6B7280"/>
          <w:sz w:val="16"/>
          <w:szCs w:val="16"/>
        </w:rPr>
        <w:t xml:space="preserve">objekt · Synonyme: PET-Flasche; Einwegflasche; Plastikflasche; Kunststoff-Getränkeflasche; Pfandflasche (Einweg)</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Einweg-Getränkeverkaufsverpackung aus PET mit Verschluss (meist HDPE/PP) und Etikett. Doppelt reguliertes Objekt: Rezyklatquote national schon heute, EU-Quoten ab 2030 – und pfandpflichtig im DPG-System. Direkter Lebensmittelkontakt.</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materialien: kunststoff (PET, HDPE/PP-Verschluss); lmk: ja</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#15, #14, #36, #31, C10, B08, hersteller, endvertreiber</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 V4/V5: EU-Quotenwerte und Konkurrenz § 45 ↔ Art. 7 ab 2030 offen (siehe C10)</w:t>
      </w:r>
    </w:p>
    <w:p>
      <w:pPr>
        <w:keepNext/>
        <w:pBdr>
          <w:top w:val="single" w:color="24A27F" w:sz="4" w:space="4"/>
        </w:pBdr>
        <w:spacing w:after="40" w:before="260"/>
      </w:pPr>
      <w:r>
        <w:rPr>
          <w:rFonts w:ascii="Arial" w:cs="Arial" w:eastAsia="Arial" w:hAnsi="Arial"/>
          <w:b/>
          <w:bCs/>
          <w:color w:val="004494"/>
          <w:sz w:val="22"/>
          <w:szCs w:val="22"/>
        </w:rPr>
        <w:t xml:space="preserve">L12  </w:t>
      </w:r>
      <w:r>
        <w:rPr>
          <w:rFonts w:ascii="Arial" w:cs="Arial" w:eastAsia="Arial" w:hAnsi="Arial"/>
          <w:b/>
          <w:bCs/>
          <w:sz w:val="22"/>
          <w:szCs w:val="22"/>
        </w:rPr>
        <w:t xml:space="preserve">Glas-Mehrwegflasche</w:t>
      </w:r>
    </w:p>
    <w:p>
      <w:pPr>
        <w:spacing w:after="60" w:before="0"/>
      </w:pPr>
      <w:r>
        <w:rPr>
          <w:rFonts w:ascii="Arial" w:cs="Arial" w:eastAsia="Arial" w:hAnsi="Arial"/>
          <w:color w:val="6B7280"/>
          <w:sz w:val="16"/>
          <w:szCs w:val="16"/>
        </w:rPr>
        <w:t xml:space="preserve">objekt · Synonyme: Mehrwegflasche; Pfandflasche (Mehrweg); Poolflasche; Brunnenflasche; Bügelflasche</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Wiederverwendbare Getränkeverkaufsverpackung aus Glas im Pool- oder Individualsystem, mit Umlauf über Kästen und Rücknahme. Der Mehrweg-Status setzt Kriterien-Erfüllung plus Zugehörigkeit zu einem Wiederverwendungssystem voraus – Stabilität allein genügt nicht. Direkter Lebensmittelkontakt.</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mehrweg; materialien: glas, metall (Verschluss); lmk: ja</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#03, #30, #36, C06, B11, hersteller, endvertreiber</w:t>
      </w:r>
    </w:p>
    <w:p>
      <w:pPr>
        <w:keepNext/>
        <w:pBdr>
          <w:top w:val="single" w:color="24A27F" w:sz="4" w:space="4"/>
        </w:pBdr>
        <w:spacing w:after="40" w:before="260"/>
      </w:pPr>
      <w:r>
        <w:rPr>
          <w:rFonts w:ascii="Arial" w:cs="Arial" w:eastAsia="Arial" w:hAnsi="Arial"/>
          <w:b/>
          <w:bCs/>
          <w:color w:val="004494"/>
          <w:sz w:val="22"/>
          <w:szCs w:val="22"/>
        </w:rPr>
        <w:t xml:space="preserve">L13  </w:t>
      </w:r>
      <w:r>
        <w:rPr>
          <w:rFonts w:ascii="Arial" w:cs="Arial" w:eastAsia="Arial" w:hAnsi="Arial"/>
          <w:b/>
          <w:bCs/>
          <w:sz w:val="22"/>
          <w:szCs w:val="22"/>
        </w:rPr>
        <w:t xml:space="preserve">Getränkekarton</w:t>
      </w:r>
    </w:p>
    <w:p>
      <w:pPr>
        <w:spacing w:after="60" w:before="0"/>
      </w:pPr>
      <w:r>
        <w:rPr>
          <w:rFonts w:ascii="Arial" w:cs="Arial" w:eastAsia="Arial" w:hAnsi="Arial"/>
          <w:color w:val="6B7280"/>
          <w:sz w:val="16"/>
          <w:szCs w:val="16"/>
        </w:rPr>
        <w:t xml:space="preserve">objekt · Synonyme: Getränkeverbundkarton; Kartonverbund; Saftkarton; Milchkarton; Tetra Pak (umgangssprachlich); Elopak (umgangssprachlich)</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Verkaufsverpackung aus Karton-Kunststoff-(teils Aluminium-)Verbund für Getränke und flüssige Lebensmittel. Als Verbund mit relevantem Kunststoffanteil ein Kernfall der Verbund-Diskussion im Recycling-Design; beim Pfand gehören bestimmte Getränkekartons zu den Ausnahmen. Direkter Lebensmittelkontakt.</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materialien: verbund (PPK/PE, teils alu); lmk: ja</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#36, #11, #12, #24, B08, erzeuger, hersteller</w:t>
      </w:r>
    </w:p>
    <w:p>
      <w:pPr>
        <w:keepNext/>
        <w:pBdr>
          <w:top w:val="single" w:color="24A27F" w:sz="4" w:space="4"/>
        </w:pBdr>
        <w:spacing w:after="40" w:before="260"/>
      </w:pPr>
      <w:r>
        <w:rPr>
          <w:rFonts w:ascii="Arial" w:cs="Arial" w:eastAsia="Arial" w:hAnsi="Arial"/>
          <w:b/>
          <w:bCs/>
          <w:color w:val="004494"/>
          <w:sz w:val="22"/>
          <w:szCs w:val="22"/>
        </w:rPr>
        <w:t xml:space="preserve">L14  </w:t>
      </w:r>
      <w:r>
        <w:rPr>
          <w:rFonts w:ascii="Arial" w:cs="Arial" w:eastAsia="Arial" w:hAnsi="Arial"/>
          <w:b/>
          <w:bCs/>
          <w:sz w:val="22"/>
          <w:szCs w:val="22"/>
        </w:rPr>
        <w:t xml:space="preserve">Joghurtbecher</w:t>
      </w:r>
    </w:p>
    <w:p>
      <w:pPr>
        <w:spacing w:after="60" w:before="0"/>
      </w:pPr>
      <w:r>
        <w:rPr>
          <w:rFonts w:ascii="Arial" w:cs="Arial" w:eastAsia="Arial" w:hAnsi="Arial"/>
          <w:color w:val="6B7280"/>
          <w:sz w:val="16"/>
          <w:szCs w:val="16"/>
        </w:rPr>
        <w:t xml:space="preserve">objekt · Synonyme: Becher; Kunststoffbecher; Molkereibecher; K3-Becher; Quarkbecher</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Verkaufsverpackung aus PP oder PS, oft mit Aluminium-Platine als Deckel und teils Kartonmantel (K3) – eine Verpackungseinheit aus mehreren, getrennt entsorgbaren Bestandteilen. Genau diese Bestandteil-Logik (integriert vs. separat) prägt hier Kennzeichnungs- und Designfragen. Direkter Lebensmittelkontakt.</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materialien: kunststoff (PP/PS), aluminium (Platine), PPK (Mantel); lmk: ja</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#32, #11, #12, #19, erzeuger, hersteller</w:t>
      </w:r>
    </w:p>
    <w:p>
      <w:pPr>
        <w:keepNext/>
        <w:pBdr>
          <w:top w:val="single" w:color="24A27F" w:sz="4" w:space="4"/>
        </w:pBdr>
        <w:spacing w:after="40" w:before="260"/>
      </w:pPr>
      <w:r>
        <w:rPr>
          <w:rFonts w:ascii="Arial" w:cs="Arial" w:eastAsia="Arial" w:hAnsi="Arial"/>
          <w:b/>
          <w:bCs/>
          <w:color w:val="004494"/>
          <w:sz w:val="22"/>
          <w:szCs w:val="22"/>
        </w:rPr>
        <w:t xml:space="preserve">L15  </w:t>
      </w:r>
      <w:r>
        <w:rPr>
          <w:rFonts w:ascii="Arial" w:cs="Arial" w:eastAsia="Arial" w:hAnsi="Arial"/>
          <w:b/>
          <w:bCs/>
          <w:sz w:val="22"/>
          <w:szCs w:val="22"/>
        </w:rPr>
        <w:t xml:space="preserve">Konservendose</w:t>
      </w:r>
    </w:p>
    <w:p>
      <w:pPr>
        <w:spacing w:after="60" w:before="0"/>
      </w:pPr>
      <w:r>
        <w:rPr>
          <w:rFonts w:ascii="Arial" w:cs="Arial" w:eastAsia="Arial" w:hAnsi="Arial"/>
          <w:color w:val="6B7280"/>
          <w:sz w:val="16"/>
          <w:szCs w:val="16"/>
        </w:rPr>
        <w:t xml:space="preserve">objekt · Synonyme: Weißblechdose; Blechdose; Konserve; Lebensmitteldose; Gemüsedose</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Verkaufsverpackung aus Weißblech (verzinntem Stahl) mit Innenlackierung für haltbare Lebensmittel. Kein Pfand-Fall – Konserven sind keine Getränkeverpackungen. Lebensmittelkontakt über die Innenlackierung.</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materialien: weißblech; lmk: ja</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#01, #32, erzeuger, hersteller</w:t>
      </w:r>
    </w:p>
    <w:p>
      <w:pPr>
        <w:keepNext/>
        <w:pBdr>
          <w:top w:val="single" w:color="24A27F" w:sz="4" w:space="4"/>
        </w:pBdr>
        <w:spacing w:after="40" w:before="260"/>
      </w:pPr>
      <w:r>
        <w:rPr>
          <w:rFonts w:ascii="Arial" w:cs="Arial" w:eastAsia="Arial" w:hAnsi="Arial"/>
          <w:b/>
          <w:bCs/>
          <w:color w:val="004494"/>
          <w:sz w:val="22"/>
          <w:szCs w:val="22"/>
        </w:rPr>
        <w:t xml:space="preserve">L16  </w:t>
      </w:r>
      <w:r>
        <w:rPr>
          <w:rFonts w:ascii="Arial" w:cs="Arial" w:eastAsia="Arial" w:hAnsi="Arial"/>
          <w:b/>
          <w:bCs/>
          <w:sz w:val="22"/>
          <w:szCs w:val="22"/>
        </w:rPr>
        <w:t xml:space="preserve">Tube</w:t>
      </w:r>
    </w:p>
    <w:p>
      <w:pPr>
        <w:spacing w:after="60" w:before="0"/>
      </w:pPr>
      <w:r>
        <w:rPr>
          <w:rFonts w:ascii="Arial" w:cs="Arial" w:eastAsia="Arial" w:hAnsi="Arial"/>
          <w:color w:val="6B7280"/>
          <w:sz w:val="16"/>
          <w:szCs w:val="16"/>
        </w:rPr>
        <w:t xml:space="preserve">objekt · Synonyme: Quetschtube; Alu-Tube; Kunststofftube; Laminattube</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Verkaufsverpackung aus Aluminium oder Kunststoff-Laminat (oft mit Alu-Barriereschicht) für pastöse Füllgüter von Senf bis Kosmetik. Laminattuben sind ein typischer Mehrschicht-Verbund-Fall im Recycling-Design. Lebensmittelkontakt je nach Füllgut.</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materialien: aluminium, verbund (Laminat); lmk: typisch</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#11, #12, #32, erzeuger, hersteller</w:t>
      </w:r>
    </w:p>
    <w:p>
      <w:pPr>
        <w:keepNext/>
        <w:pBdr>
          <w:top w:val="single" w:color="24A27F" w:sz="4" w:space="4"/>
        </w:pBdr>
        <w:spacing w:after="40" w:before="260"/>
      </w:pPr>
      <w:r>
        <w:rPr>
          <w:rFonts w:ascii="Arial" w:cs="Arial" w:eastAsia="Arial" w:hAnsi="Arial"/>
          <w:b/>
          <w:bCs/>
          <w:color w:val="004494"/>
          <w:sz w:val="22"/>
          <w:szCs w:val="22"/>
        </w:rPr>
        <w:t xml:space="preserve">L17  </w:t>
      </w:r>
      <w:r>
        <w:rPr>
          <w:rFonts w:ascii="Arial" w:cs="Arial" w:eastAsia="Arial" w:hAnsi="Arial"/>
          <w:b/>
          <w:bCs/>
          <w:sz w:val="22"/>
          <w:szCs w:val="22"/>
        </w:rPr>
        <w:t xml:space="preserve">Blisterverpackung</w:t>
      </w:r>
    </w:p>
    <w:p>
      <w:pPr>
        <w:spacing w:after="60" w:before="0"/>
      </w:pPr>
      <w:r>
        <w:rPr>
          <w:rFonts w:ascii="Arial" w:cs="Arial" w:eastAsia="Arial" w:hAnsi="Arial"/>
          <w:color w:val="6B7280"/>
          <w:sz w:val="16"/>
          <w:szCs w:val="16"/>
        </w:rPr>
        <w:t xml:space="preserve">objekt · Synonyme: Blister; Durchdrückpackung; Sichtverpackung; Clamshell; Hängeblister</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Verkaufsverpackung, bei der das Produkt zwischen tiefgezogener Kunststoffschale (klassisch PVC oder PET) und Karton- oder Folienrückseite sitzt – als Pharma-Durchdrückblister oder Sicht-/Hängeverpackung im Non-Food. Der Materialmix Kunststoff/Karton bzw. Kunststoff/Alu ist der Design-Knackpunkt; für rein professionelle bzw. Medizin-Produkte existieren Sonderpfade in der Kennzeichnung.</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materialien: kunststoff (PVC/PET), verbund, PPK; lmk: nein (Pharma gesondert)</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#11, #12, #19, #32, erzeuger, hersteller</w:t>
      </w:r>
    </w:p>
    <w:p>
      <w:pPr>
        <w:keepNext/>
        <w:pBdr>
          <w:top w:val="single" w:color="24A27F" w:sz="4" w:space="4"/>
        </w:pBdr>
        <w:spacing w:after="40" w:before="260"/>
      </w:pPr>
      <w:r>
        <w:rPr>
          <w:rFonts w:ascii="Arial" w:cs="Arial" w:eastAsia="Arial" w:hAnsi="Arial"/>
          <w:b/>
          <w:bCs/>
          <w:color w:val="004494"/>
          <w:sz w:val="22"/>
          <w:szCs w:val="22"/>
        </w:rPr>
        <w:t xml:space="preserve">L18  </w:t>
      </w:r>
      <w:r>
        <w:rPr>
          <w:rFonts w:ascii="Arial" w:cs="Arial" w:eastAsia="Arial" w:hAnsi="Arial"/>
          <w:b/>
          <w:bCs/>
          <w:sz w:val="22"/>
          <w:szCs w:val="22"/>
        </w:rPr>
        <w:t xml:space="preserve">Faltschachtel</w:t>
      </w:r>
    </w:p>
    <w:p>
      <w:pPr>
        <w:spacing w:after="60" w:before="0"/>
      </w:pPr>
      <w:r>
        <w:rPr>
          <w:rFonts w:ascii="Arial" w:cs="Arial" w:eastAsia="Arial" w:hAnsi="Arial"/>
          <w:color w:val="6B7280"/>
          <w:sz w:val="16"/>
          <w:szCs w:val="16"/>
        </w:rPr>
        <w:t xml:space="preserve">objekt · Synonyme: Schachtel; Kartonage; Box; Kartonschachtel; Faltkarton</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Verkaufs- oder Umverpackung aus Karton, flach angeliefert und beim Abpacken aufgerichtet. Mit Sichtfenster oder Beschichtung wird aus dem Mono-Material schnell ein Verbund-Kandidat. Lebensmittelkontakt typischerweise mittelbar über Innenbeutel.</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umverpackung; materialien: PPK; lmk: typisch (mittelbar)</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#32, #11, #17, erzeuger, hersteller</w:t>
      </w:r>
    </w:p>
    <w:p>
      <w:pPr>
        <w:keepNext/>
        <w:pBdr>
          <w:top w:val="single" w:color="24A27F" w:sz="4" w:space="4"/>
        </w:pBdr>
        <w:spacing w:after="40" w:before="260"/>
      </w:pPr>
      <w:r>
        <w:rPr>
          <w:rFonts w:ascii="Arial" w:cs="Arial" w:eastAsia="Arial" w:hAnsi="Arial"/>
          <w:b/>
          <w:bCs/>
          <w:color w:val="004494"/>
          <w:sz w:val="22"/>
          <w:szCs w:val="22"/>
        </w:rPr>
        <w:t xml:space="preserve">L19  </w:t>
      </w:r>
      <w:r>
        <w:rPr>
          <w:rFonts w:ascii="Arial" w:cs="Arial" w:eastAsia="Arial" w:hAnsi="Arial"/>
          <w:b/>
          <w:bCs/>
          <w:sz w:val="22"/>
          <w:szCs w:val="22"/>
        </w:rPr>
        <w:t xml:space="preserve">Kunststofftragetasche</w:t>
      </w:r>
    </w:p>
    <w:p>
      <w:pPr>
        <w:spacing w:after="60" w:before="0"/>
      </w:pPr>
      <w:r>
        <w:rPr>
          <w:rFonts w:ascii="Arial" w:cs="Arial" w:eastAsia="Arial" w:hAnsi="Arial"/>
          <w:color w:val="6B7280"/>
          <w:sz w:val="16"/>
          <w:szCs w:val="16"/>
        </w:rPr>
        <w:t xml:space="preserve">objekt · Synonyme: Plastiktüte; Tragetasche; Hemdchenbeutel; Knotenbeutel; Obstbeutel; Einkaufstüte</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Tragetasche aus Kunststofffolie, rechtlich nach Wandstärke gestaffelt in sehr leichte, leichte und dickere Taschen. Die leichte Variante ist an deutschen Kassen Geschichte; sehr leichte Hemdchenbeutel für lose Lebensmittel sind der verbleibende Standardfall – bis die EU-Verbotsliste 2030 nachzieht.</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service; materialien: kunststoff (LDPE/HDPE); lmk: teils (lose Lebensmittel)</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#25, #24, A24, endvertreiber</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 V12: Wandstärken-Definition (µm-Grenzen) noch gegen § 3 zu pinnen – keine Zahlen ausspielen</w:t>
      </w:r>
    </w:p>
    <w:p>
      <w:pPr>
        <w:keepNext/>
        <w:pBdr>
          <w:top w:val="single" w:color="24A27F" w:sz="4" w:space="4"/>
        </w:pBdr>
        <w:spacing w:after="40" w:before="260"/>
      </w:pPr>
      <w:r>
        <w:rPr>
          <w:rFonts w:ascii="Arial" w:cs="Arial" w:eastAsia="Arial" w:hAnsi="Arial"/>
          <w:b/>
          <w:bCs/>
          <w:color w:val="004494"/>
          <w:sz w:val="22"/>
          <w:szCs w:val="22"/>
        </w:rPr>
        <w:t xml:space="preserve">L20  </w:t>
      </w:r>
      <w:r>
        <w:rPr>
          <w:rFonts w:ascii="Arial" w:cs="Arial" w:eastAsia="Arial" w:hAnsi="Arial"/>
          <w:b/>
          <w:bCs/>
          <w:sz w:val="22"/>
          <w:szCs w:val="22"/>
        </w:rPr>
        <w:t xml:space="preserve">Papiertragetasche</w:t>
      </w:r>
    </w:p>
    <w:p>
      <w:pPr>
        <w:spacing w:after="60" w:before="0"/>
      </w:pPr>
      <w:r>
        <w:rPr>
          <w:rFonts w:ascii="Arial" w:cs="Arial" w:eastAsia="Arial" w:hAnsi="Arial"/>
          <w:color w:val="6B7280"/>
          <w:sz w:val="16"/>
          <w:szCs w:val="16"/>
        </w:rPr>
        <w:t xml:space="preserve">objekt · Synonyme: Papiertüte; Papiertasche; Papier-Shopper; Papiertragetüte</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Tragetasche aus Papier, an der Kasse oder als Versandbeipack. Vom deutschen Tragetaschenverbot nicht erfasst – das zielt auf Kunststoff. An der Verkaufsstelle Teil der Serviceverpackungs-Kette.</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service; materialien: papier; lmk: teils</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#25, #32, A14, endvertreiber, hersteller</w:t>
      </w:r>
    </w:p>
    <w:p>
      <w:pPr>
        <w:keepNext/>
        <w:pBdr>
          <w:top w:val="single" w:color="24A27F" w:sz="4" w:space="4"/>
        </w:pBdr>
        <w:spacing w:after="40" w:before="260"/>
      </w:pPr>
      <w:r>
        <w:rPr>
          <w:rFonts w:ascii="Arial" w:cs="Arial" w:eastAsia="Arial" w:hAnsi="Arial"/>
          <w:b/>
          <w:bCs/>
          <w:color w:val="004494"/>
          <w:sz w:val="22"/>
          <w:szCs w:val="22"/>
        </w:rPr>
        <w:t xml:space="preserve">L21  </w:t>
      </w:r>
      <w:r>
        <w:rPr>
          <w:rFonts w:ascii="Arial" w:cs="Arial" w:eastAsia="Arial" w:hAnsi="Arial"/>
          <w:b/>
          <w:bCs/>
          <w:sz w:val="22"/>
          <w:szCs w:val="22"/>
        </w:rPr>
        <w:t xml:space="preserve">Obst- und Gemüseschale</w:t>
      </w:r>
    </w:p>
    <w:p>
      <w:pPr>
        <w:spacing w:after="60" w:before="0"/>
      </w:pPr>
      <w:r>
        <w:rPr>
          <w:rFonts w:ascii="Arial" w:cs="Arial" w:eastAsia="Arial" w:hAnsi="Arial"/>
          <w:color w:val="6B7280"/>
          <w:sz w:val="16"/>
          <w:szCs w:val="16"/>
        </w:rPr>
        <w:t xml:space="preserve">objekt · Synonyme: Frischeschale; Obstschale; Punnet; Gemüsetray; Beerenschale</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Verkaufsverpackung für Frischobst und -gemüse – als Kunststoffschale (PET/PP), Faserguss-Schale oder Karton-Tray, oft mit Folien-Umwicklung oder Deckelfolie. Einwegkunststoff-Varianten für kleine Frischemengen stehen auf der EU-Verbotsliste ab 2030. Direkter Lebensmittelkontakt.</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materialien: kunststoff (PET/PP), faserguss, PPK; lmk: ja</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#24, #32, erzeuger, hersteller, endvertreiber</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 V11: Anhang-V-Listendetails (u. a. 1,5-kg-Grenze) vollständig pinnen</w:t>
      </w:r>
    </w:p>
    <w:p>
      <w:pPr>
        <w:keepNext/>
        <w:pBdr>
          <w:top w:val="single" w:color="24A27F" w:sz="4" w:space="4"/>
        </w:pBdr>
        <w:spacing w:after="40" w:before="260"/>
      </w:pPr>
      <w:r>
        <w:rPr>
          <w:rFonts w:ascii="Arial" w:cs="Arial" w:eastAsia="Arial" w:hAnsi="Arial"/>
          <w:b/>
          <w:bCs/>
          <w:color w:val="004494"/>
          <w:sz w:val="22"/>
          <w:szCs w:val="22"/>
        </w:rPr>
        <w:t xml:space="preserve">L22  </w:t>
      </w:r>
      <w:r>
        <w:rPr>
          <w:rFonts w:ascii="Arial" w:cs="Arial" w:eastAsia="Arial" w:hAnsi="Arial"/>
          <w:b/>
          <w:bCs/>
          <w:sz w:val="22"/>
          <w:szCs w:val="22"/>
        </w:rPr>
        <w:t xml:space="preserve">Kaffeekapsel</w:t>
      </w:r>
    </w:p>
    <w:p>
      <w:pPr>
        <w:spacing w:after="60" w:before="0"/>
      </w:pPr>
      <w:r>
        <w:rPr>
          <w:rFonts w:ascii="Arial" w:cs="Arial" w:eastAsia="Arial" w:hAnsi="Arial"/>
          <w:color w:val="6B7280"/>
          <w:sz w:val="16"/>
          <w:szCs w:val="16"/>
        </w:rPr>
        <w:t xml:space="preserve">objekt · Synonyme: Kapsel; Alukapsel; Systemkapsel; Kaffeeportionskapsel</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Einzelportionsverpackung für Kaffee aus Aluminium oder Kunststoff, die mit dem Produkt in die Maschine wandert und danach entsorgt wird. Die PPWR behandelt Tee-/Kaffee-Einzelportionseinheiten ausdrücklich als Verpackung; ob und wie feste Kapseln unter die Kompostierbarkeits-Formate fallen, ist eine offene Detailfrage der Formatliste. Direkter Lebensmittelkontakt.</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materialien: aluminium, kunststoff; lmk: ja</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#16, #32, erzeuger, hersteller</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 V6: Zuordnung fester Kapseln zur Art.-9-Formatliste offen → Cattwyk</w:t>
      </w:r>
    </w:p>
    <w:p>
      <w:pPr>
        <w:keepNext/>
        <w:pBdr>
          <w:top w:val="single" w:color="24A27F" w:sz="4" w:space="4"/>
        </w:pBdr>
        <w:spacing w:after="40" w:before="260"/>
      </w:pPr>
      <w:r>
        <w:rPr>
          <w:rFonts w:ascii="Arial" w:cs="Arial" w:eastAsia="Arial" w:hAnsi="Arial"/>
          <w:b/>
          <w:bCs/>
          <w:color w:val="004494"/>
          <w:sz w:val="22"/>
          <w:szCs w:val="22"/>
        </w:rPr>
        <w:t xml:space="preserve">L23  </w:t>
      </w:r>
      <w:r>
        <w:rPr>
          <w:rFonts w:ascii="Arial" w:cs="Arial" w:eastAsia="Arial" w:hAnsi="Arial"/>
          <w:b/>
          <w:bCs/>
          <w:sz w:val="22"/>
          <w:szCs w:val="22"/>
        </w:rPr>
        <w:t xml:space="preserve">Teebeutel</w:t>
      </w:r>
    </w:p>
    <w:p>
      <w:pPr>
        <w:spacing w:after="60" w:before="0"/>
      </w:pPr>
      <w:r>
        <w:rPr>
          <w:rFonts w:ascii="Arial" w:cs="Arial" w:eastAsia="Arial" w:hAnsi="Arial"/>
          <w:color w:val="6B7280"/>
          <w:sz w:val="16"/>
          <w:szCs w:val="16"/>
        </w:rPr>
        <w:t xml:space="preserve">objekt · Synonyme: Teeaufgussbeutel; Aufgussbeutel; Pyramidenbeutel; Teefilterbeutel</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Durchlässige Einzelportionsverpackung für Tee aus Papierfaser oder Kunststoffgewebe. Gehört zu den Formaten, für die ab Februar 2028 industrielle Kompostierbarkeit als Materialvorgabe kommt. Direkter Lebensmittelkontakt.</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materialien: papierfaser, kunststoffgewebe; lmk: ja</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#16, erzeuger, hersteller</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 V6: Art.-9-Formatliste absatzgenau pinnen</w:t>
      </w:r>
    </w:p>
    <w:p>
      <w:pPr>
        <w:keepNext/>
        <w:pBdr>
          <w:top w:val="single" w:color="24A27F" w:sz="4" w:space="4"/>
        </w:pBdr>
        <w:spacing w:after="40" w:before="260"/>
      </w:pPr>
      <w:r>
        <w:rPr>
          <w:rFonts w:ascii="Arial" w:cs="Arial" w:eastAsia="Arial" w:hAnsi="Arial"/>
          <w:b/>
          <w:bCs/>
          <w:color w:val="004494"/>
          <w:sz w:val="22"/>
          <w:szCs w:val="22"/>
        </w:rPr>
        <w:t xml:space="preserve">L24  </w:t>
      </w:r>
      <w:r>
        <w:rPr>
          <w:rFonts w:ascii="Arial" w:cs="Arial" w:eastAsia="Arial" w:hAnsi="Arial"/>
          <w:b/>
          <w:bCs/>
          <w:sz w:val="22"/>
          <w:szCs w:val="22"/>
        </w:rPr>
        <w:t xml:space="preserve">Menüschale</w:t>
      </w:r>
    </w:p>
    <w:p>
      <w:pPr>
        <w:spacing w:after="60" w:before="0"/>
      </w:pPr>
      <w:r>
        <w:rPr>
          <w:rFonts w:ascii="Arial" w:cs="Arial" w:eastAsia="Arial" w:hAnsi="Arial"/>
          <w:color w:val="6B7280"/>
          <w:sz w:val="16"/>
          <w:szCs w:val="16"/>
        </w:rPr>
        <w:t xml:space="preserve">objekt · Synonyme: To-go-Schale; Foodbox; Menübox; Salatschale; Einweg-Lunchbox; Snackbox</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Serviceverpackung der Gastronomie für Speisen zum Mitnehmen oder Liefern – als Kunststoffschale, Faserguss-/Bagasse-Schale oder beschichtete Kartonschale, historisch auch EPS. Kernformat der Mehrwegangebotspflicht bei Einwegkunststoff-Varianten; EPS-Lebensmittelbehälter sind bereits vom Markt. Direkter Lebensmittelkontakt.</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service; materialien: kunststoff, faserguss, PPK beschichtet; lmk: ja</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#29, #26, #32, C08, endvertreiber, hersteller</w:t>
      </w:r>
    </w:p>
    <w:p>
      <w:pPr>
        <w:keepNext/>
        <w:pBdr>
          <w:top w:val="single" w:color="24A27F" w:sz="4" w:space="4"/>
        </w:pBdr>
        <w:spacing w:after="40" w:before="260"/>
      </w:pPr>
      <w:r>
        <w:rPr>
          <w:rFonts w:ascii="Arial" w:cs="Arial" w:eastAsia="Arial" w:hAnsi="Arial"/>
          <w:b/>
          <w:bCs/>
          <w:color w:val="004494"/>
          <w:sz w:val="22"/>
          <w:szCs w:val="22"/>
        </w:rPr>
        <w:t xml:space="preserve">L25  </w:t>
      </w:r>
      <w:r>
        <w:rPr>
          <w:rFonts w:ascii="Arial" w:cs="Arial" w:eastAsia="Arial" w:hAnsi="Arial"/>
          <w:b/>
          <w:bCs/>
          <w:sz w:val="22"/>
          <w:szCs w:val="22"/>
        </w:rPr>
        <w:t xml:space="preserve">Eimer</w:t>
      </w:r>
    </w:p>
    <w:p>
      <w:pPr>
        <w:spacing w:after="60" w:before="0"/>
      </w:pPr>
      <w:r>
        <w:rPr>
          <w:rFonts w:ascii="Arial" w:cs="Arial" w:eastAsia="Arial" w:hAnsi="Arial"/>
          <w:color w:val="6B7280"/>
          <w:sz w:val="16"/>
          <w:szCs w:val="16"/>
        </w:rPr>
        <w:t xml:space="preserve">objekt · Synonyme: Industrieeimer; Kunststoffeimer; Hobbock; Baueimer; Großgebinde-Eimer</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Verkaufs- oder Transportverpackung aus PP/HDPE mit Bügel und Deckel – für Farben, Baustoffe oder Großgebinde-Lebensmittel. Gehört zu den Formaten der Transport-Mehrwegquoten; im reinen B2B-Strom greift die Rücknahme-Logik statt der Systembeteiligung. Lebensmittelkontakt je nach Füllgut.</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transport; materialien: kunststoff (PP/HDPE); lmk: teils</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#27, #34, #32, B12, hersteller, vertreiber, endvertreiber</w:t>
      </w:r>
    </w:p>
    <w:p>
      <w:pPr>
        <w:keepNext/>
        <w:pBdr>
          <w:top w:val="single" w:color="24A27F" w:sz="4" w:space="4"/>
        </w:pBdr>
        <w:spacing w:after="40" w:before="260"/>
      </w:pPr>
      <w:r>
        <w:rPr>
          <w:rFonts w:ascii="Arial" w:cs="Arial" w:eastAsia="Arial" w:hAnsi="Arial"/>
          <w:b/>
          <w:bCs/>
          <w:color w:val="004494"/>
          <w:sz w:val="22"/>
          <w:szCs w:val="22"/>
        </w:rPr>
        <w:t xml:space="preserve">L26  </w:t>
      </w:r>
      <w:r>
        <w:rPr>
          <w:rFonts w:ascii="Arial" w:cs="Arial" w:eastAsia="Arial" w:hAnsi="Arial"/>
          <w:b/>
          <w:bCs/>
          <w:sz w:val="22"/>
          <w:szCs w:val="22"/>
        </w:rPr>
        <w:t xml:space="preserve">Kanister</w:t>
      </w:r>
    </w:p>
    <w:p>
      <w:pPr>
        <w:spacing w:after="60" w:before="0"/>
      </w:pPr>
      <w:r>
        <w:rPr>
          <w:rFonts w:ascii="Arial" w:cs="Arial" w:eastAsia="Arial" w:hAnsi="Arial"/>
          <w:color w:val="6B7280"/>
          <w:sz w:val="16"/>
          <w:szCs w:val="16"/>
        </w:rPr>
        <w:t xml:space="preserve">objekt · Synonyme: Kunststoffkanister; Chemiekanister; Vorratskanister; Weithalskanister</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Transport- und Verkaufsverpackung aus HDPE (teils Metall) für flüssige Füllgüter von Reinigern bis Chemikalien. Bei schadstoffhaltigen Füllgütern gelten eigene Rücknahme-Pfade statt dualem System; als Format taucht der Kanister auch bei den Transport-Mehrwegquoten auf.</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transport, verkauf; materialien: kunststoff (HDPE), metall; lmk: nein/teils</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#27, #34, #32, B12, hersteller, vertreiber</w:t>
      </w:r>
    </w:p>
    <w:p>
      <w:pPr>
        <w:keepNext/>
        <w:pBdr>
          <w:top w:val="single" w:color="24A27F" w:sz="4" w:space="4"/>
        </w:pBdr>
        <w:spacing w:after="40" w:before="260"/>
      </w:pPr>
      <w:r>
        <w:rPr>
          <w:rFonts w:ascii="Arial" w:cs="Arial" w:eastAsia="Arial" w:hAnsi="Arial"/>
          <w:b/>
          <w:bCs/>
          <w:color w:val="004494"/>
          <w:sz w:val="22"/>
          <w:szCs w:val="22"/>
        </w:rPr>
        <w:t xml:space="preserve">L27  </w:t>
      </w:r>
      <w:r>
        <w:rPr>
          <w:rFonts w:ascii="Arial" w:cs="Arial" w:eastAsia="Arial" w:hAnsi="Arial"/>
          <w:b/>
          <w:bCs/>
          <w:sz w:val="22"/>
          <w:szCs w:val="22"/>
        </w:rPr>
        <w:t xml:space="preserve">IBC</w:t>
      </w:r>
    </w:p>
    <w:p>
      <w:pPr>
        <w:spacing w:after="60" w:before="0"/>
      </w:pPr>
      <w:r>
        <w:rPr>
          <w:rFonts w:ascii="Arial" w:cs="Arial" w:eastAsia="Arial" w:hAnsi="Arial"/>
          <w:color w:val="6B7280"/>
          <w:sz w:val="16"/>
          <w:szCs w:val="16"/>
        </w:rPr>
        <w:t xml:space="preserve">objekt · Synonyme: Intermediate Bulk Container; IBC-Container; 1000-Liter-Container; Gittertank</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Großgebinde (typisch 1.000 Liter) aus HDPE-Blase, Stahl-Gitterrahmen und Palette – Transportverpackung im industriellen Umlauf, regelmäßig rekonditioniert und wiederverwendet. Paradebeispiel für Mehrweg im geschlossenen B2B-Kreislauf und für die Transport-Mehrwegquoten.</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transport, mehrweg; materialien: kunststoff (HDPE), stahl; lmk: nein</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#27, #03, #30, #34, C07, B12, hersteller, lieferant</w:t>
      </w:r>
    </w:p>
    <w:p>
      <w:pPr>
        <w:keepNext/>
        <w:pBdr>
          <w:top w:val="single" w:color="24A27F" w:sz="4" w:space="4"/>
        </w:pBdr>
        <w:spacing w:after="40" w:before="260"/>
      </w:pPr>
      <w:r>
        <w:rPr>
          <w:rFonts w:ascii="Arial" w:cs="Arial" w:eastAsia="Arial" w:hAnsi="Arial"/>
          <w:b/>
          <w:bCs/>
          <w:color w:val="004494"/>
          <w:sz w:val="22"/>
          <w:szCs w:val="22"/>
        </w:rPr>
        <w:t xml:space="preserve">L28  </w:t>
      </w:r>
      <w:r>
        <w:rPr>
          <w:rFonts w:ascii="Arial" w:cs="Arial" w:eastAsia="Arial" w:hAnsi="Arial"/>
          <w:b/>
          <w:bCs/>
          <w:sz w:val="22"/>
          <w:szCs w:val="22"/>
        </w:rPr>
        <w:t xml:space="preserve">Tray</w:t>
      </w:r>
    </w:p>
    <w:p>
      <w:pPr>
        <w:spacing w:after="60" w:before="0"/>
      </w:pPr>
      <w:r>
        <w:rPr>
          <w:rFonts w:ascii="Arial" w:cs="Arial" w:eastAsia="Arial" w:hAnsi="Arial"/>
          <w:color w:val="6B7280"/>
          <w:sz w:val="16"/>
          <w:szCs w:val="16"/>
        </w:rPr>
        <w:t xml:space="preserve">objekt · Synonyme: Display-Tray; Sammelpackung; Umkarton; Steige (Karton); Regaltray</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Umverpackung, die mehrere Verkaufseinheiten bündelt – als offener Karton-Tray, oft mit Schrumpffolie kombiniert. Wird sie vor dem Regal entsorgt, ist sie eine eigene Verpackungseinheit. Leerraum- und Minimierungs-Themen laufen hier zusammen.</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umverpackung; materialien: PPK, kunststoff (Folie); lmk: nein</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#17, #18, #32, hersteller, vertreiber</w:t>
      </w:r>
    </w:p>
    <w:p>
      <w:pPr>
        <w:keepNext/>
        <w:pBdr>
          <w:top w:val="single" w:color="24A27F" w:sz="4" w:space="4"/>
        </w:pBdr>
        <w:spacing w:after="40" w:before="260"/>
      </w:pPr>
      <w:r>
        <w:rPr>
          <w:rFonts w:ascii="Arial" w:cs="Arial" w:eastAsia="Arial" w:hAnsi="Arial"/>
          <w:b/>
          <w:bCs/>
          <w:color w:val="004494"/>
          <w:sz w:val="22"/>
          <w:szCs w:val="22"/>
        </w:rPr>
        <w:t xml:space="preserve">L29  </w:t>
      </w:r>
      <w:r>
        <w:rPr>
          <w:rFonts w:ascii="Arial" w:cs="Arial" w:eastAsia="Arial" w:hAnsi="Arial"/>
          <w:b/>
          <w:bCs/>
          <w:sz w:val="22"/>
          <w:szCs w:val="22"/>
        </w:rPr>
        <w:t xml:space="preserve">Chipstüte</w:t>
      </w:r>
    </w:p>
    <w:p>
      <w:pPr>
        <w:spacing w:after="60" w:before="0"/>
      </w:pPr>
      <w:r>
        <w:rPr>
          <w:rFonts w:ascii="Arial" w:cs="Arial" w:eastAsia="Arial" w:hAnsi="Arial"/>
          <w:color w:val="6B7280"/>
          <w:sz w:val="16"/>
          <w:szCs w:val="16"/>
        </w:rPr>
        <w:t xml:space="preserve">objekt · Synonyme: Standbodenbeutel; Doypack; Snackbeutel; Flowpack; metallisierter Beutel</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Verkaufsverpackung aus mehrschichtiger, häufig metallisierter Kunststofffolie (teils mit Alu- oder Papierlage) – der Standardfall des flexiblen Verbunds. Recycling-Design und die Verbund-Einstufung nach Kunststoffanteil sind die Praxisthemen. Direkter Lebensmittelkontakt.</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materialien: verbund (kunststoff/alu, metallisiert); lmk: ja</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#11, #12, #24, #32, erzeuger, hersteller</w:t>
      </w:r>
    </w:p>
    <w:p>
      <w:pPr>
        <w:keepNext/>
        <w:pBdr>
          <w:top w:val="single" w:color="24A27F" w:sz="4" w:space="4"/>
        </w:pBdr>
        <w:spacing w:after="40" w:before="260"/>
      </w:pPr>
      <w:r>
        <w:rPr>
          <w:rFonts w:ascii="Arial" w:cs="Arial" w:eastAsia="Arial" w:hAnsi="Arial"/>
          <w:b/>
          <w:bCs/>
          <w:color w:val="004494"/>
          <w:sz w:val="22"/>
          <w:szCs w:val="22"/>
        </w:rPr>
        <w:t xml:space="preserve">L30  </w:t>
      </w:r>
      <w:r>
        <w:rPr>
          <w:rFonts w:ascii="Arial" w:cs="Arial" w:eastAsia="Arial" w:hAnsi="Arial"/>
          <w:b/>
          <w:bCs/>
          <w:sz w:val="22"/>
          <w:szCs w:val="22"/>
        </w:rPr>
        <w:t xml:space="preserve">Getränkekasten</w:t>
      </w:r>
    </w:p>
    <w:p>
      <w:pPr>
        <w:spacing w:after="60" w:before="0"/>
      </w:pPr>
      <w:r>
        <w:rPr>
          <w:rFonts w:ascii="Arial" w:cs="Arial" w:eastAsia="Arial" w:hAnsi="Arial"/>
          <w:color w:val="6B7280"/>
          <w:sz w:val="16"/>
          <w:szCs w:val="16"/>
        </w:rPr>
        <w:t xml:space="preserve">objekt · Synonyme: Flaschenkasten; Bierkasten; Mehrwegkasten; Getränkekiste; Sprudelkasten</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Wiederverwendbare Transport-/Umverpackung aus HDPE für Mehrwegflaschen – mit Pfand belegt und in Poolsystemen im Umlauf. Kunststoffkästen mit Rezyklateinsatz sind neben Paletten der Anwendungsfall der deutschen Schwermetall-Ausnahme für geschlossene Kreisläufe.</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transport, umverpackung, mehrweg; materialien: kunststoff (HDPE); lmk: nein</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#03, #01, #30, C05, C06, B11, hersteller</w:t>
      </w:r>
    </w:p>
    <w:p>
      <w:pPr>
        <w:keepNext/>
        <w:pBdr>
          <w:top w:val="single" w:color="24A27F" w:sz="4" w:space="4"/>
        </w:pBdr>
        <w:spacing w:after="40" w:before="260"/>
      </w:pPr>
      <w:r>
        <w:rPr>
          <w:rFonts w:ascii="Arial" w:cs="Arial" w:eastAsia="Arial" w:hAnsi="Arial"/>
          <w:b/>
          <w:bCs/>
          <w:color w:val="004494"/>
          <w:sz w:val="22"/>
          <w:szCs w:val="22"/>
        </w:rPr>
        <w:t xml:space="preserve">L31  </w:t>
      </w:r>
      <w:r>
        <w:rPr>
          <w:rFonts w:ascii="Arial" w:cs="Arial" w:eastAsia="Arial" w:hAnsi="Arial"/>
          <w:b/>
          <w:bCs/>
          <w:sz w:val="22"/>
          <w:szCs w:val="22"/>
        </w:rPr>
        <w:t xml:space="preserve">Papier/Pappe/Karton (PPK)</w:t>
      </w:r>
    </w:p>
    <w:p>
      <w:pPr>
        <w:spacing w:after="60" w:before="0"/>
      </w:pPr>
      <w:r>
        <w:rPr>
          <w:rFonts w:ascii="Arial" w:cs="Arial" w:eastAsia="Arial" w:hAnsi="Arial"/>
          <w:color w:val="6B7280"/>
          <w:sz w:val="16"/>
          <w:szCs w:val="16"/>
        </w:rPr>
        <w:t xml:space="preserve">material · Synonyme: PPK; Papier; Pappe; Karton; Faserverpackung; Kartonage</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Sammelbegriff der faserbasierten Verpackungsmaterialien und eigene Materialfraktion mit eigener VE-Schwelle. Gilt als etabliert recycelbar, wird aber mit Beschichtung, Sichtfenster oder Nassfestmitteln schnell zum Verbund-Fall. Bei Lebensmittelkontakt sind Beschichtungen der PFAS-Prüfpunkt.</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alle; materialien: papier, pappe, karton; lmk: typisch</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#11, #19, #02, B06</w:t>
      </w:r>
    </w:p>
    <w:p>
      <w:pPr>
        <w:keepNext/>
        <w:pBdr>
          <w:top w:val="single" w:color="24A27F" w:sz="4" w:space="4"/>
        </w:pBdr>
        <w:spacing w:after="40" w:before="260"/>
      </w:pPr>
      <w:r>
        <w:rPr>
          <w:rFonts w:ascii="Arial" w:cs="Arial" w:eastAsia="Arial" w:hAnsi="Arial"/>
          <w:b/>
          <w:bCs/>
          <w:color w:val="004494"/>
          <w:sz w:val="22"/>
          <w:szCs w:val="22"/>
        </w:rPr>
        <w:t xml:space="preserve">L32  </w:t>
      </w:r>
      <w:r>
        <w:rPr>
          <w:rFonts w:ascii="Arial" w:cs="Arial" w:eastAsia="Arial" w:hAnsi="Arial"/>
          <w:b/>
          <w:bCs/>
          <w:sz w:val="22"/>
          <w:szCs w:val="22"/>
        </w:rPr>
        <w:t xml:space="preserve">Wellpappe</w:t>
      </w:r>
    </w:p>
    <w:p>
      <w:pPr>
        <w:spacing w:after="60" w:before="0"/>
      </w:pPr>
      <w:r>
        <w:rPr>
          <w:rFonts w:ascii="Arial" w:cs="Arial" w:eastAsia="Arial" w:hAnsi="Arial"/>
          <w:color w:val="6B7280"/>
          <w:sz w:val="16"/>
          <w:szCs w:val="16"/>
        </w:rPr>
        <w:t xml:space="preserve">material · Synonyme: Wellkarton; Karton (umgangssprachlich); Corrugated; Wellpappkarton</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Faserverpackungsmaterial aus glatten Deckenbahnen und gewellter Zwischenlage – das Standardmaterial für Versand-, Um- und Transportverpackungen. Kartons sind bei den Transport-Mehrwegquoten ausdrücklich ausgenommen.</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transport, umverpackung, ecommerce_versand; materialien: PPK (Wellpappe); lmk: nein</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#27, #18, #11</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 V13: Fundstelle der Karton-Ausnahme in Art. 29 noch zu pinnen</w:t>
      </w:r>
    </w:p>
    <w:p>
      <w:pPr>
        <w:keepNext/>
        <w:pBdr>
          <w:top w:val="single" w:color="24A27F" w:sz="4" w:space="4"/>
        </w:pBdr>
        <w:spacing w:after="40" w:before="260"/>
      </w:pPr>
      <w:r>
        <w:rPr>
          <w:rFonts w:ascii="Arial" w:cs="Arial" w:eastAsia="Arial" w:hAnsi="Arial"/>
          <w:b/>
          <w:bCs/>
          <w:color w:val="004494"/>
          <w:sz w:val="22"/>
          <w:szCs w:val="22"/>
        </w:rPr>
        <w:t xml:space="preserve">L33  </w:t>
      </w:r>
      <w:r>
        <w:rPr>
          <w:rFonts w:ascii="Arial" w:cs="Arial" w:eastAsia="Arial" w:hAnsi="Arial"/>
          <w:b/>
          <w:bCs/>
          <w:sz w:val="22"/>
          <w:szCs w:val="22"/>
        </w:rPr>
        <w:t xml:space="preserve">PET</w:t>
      </w:r>
    </w:p>
    <w:p>
      <w:pPr>
        <w:spacing w:after="60" w:before="0"/>
      </w:pPr>
      <w:r>
        <w:rPr>
          <w:rFonts w:ascii="Arial" w:cs="Arial" w:eastAsia="Arial" w:hAnsi="Arial"/>
          <w:color w:val="6B7280"/>
          <w:sz w:val="16"/>
          <w:szCs w:val="16"/>
        </w:rPr>
        <w:t xml:space="preserve">material · Synonyme: Polyethylenterephthalat; Polyester; rPET; PET-Kunststoff</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Kunststoff Nr. 1 der Kennzeichnungssystematik; Standard für Getränkeflaschen, Schalen und Folien. Einziger Kunststoff mit etabliertem Bottle-to-Bottle-Kreislauf und deshalb Dreh- und Angelpunkt der Rezyklatquoten – national heute, EU-weit ab 2030.</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materialien: kunststoff (PET); lmk: typisch</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#15, #14, #11, C10</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 V4/V5: EU-Quotenwerte je Kategorie noch nicht gepinnt – Zahlen nicht ausspielen</w:t>
      </w:r>
    </w:p>
    <w:p>
      <w:pPr>
        <w:keepNext/>
        <w:pBdr>
          <w:top w:val="single" w:color="24A27F" w:sz="4" w:space="4"/>
        </w:pBdr>
        <w:spacing w:after="40" w:before="260"/>
      </w:pPr>
      <w:r>
        <w:rPr>
          <w:rFonts w:ascii="Arial" w:cs="Arial" w:eastAsia="Arial" w:hAnsi="Arial"/>
          <w:b/>
          <w:bCs/>
          <w:color w:val="004494"/>
          <w:sz w:val="22"/>
          <w:szCs w:val="22"/>
        </w:rPr>
        <w:t xml:space="preserve">L34  </w:t>
      </w:r>
      <w:r>
        <w:rPr>
          <w:rFonts w:ascii="Arial" w:cs="Arial" w:eastAsia="Arial" w:hAnsi="Arial"/>
          <w:b/>
          <w:bCs/>
          <w:sz w:val="22"/>
          <w:szCs w:val="22"/>
        </w:rPr>
        <w:t xml:space="preserve">Polyethylen (PE)</w:t>
      </w:r>
    </w:p>
    <w:p>
      <w:pPr>
        <w:spacing w:after="60" w:before="0"/>
      </w:pPr>
      <w:r>
        <w:rPr>
          <w:rFonts w:ascii="Arial" w:cs="Arial" w:eastAsia="Arial" w:hAnsi="Arial"/>
          <w:color w:val="6B7280"/>
          <w:sz w:val="16"/>
          <w:szCs w:val="16"/>
        </w:rPr>
        <w:t xml:space="preserve">material · Synonyme: PE; LDPE; HDPE; PE-LD; PE-HD; Polyethylen niedriger/hoher Dichte</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Mengenmäßig wichtigster Verpackungskunststoff: als LDPE für Folien, Beutel und Stretchfolie, als HDPE für Flaschen, Kanister, Kästen und Paletten. Kennzeichnungsnummern 2 (HDPE) und 4 (LDPE).</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alle; materialien: kunststoff (PE); lmk: typisch</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#11, #19, #25</w:t>
      </w:r>
    </w:p>
    <w:p>
      <w:pPr>
        <w:keepNext/>
        <w:pBdr>
          <w:top w:val="single" w:color="24A27F" w:sz="4" w:space="4"/>
        </w:pBdr>
        <w:spacing w:after="40" w:before="260"/>
      </w:pPr>
      <w:r>
        <w:rPr>
          <w:rFonts w:ascii="Arial" w:cs="Arial" w:eastAsia="Arial" w:hAnsi="Arial"/>
          <w:b/>
          <w:bCs/>
          <w:color w:val="004494"/>
          <w:sz w:val="22"/>
          <w:szCs w:val="22"/>
        </w:rPr>
        <w:t xml:space="preserve">L35  </w:t>
      </w:r>
      <w:r>
        <w:rPr>
          <w:rFonts w:ascii="Arial" w:cs="Arial" w:eastAsia="Arial" w:hAnsi="Arial"/>
          <w:b/>
          <w:bCs/>
          <w:sz w:val="22"/>
          <w:szCs w:val="22"/>
        </w:rPr>
        <w:t xml:space="preserve">Polypropylen (PP)</w:t>
      </w:r>
    </w:p>
    <w:p>
      <w:pPr>
        <w:spacing w:after="60" w:before="0"/>
      </w:pPr>
      <w:r>
        <w:rPr>
          <w:rFonts w:ascii="Arial" w:cs="Arial" w:eastAsia="Arial" w:hAnsi="Arial"/>
          <w:color w:val="6B7280"/>
          <w:sz w:val="16"/>
          <w:szCs w:val="16"/>
        </w:rPr>
        <w:t xml:space="preserve">material · Synonyme: PP; PP-Kunststoff; Polypropen</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Kunststoff Nr. 5 der Kennzeichnungssystematik; Standard für Becher, Verschlüsse, Eimer und mikrowellenfeste Schalen. Temperaturbeständiger als PE und verbreiteter Werkstoff für Mehrweg-Geschirr und -Behälter.</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service; materialien: kunststoff (PP); lmk: typisch</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#11, #19</w:t>
      </w:r>
    </w:p>
    <w:p>
      <w:pPr>
        <w:keepNext/>
        <w:pBdr>
          <w:top w:val="single" w:color="24A27F" w:sz="4" w:space="4"/>
        </w:pBdr>
        <w:spacing w:after="40" w:before="260"/>
      </w:pPr>
      <w:r>
        <w:rPr>
          <w:rFonts w:ascii="Arial" w:cs="Arial" w:eastAsia="Arial" w:hAnsi="Arial"/>
          <w:b/>
          <w:bCs/>
          <w:color w:val="004494"/>
          <w:sz w:val="22"/>
          <w:szCs w:val="22"/>
        </w:rPr>
        <w:t xml:space="preserve">L36  </w:t>
      </w:r>
      <w:r>
        <w:rPr>
          <w:rFonts w:ascii="Arial" w:cs="Arial" w:eastAsia="Arial" w:hAnsi="Arial"/>
          <w:b/>
          <w:bCs/>
          <w:sz w:val="22"/>
          <w:szCs w:val="22"/>
        </w:rPr>
        <w:t xml:space="preserve">Polystyrol (PS)</w:t>
      </w:r>
    </w:p>
    <w:p>
      <w:pPr>
        <w:spacing w:after="60" w:before="0"/>
      </w:pPr>
      <w:r>
        <w:rPr>
          <w:rFonts w:ascii="Arial" w:cs="Arial" w:eastAsia="Arial" w:hAnsi="Arial"/>
          <w:color w:val="6B7280"/>
          <w:sz w:val="16"/>
          <w:szCs w:val="16"/>
        </w:rPr>
        <w:t xml:space="preserve">material · Synonyme: PS; Styrol-Kunststoff; Polystyrol kompakt</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Kunststoff Nr. 6 der Kennzeichnungssystematik – klassisch für Becher, Molkereiverpackungen und Trägermaterial. In geschäumter Form der Ausgangsstoff für EPS/XPS mit eigener Verbotslage.</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materialien: kunststoff (PS); lmk: typisch</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#11, #19, #26</w:t>
      </w:r>
    </w:p>
    <w:p>
      <w:pPr>
        <w:keepNext/>
        <w:pBdr>
          <w:top w:val="single" w:color="24A27F" w:sz="4" w:space="4"/>
        </w:pBdr>
        <w:spacing w:after="40" w:before="260"/>
      </w:pPr>
      <w:r>
        <w:rPr>
          <w:rFonts w:ascii="Arial" w:cs="Arial" w:eastAsia="Arial" w:hAnsi="Arial"/>
          <w:b/>
          <w:bCs/>
          <w:color w:val="004494"/>
          <w:sz w:val="22"/>
          <w:szCs w:val="22"/>
        </w:rPr>
        <w:t xml:space="preserve">L37  </w:t>
      </w:r>
      <w:r>
        <w:rPr>
          <w:rFonts w:ascii="Arial" w:cs="Arial" w:eastAsia="Arial" w:hAnsi="Arial"/>
          <w:b/>
          <w:bCs/>
          <w:sz w:val="22"/>
          <w:szCs w:val="22"/>
        </w:rPr>
        <w:t xml:space="preserve">EPS/XPS</w:t>
      </w:r>
    </w:p>
    <w:p>
      <w:pPr>
        <w:spacing w:after="60" w:before="0"/>
      </w:pPr>
      <w:r>
        <w:rPr>
          <w:rFonts w:ascii="Arial" w:cs="Arial" w:eastAsia="Arial" w:hAnsi="Arial"/>
          <w:color w:val="6B7280"/>
          <w:sz w:val="16"/>
          <w:szCs w:val="16"/>
        </w:rPr>
        <w:t xml:space="preserve">material · Synonyme: Styropor; expandiertes Polystyrol; extrudiertes Polystyrol; Schaumpolystyrol; Airpop; Partikelschaum</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Geschäumte Polystyrol-Varianten: EPS (Partikelschaum, „Styropor“) und XPS (extrudiert). Im Lebensmittel-To-go-Bereich gelten für EPS bereits Verbote, XPS folgt 2030 – die saubere Unterscheidung der beiden Schaumtypen ist deshalb der Prüfpunkt in den Materialdaten.</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service, transport (Polster); materialien: kunststoff (PS-Schaum); lmk: teils</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#26, #24</w:t>
      </w:r>
    </w:p>
    <w:p>
      <w:pPr>
        <w:keepNext/>
        <w:pBdr>
          <w:top w:val="single" w:color="24A27F" w:sz="4" w:space="4"/>
        </w:pBdr>
        <w:spacing w:after="40" w:before="260"/>
      </w:pPr>
      <w:r>
        <w:rPr>
          <w:rFonts w:ascii="Arial" w:cs="Arial" w:eastAsia="Arial" w:hAnsi="Arial"/>
          <w:b/>
          <w:bCs/>
          <w:color w:val="004494"/>
          <w:sz w:val="22"/>
          <w:szCs w:val="22"/>
        </w:rPr>
        <w:t xml:space="preserve">L38  </w:t>
      </w:r>
      <w:r>
        <w:rPr>
          <w:rFonts w:ascii="Arial" w:cs="Arial" w:eastAsia="Arial" w:hAnsi="Arial"/>
          <w:b/>
          <w:bCs/>
          <w:sz w:val="22"/>
          <w:szCs w:val="22"/>
        </w:rPr>
        <w:t xml:space="preserve">Glas</w:t>
      </w:r>
    </w:p>
    <w:p>
      <w:pPr>
        <w:spacing w:after="60" w:before="0"/>
      </w:pPr>
      <w:r>
        <w:rPr>
          <w:rFonts w:ascii="Arial" w:cs="Arial" w:eastAsia="Arial" w:hAnsi="Arial"/>
          <w:color w:val="6B7280"/>
          <w:sz w:val="16"/>
          <w:szCs w:val="16"/>
        </w:rPr>
        <w:t xml:space="preserve">material · Synonyme: Behälterglas; Weißglas; Grünglas; Braunglas; Glasverpackung</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Materialfraktion mit eigener VE-Schwelle und eigener Kennzeichnungsgruppe (GL 70–72 nach Farbe). Praktisch beliebig oft recycelbar; hoher Rezyklateinsatz ist Standard – dafür existiert die deutsche Schwermetall-Sonderregel für rezyklatbedingte Überschreitungen. Direkter Lebensmittelkontakt üblich.</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materialien: glas; lmk: ja</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#01, #19, B06</w:t>
      </w:r>
    </w:p>
    <w:p>
      <w:pPr>
        <w:keepNext/>
        <w:pBdr>
          <w:top w:val="single" w:color="24A27F" w:sz="4" w:space="4"/>
        </w:pBdr>
        <w:spacing w:after="40" w:before="260"/>
      </w:pPr>
      <w:r>
        <w:rPr>
          <w:rFonts w:ascii="Arial" w:cs="Arial" w:eastAsia="Arial" w:hAnsi="Arial"/>
          <w:b/>
          <w:bCs/>
          <w:color w:val="004494"/>
          <w:sz w:val="22"/>
          <w:szCs w:val="22"/>
        </w:rPr>
        <w:t xml:space="preserve">L39  </w:t>
      </w:r>
      <w:r>
        <w:rPr>
          <w:rFonts w:ascii="Arial" w:cs="Arial" w:eastAsia="Arial" w:hAnsi="Arial"/>
          <w:b/>
          <w:bCs/>
          <w:sz w:val="22"/>
          <w:szCs w:val="22"/>
        </w:rPr>
        <w:t xml:space="preserve">Aluminium</w:t>
      </w:r>
    </w:p>
    <w:p>
      <w:pPr>
        <w:spacing w:after="60" w:before="0"/>
      </w:pPr>
      <w:r>
        <w:rPr>
          <w:rFonts w:ascii="Arial" w:cs="Arial" w:eastAsia="Arial" w:hAnsi="Arial"/>
          <w:color w:val="6B7280"/>
          <w:sz w:val="16"/>
          <w:szCs w:val="16"/>
        </w:rPr>
        <w:t xml:space="preserve">material · Synonyme: Alu; Aluminiumfolie; Alufolie; Aluverbund; Aluminiumverpackung</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Metall-Verpackungsmaterial für Dosen, Tuben, Platinen und Kapseln sowie als Barriereschicht in Verbunden. Als Mono-Material gut recycelbar; als dünne Verbundschicht der klassische Design-Zielkonflikt zwischen Barrierewirkung und Recyclingfähigkeit.</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materialien: aluminium; lmk: typisch</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#11, #12, #36</w:t>
      </w:r>
    </w:p>
    <w:p>
      <w:pPr>
        <w:keepNext/>
        <w:pBdr>
          <w:top w:val="single" w:color="24A27F" w:sz="4" w:space="4"/>
        </w:pBdr>
        <w:spacing w:after="40" w:before="260"/>
      </w:pPr>
      <w:r>
        <w:rPr>
          <w:rFonts w:ascii="Arial" w:cs="Arial" w:eastAsia="Arial" w:hAnsi="Arial"/>
          <w:b/>
          <w:bCs/>
          <w:color w:val="004494"/>
          <w:sz w:val="22"/>
          <w:szCs w:val="22"/>
        </w:rPr>
        <w:t xml:space="preserve">L40  </w:t>
      </w:r>
      <w:r>
        <w:rPr>
          <w:rFonts w:ascii="Arial" w:cs="Arial" w:eastAsia="Arial" w:hAnsi="Arial"/>
          <w:b/>
          <w:bCs/>
          <w:sz w:val="22"/>
          <w:szCs w:val="22"/>
        </w:rPr>
        <w:t xml:space="preserve">Weißblech</w:t>
      </w:r>
    </w:p>
    <w:p>
      <w:pPr>
        <w:spacing w:after="60" w:before="0"/>
      </w:pPr>
      <w:r>
        <w:rPr>
          <w:rFonts w:ascii="Arial" w:cs="Arial" w:eastAsia="Arial" w:hAnsi="Arial"/>
          <w:color w:val="6B7280"/>
          <w:sz w:val="16"/>
          <w:szCs w:val="16"/>
        </w:rPr>
        <w:t xml:space="preserve">material · Synonyme: verzinntes Stahlblech; Blech; Stahlverpackung; Weißblechverpackung</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Verzinnter Stahl für Konserven, Getränkedosen, Kronkorken und Deckel – magnetisch sortierbar und als Metallfraktion etabliert im Recycling. Den Lebensmittelkontakt stellen Innenlackierungen her.</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materialien: weißblech/stahl; lmk: typisch</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#11, #19</w:t>
      </w:r>
    </w:p>
    <w:p>
      <w:pPr>
        <w:keepNext/>
        <w:pBdr>
          <w:top w:val="single" w:color="24A27F" w:sz="4" w:space="4"/>
        </w:pBdr>
        <w:spacing w:after="40" w:before="260"/>
      </w:pPr>
      <w:r>
        <w:rPr>
          <w:rFonts w:ascii="Arial" w:cs="Arial" w:eastAsia="Arial" w:hAnsi="Arial"/>
          <w:b/>
          <w:bCs/>
          <w:color w:val="004494"/>
          <w:sz w:val="22"/>
          <w:szCs w:val="22"/>
        </w:rPr>
        <w:t xml:space="preserve">L41  </w:t>
      </w:r>
      <w:r>
        <w:rPr>
          <w:rFonts w:ascii="Arial" w:cs="Arial" w:eastAsia="Arial" w:hAnsi="Arial"/>
          <w:b/>
          <w:bCs/>
          <w:sz w:val="22"/>
          <w:szCs w:val="22"/>
        </w:rPr>
        <w:t xml:space="preserve">Verbundmaterial</w:t>
      </w:r>
    </w:p>
    <w:p>
      <w:pPr>
        <w:spacing w:after="60" w:before="0"/>
      </w:pPr>
      <w:r>
        <w:rPr>
          <w:rFonts w:ascii="Arial" w:cs="Arial" w:eastAsia="Arial" w:hAnsi="Arial"/>
          <w:color w:val="6B7280"/>
          <w:sz w:val="16"/>
          <w:szCs w:val="16"/>
        </w:rPr>
        <w:t xml:space="preserve">material · Synonyme: Verbund; Composite; Mehrschichtverpackung; Multilayer; C/-Verpackung; Verbundstoff</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Verpackungsmaterial aus fest verbundenen, von Hand nicht trennbaren Schichten verschiedener Stoffe – gekennzeichnet mit „C/“ plus Hauptmaterial. Regulatorisch doppelt im Fokus: bei der Recycling-Design-Einstufung und bei der Frage, ab welchem Kunststoffanteil ein Verbund unter die Kunststoff-Verbote fällt.</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alle; materialien: verbund; lmk: typisch</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#11, #12, #24, #19</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 5-%-Kunststoff-Auslegung nur im Leitfaden (unverbindlich) – stets so kennzeichnen</w:t>
      </w:r>
    </w:p>
    <w:p>
      <w:pPr>
        <w:keepNext/>
        <w:pBdr>
          <w:top w:val="single" w:color="24A27F" w:sz="4" w:space="4"/>
        </w:pBdr>
        <w:spacing w:after="40" w:before="260"/>
      </w:pPr>
      <w:r>
        <w:rPr>
          <w:rFonts w:ascii="Arial" w:cs="Arial" w:eastAsia="Arial" w:hAnsi="Arial"/>
          <w:b/>
          <w:bCs/>
          <w:color w:val="004494"/>
          <w:sz w:val="22"/>
          <w:szCs w:val="22"/>
        </w:rPr>
        <w:t xml:space="preserve">L42  </w:t>
      </w:r>
      <w:r>
        <w:rPr>
          <w:rFonts w:ascii="Arial" w:cs="Arial" w:eastAsia="Arial" w:hAnsi="Arial"/>
          <w:b/>
          <w:bCs/>
          <w:sz w:val="22"/>
          <w:szCs w:val="22"/>
        </w:rPr>
        <w:t xml:space="preserve">Rezyklat</w:t>
      </w:r>
    </w:p>
    <w:p>
      <w:pPr>
        <w:spacing w:after="60" w:before="0"/>
      </w:pPr>
      <w:r>
        <w:rPr>
          <w:rFonts w:ascii="Arial" w:cs="Arial" w:eastAsia="Arial" w:hAnsi="Arial"/>
          <w:color w:val="6B7280"/>
          <w:sz w:val="16"/>
          <w:szCs w:val="16"/>
        </w:rPr>
        <w:t xml:space="preserve">material · Synonyme: Recyclingmaterial; Sekundärrohstoff; rPET; Post-Consumer-Rezyklat; PCR; Regranulat</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Aus Recyclingprozessen gewonnenes Material, das Primärrohstoff ersetzt – in der PPWR-Terminologie „Sekundärrohstoff“. Rezyklateinsatz ist zugleich Quotenthema (PET heute, EU-weit ab 2030), Kostenhebel über die Ökomodulation und Sonderfall bei den Schwermetall-Grenzwerten. Für PFAS gibt es ausdrücklich keine Rezyklat-Ausnahme.</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alle; materialien: alle; lmk: verfahrensabhängig</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#14, #15, #35, #01, #02, C05, C10, B15</w:t>
      </w:r>
    </w:p>
    <w:p>
      <w:pPr>
        <w:keepNext/>
        <w:pBdr>
          <w:top w:val="single" w:color="24A27F" w:sz="4" w:space="4"/>
        </w:pBdr>
        <w:spacing w:after="40" w:before="260"/>
      </w:pPr>
      <w:r>
        <w:rPr>
          <w:rFonts w:ascii="Arial" w:cs="Arial" w:eastAsia="Arial" w:hAnsi="Arial"/>
          <w:b/>
          <w:bCs/>
          <w:color w:val="004494"/>
          <w:sz w:val="22"/>
          <w:szCs w:val="22"/>
        </w:rPr>
        <w:t xml:space="preserve">L43  </w:t>
      </w:r>
      <w:r>
        <w:rPr>
          <w:rFonts w:ascii="Arial" w:cs="Arial" w:eastAsia="Arial" w:hAnsi="Arial"/>
          <w:b/>
          <w:bCs/>
          <w:sz w:val="22"/>
          <w:szCs w:val="22"/>
        </w:rPr>
        <w:t xml:space="preserve">Kompostierbare Kunststoffe</w:t>
      </w:r>
    </w:p>
    <w:p>
      <w:pPr>
        <w:spacing w:after="60" w:before="0"/>
      </w:pPr>
      <w:r>
        <w:rPr>
          <w:rFonts w:ascii="Arial" w:cs="Arial" w:eastAsia="Arial" w:hAnsi="Arial"/>
          <w:color w:val="6B7280"/>
          <w:sz w:val="16"/>
          <w:szCs w:val="16"/>
        </w:rPr>
        <w:t xml:space="preserve">material · Synonyme: Biokunststoff; biologisch abbaubarer Kunststoff; PLA; kompostierbare Folie; Bioplastik</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Kunststoffe, die unter industriellen Kompostierbedingungen abbauen (Orientierung: EN 13432). Wichtig: „biobasiert“ (Rohstoffherkunft) und „kompostierbar“ (Entsorgungsweg) sind zwei verschiedene Eigenschaften. Für bestimmte Formate wird Kompostierbarkeit ab 2028 zur Materialvorgabe; Werbeaussagen dazu laufen ins Green-Claims-Thema.</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service; materialien: kunststoff (PLA u. a.); lmk: typisch</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#16, #23, #21</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 V6: DE-Negativbefund zu Art. 9 Abs. 2 anwaltlich bestätigen</w:t>
      </w:r>
    </w:p>
    <w:p>
      <w:pPr>
        <w:keepNext/>
        <w:pBdr>
          <w:top w:val="single" w:color="24A27F" w:sz="4" w:space="4"/>
        </w:pBdr>
        <w:spacing w:after="40" w:before="260"/>
      </w:pPr>
      <w:r>
        <w:rPr>
          <w:rFonts w:ascii="Arial" w:cs="Arial" w:eastAsia="Arial" w:hAnsi="Arial"/>
          <w:b/>
          <w:bCs/>
          <w:color w:val="004494"/>
          <w:sz w:val="22"/>
          <w:szCs w:val="22"/>
        </w:rPr>
        <w:t xml:space="preserve">L44  </w:t>
      </w:r>
      <w:r>
        <w:rPr>
          <w:rFonts w:ascii="Arial" w:cs="Arial" w:eastAsia="Arial" w:hAnsi="Arial"/>
          <w:b/>
          <w:bCs/>
          <w:sz w:val="22"/>
          <w:szCs w:val="22"/>
        </w:rPr>
        <w:t xml:space="preserve">Holz</w:t>
      </w:r>
    </w:p>
    <w:p>
      <w:pPr>
        <w:spacing w:after="60" w:before="0"/>
      </w:pPr>
      <w:r>
        <w:rPr>
          <w:rFonts w:ascii="Arial" w:cs="Arial" w:eastAsia="Arial" w:hAnsi="Arial"/>
          <w:color w:val="6B7280"/>
          <w:sz w:val="16"/>
          <w:szCs w:val="16"/>
        </w:rPr>
        <w:t xml:space="preserve">material · Synonyme: Holzverpackung; Holzkiste; Vollholz; Obststeige (Holz); Holzwolle</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Material für Paletten, Kisten und Steigen – überwiegend Transportverpackung im B2B-Umlauf. In der Recyclingfähigkeits-Systematik mit Sonderstatus über die Ausnahmenliste.</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transport; materialien: holz; lmk: teils</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#27, #11</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 V3: Ausnahmenliste Art. 6 Abs. 11 vollständig pinnen</w:t>
      </w:r>
    </w:p>
    <w:p>
      <w:pPr>
        <w:keepNext/>
        <w:pBdr>
          <w:top w:val="single" w:color="24A27F" w:sz="4" w:space="4"/>
        </w:pBdr>
        <w:spacing w:after="40" w:before="260"/>
      </w:pPr>
      <w:r>
        <w:rPr>
          <w:rFonts w:ascii="Arial" w:cs="Arial" w:eastAsia="Arial" w:hAnsi="Arial"/>
          <w:b/>
          <w:bCs/>
          <w:color w:val="004494"/>
          <w:sz w:val="22"/>
          <w:szCs w:val="22"/>
        </w:rPr>
        <w:t xml:space="preserve">L45  </w:t>
      </w:r>
      <w:r>
        <w:rPr>
          <w:rFonts w:ascii="Arial" w:cs="Arial" w:eastAsia="Arial" w:hAnsi="Arial"/>
          <w:b/>
          <w:bCs/>
          <w:sz w:val="22"/>
          <w:szCs w:val="22"/>
        </w:rPr>
        <w:t xml:space="preserve">Monomaterial</w:t>
      </w:r>
    </w:p>
    <w:p>
      <w:pPr>
        <w:spacing w:after="60" w:before="0"/>
      </w:pPr>
      <w:r>
        <w:rPr>
          <w:rFonts w:ascii="Arial" w:cs="Arial" w:eastAsia="Arial" w:hAnsi="Arial"/>
          <w:color w:val="6B7280"/>
          <w:sz w:val="16"/>
          <w:szCs w:val="16"/>
        </w:rPr>
        <w:t xml:space="preserve">material · Synonyme: Mono-Material; sortenrein; Einstoffverpackung; Monofolie</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Praxisbegriff – kein Rechtsbegriff – für Verpackungen aus einer einzigen Materialart, das Gegenstück zum Verbund. In der Designpraxis die Standard-Empfehlung Richtung Recyclingfähigkeit und günstigerer Ökomodulation.</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alle; materialien: je nach Werkstoff; lmk: –</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#11, #12, #35</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 Kein Rechtsbegriff – nur als Praxis-Einordnung ausspielen, nicht als Rechtskategorie</w:t>
      </w:r>
    </w:p>
    <w:p>
      <w:pPr>
        <w:keepNext/>
        <w:pBdr>
          <w:top w:val="single" w:color="24A27F" w:sz="4" w:space="4"/>
        </w:pBdr>
        <w:spacing w:after="40" w:before="260"/>
      </w:pPr>
      <w:r>
        <w:rPr>
          <w:rFonts w:ascii="Arial" w:cs="Arial" w:eastAsia="Arial" w:hAnsi="Arial"/>
          <w:b/>
          <w:bCs/>
          <w:color w:val="004494"/>
          <w:sz w:val="22"/>
          <w:szCs w:val="22"/>
        </w:rPr>
        <w:t xml:space="preserve">L46  </w:t>
      </w:r>
      <w:r>
        <w:rPr>
          <w:rFonts w:ascii="Arial" w:cs="Arial" w:eastAsia="Arial" w:hAnsi="Arial"/>
          <w:b/>
          <w:bCs/>
          <w:sz w:val="22"/>
          <w:szCs w:val="22"/>
        </w:rPr>
        <w:t xml:space="preserve">Pfand</w:t>
      </w:r>
    </w:p>
    <w:p>
      <w:pPr>
        <w:spacing w:after="60" w:before="0"/>
      </w:pPr>
      <w:r>
        <w:rPr>
          <w:rFonts w:ascii="Arial" w:cs="Arial" w:eastAsia="Arial" w:hAnsi="Arial"/>
          <w:color w:val="6B7280"/>
          <w:sz w:val="16"/>
          <w:szCs w:val="16"/>
        </w:rPr>
        <w:t xml:space="preserve">begriff · Synonyme: Einwegpfand; Dosenpfand; Flaschenpfand; DPG-Pfand; Pfandpflicht; Pfandsystem</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Geldbetrag, der bei pfandpflichtigen Einweg-Getränkeverpackungen auf allen Handelsstufen erhoben und bei Rückgabe erstattet wird – in Deutschland mindestens 0,25 € im bundesweiten DPG-System. Welche Getränke und Gebinde erfasst sind, regelt ein Ausnahmenkatalog mit Rückausnahme für Kunststoff-Einwegflaschen und Dosen.</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(Einweg-Getränke); materialien: kunststoff, aluminium, weißblech, glas; lmk: ja</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#36, B08, B09, hersteller, vertreiber, endvertreiber</w:t>
      </w:r>
    </w:p>
    <w:p>
      <w:pPr>
        <w:keepNext/>
        <w:pBdr>
          <w:top w:val="single" w:color="24A27F" w:sz="4" w:space="4"/>
        </w:pBdr>
        <w:spacing w:after="40" w:before="260"/>
      </w:pPr>
      <w:r>
        <w:rPr>
          <w:rFonts w:ascii="Arial" w:cs="Arial" w:eastAsia="Arial" w:hAnsi="Arial"/>
          <w:b/>
          <w:bCs/>
          <w:color w:val="004494"/>
          <w:sz w:val="22"/>
          <w:szCs w:val="22"/>
        </w:rPr>
        <w:t xml:space="preserve">L47  </w:t>
      </w:r>
      <w:r>
        <w:rPr>
          <w:rFonts w:ascii="Arial" w:cs="Arial" w:eastAsia="Arial" w:hAnsi="Arial"/>
          <w:b/>
          <w:bCs/>
          <w:sz w:val="22"/>
          <w:szCs w:val="22"/>
        </w:rPr>
        <w:t xml:space="preserve">Lohnabfüllung</w:t>
      </w:r>
    </w:p>
    <w:p>
      <w:pPr>
        <w:spacing w:after="60" w:before="0"/>
      </w:pPr>
      <w:r>
        <w:rPr>
          <w:rFonts w:ascii="Arial" w:cs="Arial" w:eastAsia="Arial" w:hAnsi="Arial"/>
          <w:color w:val="6B7280"/>
          <w:sz w:val="16"/>
          <w:szCs w:val="16"/>
        </w:rPr>
        <w:t xml:space="preserve">begriff · Synonyme: Lohnfertigung; Co-Packing; Lohnverpackung; Abfüllauftrag; Lohnhersteller; Auftragsfertigung</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Konstellation, in der ein Dienstleister Produkte im Auftrag und meist unter der Marke des Auftraggebers abfüllt oder verpackt. Für die Rollenverteilung zählt nicht, wer die Maschine bedient, sondern Marke (Konformitätsschiene) und erste Abgabe in die Lieferkette (EPR-Schiene) – die Zuordnung ohne Eigentumsübergang ist ein offener Prüfpunkt.</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materialien: alle; lmk: typisch</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#08, A01, A02, erzeuger, hersteller</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 A02: Lohnfertigungs-Zuordnung ohne Eigentumsübergang in Session bestätigen</w:t>
      </w:r>
    </w:p>
    <w:p>
      <w:pPr>
        <w:keepNext/>
        <w:pBdr>
          <w:top w:val="single" w:color="24A27F" w:sz="4" w:space="4"/>
        </w:pBdr>
        <w:spacing w:after="40" w:before="260"/>
      </w:pPr>
      <w:r>
        <w:rPr>
          <w:rFonts w:ascii="Arial" w:cs="Arial" w:eastAsia="Arial" w:hAnsi="Arial"/>
          <w:b/>
          <w:bCs/>
          <w:color w:val="004494"/>
          <w:sz w:val="22"/>
          <w:szCs w:val="22"/>
        </w:rPr>
        <w:t xml:space="preserve">L48  </w:t>
      </w:r>
      <w:r>
        <w:rPr>
          <w:rFonts w:ascii="Arial" w:cs="Arial" w:eastAsia="Arial" w:hAnsi="Arial"/>
          <w:b/>
          <w:bCs/>
          <w:sz w:val="22"/>
          <w:szCs w:val="22"/>
        </w:rPr>
        <w:t xml:space="preserve">Private Label</w:t>
      </w:r>
    </w:p>
    <w:p>
      <w:pPr>
        <w:spacing w:after="60" w:before="0"/>
      </w:pPr>
      <w:r>
        <w:rPr>
          <w:rFonts w:ascii="Arial" w:cs="Arial" w:eastAsia="Arial" w:hAnsi="Arial"/>
          <w:color w:val="6B7280"/>
          <w:sz w:val="16"/>
          <w:szCs w:val="16"/>
        </w:rPr>
        <w:t xml:space="preserve">begriff · Synonyme: Eigenmarke; Handelsmarke; White Label; Own Brand; Hausmarke</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Produkte, die unter der Marke des Händlers gefertigt werden. Verpackungsrechtlich der Lehrbuchfall auseinanderfallender Rollen: Markeninhaber auf der Konformitätsschiene, Abfüller/Lieferant auf der EPR-Schiene – mit Sonderregel für Kleinstunternehmen.</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materialien: alle; lmk: typisch</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#08, #04, #06, A03, A20, A04, C04, erzeuger, hersteller, vertreiber</w:t>
      </w:r>
    </w:p>
    <w:p>
      <w:pPr>
        <w:keepNext/>
        <w:pBdr>
          <w:top w:val="single" w:color="24A27F" w:sz="4" w:space="4"/>
        </w:pBdr>
        <w:spacing w:after="40" w:before="260"/>
      </w:pPr>
      <w:r>
        <w:rPr>
          <w:rFonts w:ascii="Arial" w:cs="Arial" w:eastAsia="Arial" w:hAnsi="Arial"/>
          <w:b/>
          <w:bCs/>
          <w:color w:val="004494"/>
          <w:sz w:val="22"/>
          <w:szCs w:val="22"/>
        </w:rPr>
        <w:t xml:space="preserve">L49  </w:t>
      </w:r>
      <w:r>
        <w:rPr>
          <w:rFonts w:ascii="Arial" w:cs="Arial" w:eastAsia="Arial" w:hAnsi="Arial"/>
          <w:b/>
          <w:bCs/>
          <w:sz w:val="22"/>
          <w:szCs w:val="22"/>
        </w:rPr>
        <w:t xml:space="preserve">Bag-in-Box</w:t>
      </w:r>
    </w:p>
    <w:p>
      <w:pPr>
        <w:spacing w:after="60" w:before="0"/>
      </w:pPr>
      <w:r>
        <w:rPr>
          <w:rFonts w:ascii="Arial" w:cs="Arial" w:eastAsia="Arial" w:hAnsi="Arial"/>
          <w:color w:val="6B7280"/>
          <w:sz w:val="16"/>
          <w:szCs w:val="16"/>
        </w:rPr>
        <w:t xml:space="preserve">begriff · Synonyme: BiB; Weinschlauch im Karton; Saftbox; Schlauchbeutel-Karton; Zapfbox</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Verkaufsverpackung aus zwei trennbaren Bestandteilen: flexibler Innenbeutel (Kunststoff-/Alu-Verbund) mit Zapfhahn in einer Kartonumhüllung. Für die Einordnung entscheidend ist die Bestandteil-Logik der PPWR (separat vs. integriert) – der Beutel bleibt dabei selbst ein Verbund-Fall. Lebensmittelkontakt über den Innenbeutel.</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materialien: PPK (Umkarton), verbund (Innenbeutel); lmk: ja</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#11, #19, #32, erzeuger, hersteller</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 NEU: Einstufung Beutel/Karton als separate Bestandteile (statt Gesamt-Verbund) ist Auslegung → Eskalation Cattwyk</w:t>
      </w:r>
    </w:p>
    <w:p>
      <w:pPr>
        <w:keepNext/>
        <w:pBdr>
          <w:top w:val="single" w:color="24A27F" w:sz="4" w:space="4"/>
        </w:pBdr>
        <w:spacing w:after="40" w:before="260"/>
      </w:pPr>
      <w:r>
        <w:rPr>
          <w:rFonts w:ascii="Arial" w:cs="Arial" w:eastAsia="Arial" w:hAnsi="Arial"/>
          <w:b/>
          <w:bCs/>
          <w:color w:val="004494"/>
          <w:sz w:val="22"/>
          <w:szCs w:val="22"/>
        </w:rPr>
        <w:t xml:space="preserve">L50  </w:t>
      </w:r>
      <w:r>
        <w:rPr>
          <w:rFonts w:ascii="Arial" w:cs="Arial" w:eastAsia="Arial" w:hAnsi="Arial"/>
          <w:b/>
          <w:bCs/>
          <w:sz w:val="22"/>
          <w:szCs w:val="22"/>
        </w:rPr>
        <w:t xml:space="preserve">Mogelpackung</w:t>
      </w:r>
    </w:p>
    <w:p>
      <w:pPr>
        <w:spacing w:after="60" w:before="0"/>
      </w:pPr>
      <w:r>
        <w:rPr>
          <w:rFonts w:ascii="Arial" w:cs="Arial" w:eastAsia="Arial" w:hAnsi="Arial"/>
          <w:color w:val="6B7280"/>
          <w:sz w:val="16"/>
          <w:szCs w:val="16"/>
        </w:rPr>
        <w:t xml:space="preserve">begriff · Synonyme: Leerraum; Luftverpackung; Slack Fill; Scheinvolumen; übergroße Verpackung; doppelter Boden</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Alltagsbegriff für Verpackungen, die mehr Inhalt suggerieren, als drin ist – etwa durch doppelte Böden, Doppelwände oder viel Luft. Regulatorisch zwei Baustellen: die Verpackungsminimierung (mit ausdrücklichem Scheinvolumen-Verbot ab 2030) und die 50-%-Leerraumquote für Um-, Transport- und Versandverpackungen. Bis 2030 gilt national eine allgemeinere Minimierungsklausel.</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umverpackung, transport, ecommerce_versand; materialien: alle; lmk: –</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#17, #18, erzeuger</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 V7: Divergenz § 12 Abs. 3 VerpackDG vs. Art. 10 PPWR – Erklärlinie mit Cattwyk abstimmen</w:t>
      </w:r>
    </w:p>
    <w:p>
      <w:pPr>
        <w:keepNext/>
        <w:pBdr>
          <w:top w:val="single" w:color="24A27F" w:sz="4" w:space="4"/>
        </w:pBdr>
        <w:spacing w:after="40" w:before="260"/>
      </w:pPr>
      <w:r>
        <w:rPr>
          <w:rFonts w:ascii="Arial" w:cs="Arial" w:eastAsia="Arial" w:hAnsi="Arial"/>
          <w:b/>
          <w:bCs/>
          <w:color w:val="004494"/>
          <w:sz w:val="22"/>
          <w:szCs w:val="22"/>
        </w:rPr>
        <w:t xml:space="preserve">L51  </w:t>
      </w:r>
      <w:r>
        <w:rPr>
          <w:rFonts w:ascii="Arial" w:cs="Arial" w:eastAsia="Arial" w:hAnsi="Arial"/>
          <w:b/>
          <w:bCs/>
          <w:sz w:val="22"/>
          <w:szCs w:val="22"/>
        </w:rPr>
        <w:t xml:space="preserve">Serviceverpackung</w:t>
      </w:r>
    </w:p>
    <w:p>
      <w:pPr>
        <w:spacing w:after="60" w:before="0"/>
      </w:pPr>
      <w:r>
        <w:rPr>
          <w:rFonts w:ascii="Arial" w:cs="Arial" w:eastAsia="Arial" w:hAnsi="Arial"/>
          <w:color w:val="6B7280"/>
          <w:sz w:val="16"/>
          <w:szCs w:val="16"/>
        </w:rPr>
        <w:t xml:space="preserve">begriff · Synonyme: Thekenverpackung; To-go-Verpackung; Ausschankbecher; Tüte an der Verkaufsstelle; Bedientheken-Verpackung</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Verpackung, die erst an der Verkaufsstelle befüllt und an den Endkunden abgegeben wird – vom Brötchenbeutel bis zum Ausschankbecher. Besonderheit: Die Herstellerrolle setzt hier an der leeren Verpackung an, was kleine Befüller entlastet; dazu existiert eine eng zugeschnittene Übertragungsoption auf Vorvertreiber.</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service; materialien: alle; lmk: typisch</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#32, #08, A14, A15, endvertreiber, hersteller, lieferant</w:t>
      </w:r>
    </w:p>
    <w:p>
      <w:pPr>
        <w:spacing w:after="20" w:before="60"/>
      </w:pPr>
      <w:r>
        <w:rPr>
          <w:rFonts w:ascii="Arial" w:cs="Arial" w:eastAsia="Arial" w:hAnsi="Arial"/>
          <w:b/>
          <w:bCs/>
          <w:sz w:val="18"/>
          <w:szCs w:val="18"/>
        </w:rPr>
        <w:t xml:space="preserve">Interner Vermerk:</w:t>
      </w:r>
    </w:p>
    <w:p>
      <w:pPr>
        <w:spacing w:after="40" w:before="0"/>
      </w:pPr>
      <w:r>
        <w:rPr>
          <w:rFonts w:ascii="Arial" w:cs="Arial" w:eastAsia="Arial" w:hAnsi="Arial"/>
          <w:sz w:val="18"/>
          <w:szCs w:val="18"/>
        </w:rPr>
        <w:t xml:space="preserve">(!) U2/E01: Restanwendungsbereich der Übertragung nach § 7 Abs. 2 offen</w:t>
      </w:r>
    </w:p>
    <w:p>
      <w:pPr>
        <w:keepNext/>
        <w:pBdr>
          <w:top w:val="single" w:color="24A27F" w:sz="4" w:space="4"/>
        </w:pBdr>
        <w:spacing w:after="40" w:before="260"/>
      </w:pPr>
      <w:r>
        <w:rPr>
          <w:rFonts w:ascii="Arial" w:cs="Arial" w:eastAsia="Arial" w:hAnsi="Arial"/>
          <w:b/>
          <w:bCs/>
          <w:color w:val="004494"/>
          <w:sz w:val="22"/>
          <w:szCs w:val="22"/>
        </w:rPr>
        <w:t xml:space="preserve">L52  </w:t>
      </w:r>
      <w:r>
        <w:rPr>
          <w:rFonts w:ascii="Arial" w:cs="Arial" w:eastAsia="Arial" w:hAnsi="Arial"/>
          <w:b/>
          <w:bCs/>
          <w:sz w:val="22"/>
          <w:szCs w:val="22"/>
        </w:rPr>
        <w:t xml:space="preserve">Verkaufsverpackung</w:t>
      </w:r>
    </w:p>
    <w:p>
      <w:pPr>
        <w:spacing w:after="60" w:before="0"/>
      </w:pPr>
      <w:r>
        <w:rPr>
          <w:rFonts w:ascii="Arial" w:cs="Arial" w:eastAsia="Arial" w:hAnsi="Arial"/>
          <w:color w:val="6B7280"/>
          <w:sz w:val="16"/>
          <w:szCs w:val="16"/>
        </w:rPr>
        <w:t xml:space="preserve">begriff · Synonyme: Primärverpackung; Produktverpackung; Erstverpackung; Verkaufseinheit</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Die Verpackung, die dem Endabnehmer als Verkaufseinheit mit dem Produkt angeboten wird – die innerste Verpackungsebene. Im Produkt der wichtigste Verpackungstyp der Kombinatorik, weil hier Lebensmittelkontakt, Kennzeichnung und Systembeteiligung typischerweise zusammenlaufen.</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materialien: alle; lmk: typisch</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#32, #07, #17, erzeuger, hersteller, endvertreiber</w:t>
      </w:r>
    </w:p>
    <w:p>
      <w:pPr>
        <w:keepNext/>
        <w:pBdr>
          <w:top w:val="single" w:color="24A27F" w:sz="4" w:space="4"/>
        </w:pBdr>
        <w:spacing w:after="40" w:before="260"/>
      </w:pPr>
      <w:r>
        <w:rPr>
          <w:rFonts w:ascii="Arial" w:cs="Arial" w:eastAsia="Arial" w:hAnsi="Arial"/>
          <w:b/>
          <w:bCs/>
          <w:color w:val="004494"/>
          <w:sz w:val="22"/>
          <w:szCs w:val="22"/>
        </w:rPr>
        <w:t xml:space="preserve">L53  </w:t>
      </w:r>
      <w:r>
        <w:rPr>
          <w:rFonts w:ascii="Arial" w:cs="Arial" w:eastAsia="Arial" w:hAnsi="Arial"/>
          <w:b/>
          <w:bCs/>
          <w:sz w:val="22"/>
          <w:szCs w:val="22"/>
        </w:rPr>
        <w:t xml:space="preserve">Umverpackung</w:t>
      </w:r>
    </w:p>
    <w:p>
      <w:pPr>
        <w:spacing w:after="60" w:before="0"/>
      </w:pPr>
      <w:r>
        <w:rPr>
          <w:rFonts w:ascii="Arial" w:cs="Arial" w:eastAsia="Arial" w:hAnsi="Arial"/>
          <w:color w:val="6B7280"/>
          <w:sz w:val="16"/>
          <w:szCs w:val="16"/>
        </w:rPr>
        <w:t xml:space="preserve">begriff · Synonyme: Sekundärverpackung; Zweitverpackung; Bündelverpackung; Multipack-Folie; Sammelverpackung</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Verpackungsebene, die mehrere Verkaufseinheiten bündelt – vom Tray bis zur Multipack-Folie – und entfernt werden kann, ohne das Produkt zu beeinträchtigen. Eigenes Regulierungs-Feld bei Leerraum und Minimierung.</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umverpackung; materialien: alle; lmk: nein</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#18, #17, #32, hersteller, vertreiber</w:t>
      </w:r>
    </w:p>
    <w:p>
      <w:pPr>
        <w:keepNext/>
        <w:pBdr>
          <w:top w:val="single" w:color="24A27F" w:sz="4" w:space="4"/>
        </w:pBdr>
        <w:spacing w:after="40" w:before="260"/>
      </w:pPr>
      <w:r>
        <w:rPr>
          <w:rFonts w:ascii="Arial" w:cs="Arial" w:eastAsia="Arial" w:hAnsi="Arial"/>
          <w:b/>
          <w:bCs/>
          <w:color w:val="004494"/>
          <w:sz w:val="22"/>
          <w:szCs w:val="22"/>
        </w:rPr>
        <w:t xml:space="preserve">L54  </w:t>
      </w:r>
      <w:r>
        <w:rPr>
          <w:rFonts w:ascii="Arial" w:cs="Arial" w:eastAsia="Arial" w:hAnsi="Arial"/>
          <w:b/>
          <w:bCs/>
          <w:sz w:val="22"/>
          <w:szCs w:val="22"/>
        </w:rPr>
        <w:t xml:space="preserve">Transportverpackung</w:t>
      </w:r>
    </w:p>
    <w:p>
      <w:pPr>
        <w:spacing w:after="60" w:before="0"/>
      </w:pPr>
      <w:r>
        <w:rPr>
          <w:rFonts w:ascii="Arial" w:cs="Arial" w:eastAsia="Arial" w:hAnsi="Arial"/>
          <w:color w:val="6B7280"/>
          <w:sz w:val="16"/>
          <w:szCs w:val="16"/>
        </w:rPr>
        <w:t xml:space="preserve">begriff · Synonyme: Tertiärverpackung; Drittverpackung; Logistikverpackung; Ladungssicherungs-Verpackung</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Verpackungsebene für Handhabung und Transport zwischen Wirtschaftsakteuren – Paletten, Kisten, Fässer, Wickelfolien und Co. Hauptschauplatz der kommenden Mehrwegquoten und der B2B-Rücknahmelogik; vom künftigen EU-Sortierlabel ausgenommen (E-Commerce-Versand dagegen nicht).</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transport; materialien: alle; lmk: nein</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#27, #34, #19, B12, hersteller, vertreiber</w:t>
      </w:r>
    </w:p>
    <w:p>
      <w:pPr>
        <w:keepNext/>
        <w:pBdr>
          <w:top w:val="single" w:color="24A27F" w:sz="4" w:space="4"/>
        </w:pBdr>
        <w:spacing w:after="40" w:before="260"/>
      </w:pPr>
      <w:r>
        <w:rPr>
          <w:rFonts w:ascii="Arial" w:cs="Arial" w:eastAsia="Arial" w:hAnsi="Arial"/>
          <w:b/>
          <w:bCs/>
          <w:color w:val="004494"/>
          <w:sz w:val="22"/>
          <w:szCs w:val="22"/>
        </w:rPr>
        <w:t xml:space="preserve">L55  </w:t>
      </w:r>
      <w:r>
        <w:rPr>
          <w:rFonts w:ascii="Arial" w:cs="Arial" w:eastAsia="Arial" w:hAnsi="Arial"/>
          <w:b/>
          <w:bCs/>
          <w:sz w:val="22"/>
          <w:szCs w:val="22"/>
        </w:rPr>
        <w:t xml:space="preserve">Mehrwegverpackung</w:t>
      </w:r>
    </w:p>
    <w:p>
      <w:pPr>
        <w:spacing w:after="60" w:before="0"/>
      </w:pPr>
      <w:r>
        <w:rPr>
          <w:rFonts w:ascii="Arial" w:cs="Arial" w:eastAsia="Arial" w:hAnsi="Arial"/>
          <w:color w:val="6B7280"/>
          <w:sz w:val="16"/>
          <w:szCs w:val="16"/>
        </w:rPr>
        <w:t xml:space="preserve">begriff · Synonyme: Mehrweg; wiederverwendbare Verpackung; Reusable; Mehrweggebinde</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Verpackung, die für mehrere Umläufe konzipiert ist und in einem Wiederverwendungssystem tatsächlich rotiert – erst beides zusammen macht den Mehrweg-Status aus, robuste Bauweise allein genügt nicht. Stichtags-Logik: Was seit dem 11.02.2025 neu in Verkehr kommt, wird an den neuen Kriterien gemessen.</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mehrweg (alle Ebenen); materialien: alle; lmk: teils</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#03, #30, #20, C06, C07, B11, hersteller, endvertreiber</w:t>
      </w:r>
    </w:p>
    <w:p>
      <w:pPr>
        <w:keepNext/>
        <w:pBdr>
          <w:top w:val="single" w:color="24A27F" w:sz="4" w:space="4"/>
        </w:pBdr>
        <w:spacing w:after="40" w:before="260"/>
      </w:pPr>
      <w:r>
        <w:rPr>
          <w:rFonts w:ascii="Arial" w:cs="Arial" w:eastAsia="Arial" w:hAnsi="Arial"/>
          <w:b/>
          <w:bCs/>
          <w:color w:val="004494"/>
          <w:sz w:val="22"/>
          <w:szCs w:val="22"/>
        </w:rPr>
        <w:t xml:space="preserve">L56  </w:t>
      </w:r>
      <w:r>
        <w:rPr>
          <w:rFonts w:ascii="Arial" w:cs="Arial" w:eastAsia="Arial" w:hAnsi="Arial"/>
          <w:b/>
          <w:bCs/>
          <w:sz w:val="22"/>
          <w:szCs w:val="22"/>
        </w:rPr>
        <w:t xml:space="preserve">Einwegverpackung</w:t>
      </w:r>
    </w:p>
    <w:p>
      <w:pPr>
        <w:spacing w:after="60" w:before="0"/>
      </w:pPr>
      <w:r>
        <w:rPr>
          <w:rFonts w:ascii="Arial" w:cs="Arial" w:eastAsia="Arial" w:hAnsi="Arial"/>
          <w:color w:val="6B7280"/>
          <w:sz w:val="16"/>
          <w:szCs w:val="16"/>
        </w:rPr>
        <w:t xml:space="preserve">begriff · Synonyme: Einweg; Wegwerfverpackung; Single Use; Einmalverpackung</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Jede Verpackung, die keine Mehrwegverpackung ist – die Auffangkategorie mit den Massenpflichten von Systembeteiligung bis Pfand. Eine Falsch-Einstufung als Mehrweg kippt automatisch in die Einweg-Folgen zurück.</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alle (Einweg); materialien: alle; lmk: teils</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#36, #32, #29, C06, hersteller, endvertreiber</w:t>
      </w:r>
    </w:p>
    <w:p>
      <w:pPr>
        <w:keepNext/>
        <w:pBdr>
          <w:top w:val="single" w:color="24A27F" w:sz="4" w:space="4"/>
        </w:pBdr>
        <w:spacing w:after="40" w:before="260"/>
      </w:pPr>
      <w:r>
        <w:rPr>
          <w:rFonts w:ascii="Arial" w:cs="Arial" w:eastAsia="Arial" w:hAnsi="Arial"/>
          <w:b/>
          <w:bCs/>
          <w:color w:val="004494"/>
          <w:sz w:val="22"/>
          <w:szCs w:val="22"/>
        </w:rPr>
        <w:t xml:space="preserve">L57  </w:t>
      </w:r>
      <w:r>
        <w:rPr>
          <w:rFonts w:ascii="Arial" w:cs="Arial" w:eastAsia="Arial" w:hAnsi="Arial"/>
          <w:b/>
          <w:bCs/>
          <w:sz w:val="22"/>
          <w:szCs w:val="22"/>
        </w:rPr>
        <w:t xml:space="preserve">Systembeteiligung</w:t>
      </w:r>
    </w:p>
    <w:p>
      <w:pPr>
        <w:spacing w:after="60" w:before="0"/>
      </w:pPr>
      <w:r>
        <w:rPr>
          <w:rFonts w:ascii="Arial" w:cs="Arial" w:eastAsia="Arial" w:hAnsi="Arial"/>
          <w:color w:val="6B7280"/>
          <w:sz w:val="16"/>
          <w:szCs w:val="16"/>
        </w:rPr>
        <w:t xml:space="preserve">begriff · Synonyme: Lizenzierung; Verpackungslizenz; duale Systeme; Beteiligungsentgelt; Grüner-Punkt-Lizenz (umgangssprachlich)</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Finanzierungsbeteiligung des Herstellers an einem dualen System für Verpackungen, die typischerweise beim privaten Endverbraucher anfallen. Die Entgelte werden ökologisch moduliert – Recyclingfähigkeit wird damit zum direkten Kostenfaktor. Alt-Verträge laufen nur befristet weiter.</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umverpackung, service u. a.; materialien: alle; lmk: –</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#32, #35, B03, B15, A14, hersteller</w:t>
      </w:r>
    </w:p>
    <w:p>
      <w:pPr>
        <w:keepNext/>
        <w:pBdr>
          <w:top w:val="single" w:color="24A27F" w:sz="4" w:space="4"/>
        </w:pBdr>
        <w:spacing w:after="40" w:before="260"/>
      </w:pPr>
      <w:r>
        <w:rPr>
          <w:rFonts w:ascii="Arial" w:cs="Arial" w:eastAsia="Arial" w:hAnsi="Arial"/>
          <w:b/>
          <w:bCs/>
          <w:color w:val="004494"/>
          <w:sz w:val="22"/>
          <w:szCs w:val="22"/>
        </w:rPr>
        <w:t xml:space="preserve">L58  </w:t>
      </w:r>
      <w:r>
        <w:rPr>
          <w:rFonts w:ascii="Arial" w:cs="Arial" w:eastAsia="Arial" w:hAnsi="Arial"/>
          <w:b/>
          <w:bCs/>
          <w:sz w:val="22"/>
          <w:szCs w:val="22"/>
        </w:rPr>
        <w:t xml:space="preserve">Registrierung (LUCID)</w:t>
      </w:r>
    </w:p>
    <w:p>
      <w:pPr>
        <w:spacing w:after="60" w:before="0"/>
      </w:pPr>
      <w:r>
        <w:rPr>
          <w:rFonts w:ascii="Arial" w:cs="Arial" w:eastAsia="Arial" w:hAnsi="Arial"/>
          <w:color w:val="6B7280"/>
          <w:sz w:val="16"/>
          <w:szCs w:val="16"/>
        </w:rPr>
        <w:t xml:space="preserve">begriff · Synonyme: LUCID; Herstellerregister; ZSVR-Registrierung; Verpackungsregister; Registrierungsnummer</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Der öffentliche Registereintrag des Herstellers bei der Zentralen Stelle Verpackungsregister – für alle Verpackungsarten, nicht nur lizenzpflichtige. Praktisch die Eintrittskarte in den Markt: Händler und Fulfillment-Dienstleister prüfen den Registerstatus vor Listung bzw. Tätigkeit.</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alle; materialien: alle; lmk: –</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#31, #38, #39, B01, B02, A21, B14, hersteller, vertreiber, fulfillment_dienstleister, bevollmaechtigter_ehv</w:t>
      </w:r>
    </w:p>
    <w:p>
      <w:pPr>
        <w:keepNext/>
        <w:pBdr>
          <w:top w:val="single" w:color="24A27F" w:sz="4" w:space="4"/>
        </w:pBdr>
        <w:spacing w:after="40" w:before="260"/>
      </w:pPr>
      <w:r>
        <w:rPr>
          <w:rFonts w:ascii="Arial" w:cs="Arial" w:eastAsia="Arial" w:hAnsi="Arial"/>
          <w:b/>
          <w:bCs/>
          <w:color w:val="004494"/>
          <w:sz w:val="22"/>
          <w:szCs w:val="22"/>
        </w:rPr>
        <w:t xml:space="preserve">L59  </w:t>
      </w:r>
      <w:r>
        <w:rPr>
          <w:rFonts w:ascii="Arial" w:cs="Arial" w:eastAsia="Arial" w:hAnsi="Arial"/>
          <w:b/>
          <w:bCs/>
          <w:sz w:val="22"/>
          <w:szCs w:val="22"/>
        </w:rPr>
        <w:t xml:space="preserve">Inverkehrbringen / Bereitstellung</w:t>
      </w:r>
    </w:p>
    <w:p>
      <w:pPr>
        <w:spacing w:after="60" w:before="0"/>
      </w:pPr>
      <w:r>
        <w:rPr>
          <w:rFonts w:ascii="Arial" w:cs="Arial" w:eastAsia="Arial" w:hAnsi="Arial"/>
          <w:color w:val="6B7280"/>
          <w:sz w:val="16"/>
          <w:szCs w:val="16"/>
        </w:rPr>
        <w:t xml:space="preserve">begriff · Synonyme: erstmalige Bereitstellung; Markteinführung; Placing on the Market; erstmals in Verkehr bringen</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Das Scharnier des ganzen Systems: „Bereitstellung“ ist jede Abgabe zum Vertrieb oder Verbrauch, „Inverkehrbringen“ die erste davon. An diesem Zeitpunkt hängen Stichtage und Bestandsschutz – unverkaufte Lagerware ist noch nicht in Verkehr gebracht. Die Herstellerrolle entsteht je Mitgliedstaat mit der dortigen Erstbereitstellung.</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alle; materialien: alle; lmk: –</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#10, #08, C01, A16, erzeuger, hersteller, importeur</w:t>
      </w:r>
    </w:p>
    <w:p>
      <w:pPr>
        <w:keepNext/>
        <w:pBdr>
          <w:top w:val="single" w:color="24A27F" w:sz="4" w:space="4"/>
        </w:pBdr>
        <w:spacing w:after="40" w:before="260"/>
      </w:pPr>
      <w:r>
        <w:rPr>
          <w:rFonts w:ascii="Arial" w:cs="Arial" w:eastAsia="Arial" w:hAnsi="Arial"/>
          <w:b/>
          <w:bCs/>
          <w:color w:val="004494"/>
          <w:sz w:val="22"/>
          <w:szCs w:val="22"/>
        </w:rPr>
        <w:t xml:space="preserve">L60  </w:t>
      </w:r>
      <w:r>
        <w:rPr>
          <w:rFonts w:ascii="Arial" w:cs="Arial" w:eastAsia="Arial" w:hAnsi="Arial"/>
          <w:b/>
          <w:bCs/>
          <w:sz w:val="22"/>
          <w:szCs w:val="22"/>
        </w:rPr>
        <w:t xml:space="preserve">Lebensmittelkontakt-Verpackung</w:t>
      </w:r>
    </w:p>
    <w:p>
      <w:pPr>
        <w:spacing w:after="60" w:before="0"/>
      </w:pPr>
      <w:r>
        <w:rPr>
          <w:rFonts w:ascii="Arial" w:cs="Arial" w:eastAsia="Arial" w:hAnsi="Arial"/>
          <w:color w:val="6B7280"/>
          <w:sz w:val="16"/>
          <w:szCs w:val="16"/>
        </w:rPr>
        <w:t xml:space="preserve">begriff · Synonyme: LMK-Verpackung; Food-Contact-Verpackung; Lebensmittelverpackung; kontaktempfindliche Verpackung</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Verpackung, die bestimmungsgemäß mit Lebensmitteln in Berührung kommt – im Produkt das Filterkriterium für die schärfsten Stoffregeln, allen voran PFAS. „Kontaktempfindlich“ ist der weitere PPWR-Begriff, der darüber hinaus u. a. Futtermittel, Kosmetik und Medizinprodukte einschließt.</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verkauf, service; materialien: alle; lmk: ja</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#02, #14, C01, C02, erzeuger, importeur</w:t>
      </w:r>
    </w:p>
    <w:p>
      <w:pPr>
        <w:keepNext/>
        <w:pBdr>
          <w:top w:val="single" w:color="24A27F" w:sz="4" w:space="4"/>
        </w:pBdr>
        <w:spacing w:after="40" w:before="260"/>
      </w:pPr>
      <w:r>
        <w:rPr>
          <w:rFonts w:ascii="Arial" w:cs="Arial" w:eastAsia="Arial" w:hAnsi="Arial"/>
          <w:b/>
          <w:bCs/>
          <w:color w:val="004494"/>
          <w:sz w:val="22"/>
          <w:szCs w:val="22"/>
        </w:rPr>
        <w:t xml:space="preserve">L61  </w:t>
      </w:r>
      <w:r>
        <w:rPr>
          <w:rFonts w:ascii="Arial" w:cs="Arial" w:eastAsia="Arial" w:hAnsi="Arial"/>
          <w:b/>
          <w:bCs/>
          <w:sz w:val="22"/>
          <w:szCs w:val="22"/>
        </w:rPr>
        <w:t xml:space="preserve">E-Commerce-Verpackung</w:t>
      </w:r>
    </w:p>
    <w:p>
      <w:pPr>
        <w:spacing w:after="60" w:before="0"/>
      </w:pPr>
      <w:r>
        <w:rPr>
          <w:rFonts w:ascii="Arial" w:cs="Arial" w:eastAsia="Arial" w:hAnsi="Arial"/>
          <w:color w:val="6B7280"/>
          <w:sz w:val="16"/>
          <w:szCs w:val="16"/>
        </w:rPr>
        <w:t xml:space="preserve">begriff · Synonyme: Versandverpackung; Verpackung für den elektronischen Handel; Onlinehandel-Verpackung</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Verpackung, die im Fernabsatz für den Versand an den Endabnehmer verwendet wird – typischerweise der Versandkarton samt Füll- und Polstermaterial (Art. 3 Abs. 1 Nr. 8 PPWR). Eigene Kategorie neben Verkaufs-, Um- und Transportverpackung, u. a. relevant für die Leerraumquote.</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e_commerce</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#18, A12, hersteller, endvertreiber</w:t>
      </w:r>
    </w:p>
    <w:p>
      <w:pPr>
        <w:keepNext/>
        <w:pBdr>
          <w:top w:val="single" w:color="24A27F" w:sz="4" w:space="4"/>
        </w:pBdr>
        <w:spacing w:after="40" w:before="260"/>
      </w:pPr>
      <w:r>
        <w:rPr>
          <w:rFonts w:ascii="Arial" w:cs="Arial" w:eastAsia="Arial" w:hAnsi="Arial"/>
          <w:b/>
          <w:bCs/>
          <w:color w:val="004494"/>
          <w:sz w:val="22"/>
          <w:szCs w:val="22"/>
        </w:rPr>
        <w:t xml:space="preserve">L62  </w:t>
      </w:r>
      <w:r>
        <w:rPr>
          <w:rFonts w:ascii="Arial" w:cs="Arial" w:eastAsia="Arial" w:hAnsi="Arial"/>
          <w:b/>
          <w:bCs/>
          <w:sz w:val="22"/>
          <w:szCs w:val="22"/>
        </w:rPr>
        <w:t xml:space="preserve">Primärproduktionsverpackung</w:t>
      </w:r>
    </w:p>
    <w:p>
      <w:pPr>
        <w:spacing w:after="60" w:before="0"/>
      </w:pPr>
      <w:r>
        <w:rPr>
          <w:rFonts w:ascii="Arial" w:cs="Arial" w:eastAsia="Arial" w:hAnsi="Arial"/>
          <w:color w:val="6B7280"/>
          <w:sz w:val="16"/>
          <w:szCs w:val="16"/>
        </w:rPr>
        <w:t xml:space="preserve">begriff · Synonyme: Landwirtschaftliche Verpackung; Erzeugnis-Verpackung Primärproduktion</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Verpackung für Erzeugnisse der Primärproduktion (Landwirtschaft, Fischerei), die bei der ersten Bereitstellung verwendet wird – etwa Steigen und Kisten ab Hof (Art. 3 Abs. 1 Nr. 4 PPWR). Für die Erzeuger-Zuordnung gelten hier eigene Regeln.</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verpackungstyp: primaerproduktion</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erzeuger, lieferant</w:t>
      </w:r>
    </w:p>
    <w:p>
      <w:pPr>
        <w:keepNext/>
        <w:pBdr>
          <w:top w:val="single" w:color="24A27F" w:sz="4" w:space="4"/>
        </w:pBdr>
        <w:spacing w:after="40" w:before="260"/>
      </w:pPr>
      <w:r>
        <w:rPr>
          <w:rFonts w:ascii="Arial" w:cs="Arial" w:eastAsia="Arial" w:hAnsi="Arial"/>
          <w:b/>
          <w:bCs/>
          <w:color w:val="004494"/>
          <w:sz w:val="22"/>
          <w:szCs w:val="22"/>
        </w:rPr>
        <w:t xml:space="preserve">L63  </w:t>
      </w:r>
      <w:r>
        <w:rPr>
          <w:rFonts w:ascii="Arial" w:cs="Arial" w:eastAsia="Arial" w:hAnsi="Arial"/>
          <w:b/>
          <w:bCs/>
          <w:sz w:val="22"/>
          <w:szCs w:val="22"/>
        </w:rPr>
        <w:t xml:space="preserve">Physische Verpackungsherstellung</w:t>
      </w:r>
    </w:p>
    <w:p>
      <w:pPr>
        <w:spacing w:after="60" w:before="0"/>
      </w:pPr>
      <w:r>
        <w:rPr>
          <w:rFonts w:ascii="Arial" w:cs="Arial" w:eastAsia="Arial" w:hAnsi="Arial"/>
          <w:color w:val="6B7280"/>
          <w:sz w:val="16"/>
          <w:szCs w:val="16"/>
        </w:rPr>
        <w:t xml:space="preserve">begriff · Synonyme: stellt Verpackungen her; Verpackungsproduktion; Converter</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Die eigentliche Fertigung leerer Verpackungen oder Packmittel – Kartonagen, Folien, Gläser, Dosen. Wer nur physisch fertigt, ist nicht automatisch „Erzeuger" im PPWR-Sinn: Bei Markenware entscheidet die Marken-Konstellation (siehe Rollen-Klärung).</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taetigkeit: stellt_her</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A01, A23, erzeuger, lieferant</w:t>
      </w:r>
    </w:p>
    <w:p>
      <w:pPr>
        <w:keepNext/>
        <w:pBdr>
          <w:top w:val="single" w:color="24A27F" w:sz="4" w:space="4"/>
        </w:pBdr>
        <w:spacing w:after="40" w:before="260"/>
      </w:pPr>
      <w:r>
        <w:rPr>
          <w:rFonts w:ascii="Arial" w:cs="Arial" w:eastAsia="Arial" w:hAnsi="Arial"/>
          <w:b/>
          <w:bCs/>
          <w:color w:val="004494"/>
          <w:sz w:val="22"/>
          <w:szCs w:val="22"/>
        </w:rPr>
        <w:t xml:space="preserve">L64  </w:t>
      </w:r>
      <w:r>
        <w:rPr>
          <w:rFonts w:ascii="Arial" w:cs="Arial" w:eastAsia="Arial" w:hAnsi="Arial"/>
          <w:b/>
          <w:bCs/>
          <w:sz w:val="22"/>
          <w:szCs w:val="22"/>
        </w:rPr>
        <w:t xml:space="preserve">Befüllen / Versiegeln</w:t>
      </w:r>
    </w:p>
    <w:p>
      <w:pPr>
        <w:spacing w:after="60" w:before="0"/>
      </w:pPr>
      <w:r>
        <w:rPr>
          <w:rFonts w:ascii="Arial" w:cs="Arial" w:eastAsia="Arial" w:hAnsi="Arial"/>
          <w:color w:val="6B7280"/>
          <w:sz w:val="16"/>
          <w:szCs w:val="16"/>
        </w:rPr>
        <w:t xml:space="preserve">begriff · Synonyme: Abfüllen; Abfüller; befüllt Verpackungen; Konfektionierung</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Tätigkeit, bei der Ware in die Verpackung gelangt und diese verschlossen wird – vom Lebensmittel-Abfüllen bis zum Konfektionieren. Für Verkaufsverpackungen ein zentraler Anknüpfungspunkt der Rollenbestimmung; die genaue Zuordnung leitet der Wizard her.</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taetigkeit: befuellt</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A01, A22, erzeuger</w:t>
      </w:r>
    </w:p>
    <w:p>
      <w:pPr>
        <w:keepNext/>
        <w:pBdr>
          <w:top w:val="single" w:color="24A27F" w:sz="4" w:space="4"/>
        </w:pBdr>
        <w:spacing w:after="40" w:before="260"/>
      </w:pPr>
      <w:r>
        <w:rPr>
          <w:rFonts w:ascii="Arial" w:cs="Arial" w:eastAsia="Arial" w:hAnsi="Arial"/>
          <w:b/>
          <w:bCs/>
          <w:color w:val="004494"/>
          <w:sz w:val="22"/>
          <w:szCs w:val="22"/>
        </w:rPr>
        <w:t xml:space="preserve">L65  </w:t>
      </w:r>
      <w:r>
        <w:rPr>
          <w:rFonts w:ascii="Arial" w:cs="Arial" w:eastAsia="Arial" w:hAnsi="Arial"/>
          <w:b/>
          <w:bCs/>
          <w:sz w:val="22"/>
          <w:szCs w:val="22"/>
        </w:rPr>
        <w:t xml:space="preserve">Gewerbliches Auspacken</w:t>
      </w:r>
    </w:p>
    <w:p>
      <w:pPr>
        <w:spacing w:after="60" w:before="0"/>
      </w:pPr>
      <w:r>
        <w:rPr>
          <w:rFonts w:ascii="Arial" w:cs="Arial" w:eastAsia="Arial" w:hAnsi="Arial"/>
          <w:color w:val="6B7280"/>
          <w:sz w:val="16"/>
          <w:szCs w:val="16"/>
        </w:rPr>
        <w:t xml:space="preserve">begriff · Synonyme: packt aus; Auspacker; Entpacken angelieferter Ware</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Das gewerbsmäßige Entfernen von Um- oder Transportverpackungen angelieferter Ware, z. B. beim Kommissionieren im Lager. Kann seit dem VerpackDG eigene Pflichten auslösen – ein häufig übersehener Fall.</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taetigkeit: packt_aus</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A07, A08, hersteller</w:t>
      </w:r>
    </w:p>
    <w:p>
      <w:pPr>
        <w:keepNext/>
        <w:pBdr>
          <w:top w:val="single" w:color="24A27F" w:sz="4" w:space="4"/>
        </w:pBdr>
        <w:spacing w:after="40" w:before="260"/>
      </w:pPr>
      <w:r>
        <w:rPr>
          <w:rFonts w:ascii="Arial" w:cs="Arial" w:eastAsia="Arial" w:hAnsi="Arial"/>
          <w:b/>
          <w:bCs/>
          <w:color w:val="004494"/>
          <w:sz w:val="22"/>
          <w:szCs w:val="22"/>
        </w:rPr>
        <w:t xml:space="preserve">L66  </w:t>
      </w:r>
      <w:r>
        <w:rPr>
          <w:rFonts w:ascii="Arial" w:cs="Arial" w:eastAsia="Arial" w:hAnsi="Arial"/>
          <w:b/>
          <w:bCs/>
          <w:sz w:val="22"/>
          <w:szCs w:val="22"/>
        </w:rPr>
        <w:t xml:space="preserve">Eigenmarke</w:t>
      </w:r>
    </w:p>
    <w:p>
      <w:pPr>
        <w:spacing w:after="60" w:before="0"/>
      </w:pPr>
      <w:r>
        <w:rPr>
          <w:rFonts w:ascii="Arial" w:cs="Arial" w:eastAsia="Arial" w:hAnsi="Arial"/>
          <w:color w:val="6B7280"/>
          <w:sz w:val="16"/>
          <w:szCs w:val="16"/>
        </w:rPr>
        <w:t xml:space="preserve">begriff · Synonyme: eigene Marke; Own Brand; Handelsmarke (eigene)</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Das Produkt bzw. die Verpackung trägt Namen oder Marke des eigenen Unternehmens. Die Marken-Konstellation ist ein Schlüsselkriterium der Erzeuger-Zuordnung – wer unter eigener Marke in Verkehr bringt, rückt in die Konformitätsverantwortung.</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marke: eigene</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A20, A15, erzeuger</w:t>
      </w:r>
    </w:p>
    <w:p>
      <w:pPr>
        <w:keepNext/>
        <w:pBdr>
          <w:top w:val="single" w:color="24A27F" w:sz="4" w:space="4"/>
        </w:pBdr>
        <w:spacing w:after="40" w:before="260"/>
      </w:pPr>
      <w:r>
        <w:rPr>
          <w:rFonts w:ascii="Arial" w:cs="Arial" w:eastAsia="Arial" w:hAnsi="Arial"/>
          <w:b/>
          <w:bCs/>
          <w:color w:val="004494"/>
          <w:sz w:val="22"/>
          <w:szCs w:val="22"/>
        </w:rPr>
        <w:t xml:space="preserve">L67  </w:t>
      </w:r>
      <w:r>
        <w:rPr>
          <w:rFonts w:ascii="Arial" w:cs="Arial" w:eastAsia="Arial" w:hAnsi="Arial"/>
          <w:b/>
          <w:bCs/>
          <w:sz w:val="22"/>
          <w:szCs w:val="22"/>
        </w:rPr>
        <w:t xml:space="preserve">Ware ohne Marke</w:t>
      </w:r>
    </w:p>
    <w:p>
      <w:pPr>
        <w:spacing w:after="60" w:before="0"/>
      </w:pPr>
      <w:r>
        <w:rPr>
          <w:rFonts w:ascii="Arial" w:cs="Arial" w:eastAsia="Arial" w:hAnsi="Arial"/>
          <w:color w:val="6B7280"/>
          <w:sz w:val="16"/>
          <w:szCs w:val="16"/>
        </w:rPr>
        <w:t xml:space="preserve">begriff · Synonyme: keine Marke; unbrandet; neutrale Verpackung</w:t>
      </w:r>
    </w:p>
    <w:p>
      <w:pPr>
        <w:spacing w:after="20" w:before="60"/>
      </w:pPr>
      <w:r>
        <w:rPr>
          <w:rFonts w:ascii="Arial" w:cs="Arial" w:eastAsia="Arial" w:hAnsi="Arial"/>
          <w:b/>
          <w:bCs/>
          <w:sz w:val="18"/>
          <w:szCs w:val="18"/>
        </w:rPr>
        <w:t xml:space="preserve">Kurzerklärung:</w:t>
      </w:r>
    </w:p>
    <w:p>
      <w:pPr>
        <w:spacing w:after="40" w:before="0"/>
      </w:pPr>
      <w:r>
        <w:rPr>
          <w:rFonts w:ascii="Arial" w:cs="Arial" w:eastAsia="Arial" w:hAnsi="Arial"/>
          <w:sz w:val="18"/>
          <w:szCs w:val="18"/>
        </w:rPr>
        <w:t xml:space="preserve">Weder Produkt noch Verpackung tragen eine Marke. Die Rollen richten sich dann nach der physischen Herstellung bzw. der Auftrags-Konstellation (wer bestellt und spezifiziert) – relevant vor allem bei Transport- und Serviceverpackungen.</w:t>
      </w:r>
    </w:p>
    <w:p>
      <w:pPr>
        <w:spacing w:after="20" w:before="60"/>
      </w:pPr>
      <w:r>
        <w:rPr>
          <w:rFonts w:ascii="Arial" w:cs="Arial" w:eastAsia="Arial" w:hAnsi="Arial"/>
          <w:b/>
          <w:bCs/>
          <w:sz w:val="18"/>
          <w:szCs w:val="18"/>
        </w:rPr>
        <w:t xml:space="preserve">Merkmale:</w:t>
      </w:r>
    </w:p>
    <w:p>
      <w:pPr>
        <w:spacing w:after="40" w:before="0"/>
      </w:pPr>
      <w:r>
        <w:rPr>
          <w:rFonts w:ascii="Arial" w:cs="Arial" w:eastAsia="Arial" w:hAnsi="Arial"/>
          <w:sz w:val="18"/>
          <w:szCs w:val="18"/>
        </w:rPr>
        <w:t xml:space="preserve">marke: keine</w:t>
      </w:r>
    </w:p>
    <w:p>
      <w:pPr>
        <w:spacing w:after="20" w:before="60"/>
      </w:pPr>
      <w:r>
        <w:rPr>
          <w:rFonts w:ascii="Arial" w:cs="Arial" w:eastAsia="Arial" w:hAnsi="Arial"/>
          <w:b/>
          <w:bCs/>
          <w:sz w:val="18"/>
          <w:szCs w:val="18"/>
        </w:rPr>
        <w:t xml:space="preserve">Verweise:</w:t>
      </w:r>
    </w:p>
    <w:p>
      <w:pPr>
        <w:spacing w:after="40" w:before="0"/>
      </w:pPr>
      <w:r>
        <w:rPr>
          <w:rFonts w:ascii="Arial" w:cs="Arial" w:eastAsia="Arial" w:hAnsi="Arial"/>
          <w:sz w:val="18"/>
          <w:szCs w:val="18"/>
        </w:rPr>
        <w:t xml:space="preserve">A23, erzeuger, lieferant</w:t>
      </w:r>
    </w:p>
    <w:p>
      <w:pPr>
        <w:pStyle w:val="Heading1"/>
        <w:pageBreakBefore/>
        <w:spacing w:after="160" w:before="0"/>
      </w:pPr>
      <w:r>
        <w:rPr>
          <w:rFonts w:ascii="Arial" w:cs="Arial" w:eastAsia="Arial" w:hAnsi="Arial"/>
          <w:b/>
          <w:bCs/>
          <w:color w:val="004494"/>
          <w:sz w:val="30"/>
          <w:szCs w:val="30"/>
        </w:rPr>
        <w:t xml:space="preserve">7. Onboarding-Fragebogen (13)</w:t>
      </w:r>
    </w:p>
    <w:p>
      <w:pPr>
        <w:keepNext/>
        <w:pBdr>
          <w:top w:val="single" w:color="24A27F" w:sz="4" w:space="4"/>
        </w:pBdr>
        <w:spacing w:after="40" w:before="260"/>
      </w:pPr>
      <w:r>
        <w:rPr>
          <w:rFonts w:ascii="Arial" w:cs="Arial" w:eastAsia="Arial" w:hAnsi="Arial"/>
          <w:b/>
          <w:bCs/>
          <w:color w:val="004494"/>
          <w:sz w:val="22"/>
          <w:szCs w:val="22"/>
        </w:rPr>
        <w:t xml:space="preserve">F01  </w:t>
      </w:r>
      <w:r>
        <w:rPr>
          <w:rFonts w:ascii="Arial" w:cs="Arial" w:eastAsia="Arial" w:hAnsi="Arial"/>
          <w:b/>
          <w:bCs/>
          <w:sz w:val="22"/>
          <w:szCs w:val="22"/>
        </w:rPr>
        <w:t xml:space="preserve">Wo hat Ihr Unternehmen seinen Sitz?</w:t>
      </w:r>
    </w:p>
    <w:p>
      <w:pPr>
        <w:spacing w:after="60" w:before="0"/>
      </w:pPr>
      <w:r>
        <w:rPr>
          <w:rFonts w:ascii="Arial" w:cs="Arial" w:eastAsia="Arial" w:hAnsi="Arial"/>
          <w:color w:val="6B7280"/>
          <w:sz w:val="16"/>
          <w:szCs w:val="16"/>
        </w:rPr>
        <w:t xml:space="preserve">Ebene unternehmen · single_select · Variable sitz · Anzeige: immer · speist Regeln: B1,B2,B3,C1,C6</w:t>
      </w:r>
    </w:p>
    <w:p>
      <w:pPr>
        <w:spacing w:after="20" w:before="60"/>
      </w:pPr>
      <w:r>
        <w:rPr>
          <w:rFonts w:ascii="Arial" w:cs="Arial" w:eastAsia="Arial" w:hAnsi="Arial"/>
          <w:b/>
          <w:bCs/>
          <w:sz w:val="18"/>
          <w:szCs w:val="18"/>
        </w:rPr>
        <w:t xml:space="preserve">Antwortoptionen:</w:t>
      </w:r>
    </w:p>
    <w:p>
      <w:pPr>
        <w:spacing w:after="40" w:before="0"/>
      </w:pPr>
      <w:r>
        <w:rPr>
          <w:rFonts w:ascii="Arial" w:cs="Arial" w:eastAsia="Arial" w:hAnsi="Arial"/>
          <w:sz w:val="18"/>
          <w:szCs w:val="18"/>
        </w:rPr>
        <w:t xml:space="preserve">Deutschland</w:t>
      </w:r>
    </w:p>
    <w:p>
      <w:pPr>
        <w:spacing w:after="40" w:before="0"/>
      </w:pPr>
      <w:r>
        <w:rPr>
          <w:rFonts w:ascii="Arial" w:cs="Arial" w:eastAsia="Arial" w:hAnsi="Arial"/>
          <w:sz w:val="18"/>
          <w:szCs w:val="18"/>
        </w:rPr>
        <w:t xml:space="preserve">anderer EU-/EWR-Mitgliedstaat</w:t>
      </w:r>
    </w:p>
    <w:p>
      <w:pPr>
        <w:spacing w:after="40" w:before="0"/>
      </w:pPr>
      <w:r>
        <w:rPr>
          <w:rFonts w:ascii="Arial" w:cs="Arial" w:eastAsia="Arial" w:hAnsi="Arial"/>
          <w:sz w:val="18"/>
          <w:szCs w:val="18"/>
        </w:rPr>
        <w:t xml:space="preserve">Drittland (außerhalb EU/EWR)</w:t>
      </w:r>
    </w:p>
    <w:p>
      <w:pPr>
        <w:keepNext/>
        <w:pBdr>
          <w:top w:val="single" w:color="24A27F" w:sz="4" w:space="4"/>
        </w:pBdr>
        <w:spacing w:after="40" w:before="260"/>
      </w:pPr>
      <w:r>
        <w:rPr>
          <w:rFonts w:ascii="Arial" w:cs="Arial" w:eastAsia="Arial" w:hAnsi="Arial"/>
          <w:b/>
          <w:bCs/>
          <w:color w:val="004494"/>
          <w:sz w:val="22"/>
          <w:szCs w:val="22"/>
        </w:rPr>
        <w:t xml:space="preserve">F02  </w:t>
      </w:r>
      <w:r>
        <w:rPr>
          <w:rFonts w:ascii="Arial" w:cs="Arial" w:eastAsia="Arial" w:hAnsi="Arial"/>
          <w:b/>
          <w:bCs/>
          <w:sz w:val="22"/>
          <w:szCs w:val="22"/>
        </w:rPr>
        <w:t xml:space="preserve">Hat Ihr Unternehmen eine Niederlassung mit eigener Rechtspersönlichkeit in Deutschland (z. B. GmbH, keine bloße Zweigniederlassung)?</w:t>
      </w:r>
    </w:p>
    <w:p>
      <w:pPr>
        <w:spacing w:after="60" w:before="0"/>
      </w:pPr>
      <w:r>
        <w:rPr>
          <w:rFonts w:ascii="Arial" w:cs="Arial" w:eastAsia="Arial" w:hAnsi="Arial"/>
          <w:color w:val="6B7280"/>
          <w:sz w:val="16"/>
          <w:szCs w:val="16"/>
        </w:rPr>
        <w:t xml:space="preserve">Ebene unternehmen · single_select · Variable niederlassung_DE · Anzeige: sitz != Deutschland · speist Regeln: B3,C1,C6</w:t>
      </w:r>
    </w:p>
    <w:p>
      <w:pPr>
        <w:spacing w:after="20" w:before="60"/>
      </w:pPr>
      <w:r>
        <w:rPr>
          <w:rFonts w:ascii="Arial" w:cs="Arial" w:eastAsia="Arial" w:hAnsi="Arial"/>
          <w:b/>
          <w:bCs/>
          <w:sz w:val="18"/>
          <w:szCs w:val="18"/>
        </w:rPr>
        <w:t xml:space="preserve">Antwortoptionen:</w:t>
      </w:r>
    </w:p>
    <w:p>
      <w:pPr>
        <w:spacing w:after="40" w:before="0"/>
      </w:pPr>
      <w:r>
        <w:rPr>
          <w:rFonts w:ascii="Arial" w:cs="Arial" w:eastAsia="Arial" w:hAnsi="Arial"/>
          <w:sz w:val="18"/>
          <w:szCs w:val="18"/>
        </w:rPr>
        <w:t xml:space="preserve">ja</w:t>
      </w:r>
    </w:p>
    <w:p>
      <w:pPr>
        <w:spacing w:after="40" w:before="0"/>
      </w:pPr>
      <w:r>
        <w:rPr>
          <w:rFonts w:ascii="Arial" w:cs="Arial" w:eastAsia="Arial" w:hAnsi="Arial"/>
          <w:sz w:val="18"/>
          <w:szCs w:val="18"/>
        </w:rPr>
        <w:t xml:space="preserve">nein</w:t>
      </w:r>
    </w:p>
    <w:p>
      <w:pPr>
        <w:spacing w:after="20" w:before="60"/>
      </w:pPr>
      <w:r>
        <w:rPr>
          <w:rFonts w:ascii="Arial" w:cs="Arial" w:eastAsia="Arial" w:hAnsi="Arial"/>
          <w:b/>
          <w:bCs/>
          <w:sz w:val="18"/>
          <w:szCs w:val="18"/>
        </w:rPr>
        <w:t xml:space="preserve">Hinweis im UI:</w:t>
      </w:r>
    </w:p>
    <w:p>
      <w:pPr>
        <w:spacing w:after="40" w:before="0"/>
      </w:pPr>
      <w:r>
        <w:rPr>
          <w:rFonts w:ascii="Arial" w:cs="Arial" w:eastAsia="Arial" w:hAnsi="Arial"/>
          <w:sz w:val="18"/>
          <w:szCs w:val="18"/>
        </w:rPr>
        <w:t xml:space="preserve">Hinweis einblenden: Eine unselbstständige Zweigniederlassung oder eine reine Umsatzsteuer-Registrierung genügt nicht (Leitfaden C(2026)3702, Abschn. 4).</w:t>
      </w:r>
    </w:p>
    <w:p>
      <w:pPr>
        <w:keepNext/>
        <w:pBdr>
          <w:top w:val="single" w:color="24A27F" w:sz="4" w:space="4"/>
        </w:pBdr>
        <w:spacing w:after="40" w:before="260"/>
      </w:pPr>
      <w:r>
        <w:rPr>
          <w:rFonts w:ascii="Arial" w:cs="Arial" w:eastAsia="Arial" w:hAnsi="Arial"/>
          <w:b/>
          <w:bCs/>
          <w:color w:val="004494"/>
          <w:sz w:val="22"/>
          <w:szCs w:val="22"/>
        </w:rPr>
        <w:t xml:space="preserve">F03  </w:t>
      </w:r>
      <w:r>
        <w:rPr>
          <w:rFonts w:ascii="Arial" w:cs="Arial" w:eastAsia="Arial" w:hAnsi="Arial"/>
          <w:b/>
          <w:bCs/>
          <w:sz w:val="22"/>
          <w:szCs w:val="22"/>
        </w:rPr>
        <w:t xml:space="preserve">Wie groß ist Ihr Unternehmen (einschließlich verbundener Unternehmen und Partnerunternehmen)?</w:t>
      </w:r>
    </w:p>
    <w:p>
      <w:pPr>
        <w:spacing w:after="60" w:before="0"/>
      </w:pPr>
      <w:r>
        <w:rPr>
          <w:rFonts w:ascii="Arial" w:cs="Arial" w:eastAsia="Arial" w:hAnsi="Arial"/>
          <w:color w:val="6B7280"/>
          <w:sz w:val="16"/>
          <w:szCs w:val="16"/>
        </w:rPr>
        <w:t xml:space="preserve">Ebene unternehmen · single_select · Variable unternehmensgroesse · Anzeige: immer · speist Regeln: A3</w:t>
      </w:r>
    </w:p>
    <w:p>
      <w:pPr>
        <w:spacing w:after="20" w:before="60"/>
      </w:pPr>
      <w:r>
        <w:rPr>
          <w:rFonts w:ascii="Arial" w:cs="Arial" w:eastAsia="Arial" w:hAnsi="Arial"/>
          <w:b/>
          <w:bCs/>
          <w:sz w:val="18"/>
          <w:szCs w:val="18"/>
        </w:rPr>
        <w:t xml:space="preserve">Antwortoptionen:</w:t>
      </w:r>
    </w:p>
    <w:p>
      <w:pPr>
        <w:spacing w:after="40" w:before="0"/>
      </w:pPr>
      <w:r>
        <w:rPr>
          <w:rFonts w:ascii="Arial" w:cs="Arial" w:eastAsia="Arial" w:hAnsi="Arial"/>
          <w:sz w:val="18"/>
          <w:szCs w:val="18"/>
        </w:rPr>
        <w:t xml:space="preserve">Kleinstunternehmen: unter 10 Beschäftigte UND Jahresumsatz oder Bilanzsumme bis 2 Mio. EUR</w:t>
      </w:r>
    </w:p>
    <w:p>
      <w:pPr>
        <w:spacing w:after="40" w:before="0"/>
      </w:pPr>
      <w:r>
        <w:rPr>
          <w:rFonts w:ascii="Arial" w:cs="Arial" w:eastAsia="Arial" w:hAnsi="Arial"/>
          <w:sz w:val="18"/>
          <w:szCs w:val="18"/>
        </w:rPr>
        <w:t xml:space="preserve">größer</w:t>
      </w:r>
    </w:p>
    <w:p>
      <w:pPr>
        <w:spacing w:after="20" w:before="60"/>
      </w:pPr>
      <w:r>
        <w:rPr>
          <w:rFonts w:ascii="Arial" w:cs="Arial" w:eastAsia="Arial" w:hAnsi="Arial"/>
          <w:b/>
          <w:bCs/>
          <w:sz w:val="18"/>
          <w:szCs w:val="18"/>
        </w:rPr>
        <w:t xml:space="preserve">Hinweis im UI:</w:t>
      </w:r>
    </w:p>
    <w:p>
      <w:pPr>
        <w:spacing w:after="40" w:before="0"/>
      </w:pPr>
      <w:r>
        <w:rPr>
          <w:rFonts w:ascii="Arial" w:cs="Arial" w:eastAsia="Arial" w:hAnsi="Arial"/>
          <w:sz w:val="18"/>
          <w:szCs w:val="18"/>
        </w:rPr>
        <w:t xml:space="preserve">Berechnung nach Empfehlung 2003/361/EG in der am 11.02.2025 geltenden Fassung; verbundene Unternehmen (z. B. Franchise mit ≥ 25 % Beteiligung) sind einzurechnen.</w:t>
      </w:r>
    </w:p>
    <w:p>
      <w:pPr>
        <w:keepNext/>
        <w:pBdr>
          <w:top w:val="single" w:color="24A27F" w:sz="4" w:space="4"/>
        </w:pBdr>
        <w:spacing w:after="40" w:before="260"/>
      </w:pPr>
      <w:r>
        <w:rPr>
          <w:rFonts w:ascii="Arial" w:cs="Arial" w:eastAsia="Arial" w:hAnsi="Arial"/>
          <w:b/>
          <w:bCs/>
          <w:color w:val="004494"/>
          <w:sz w:val="22"/>
          <w:szCs w:val="22"/>
        </w:rPr>
        <w:t xml:space="preserve">F04  </w:t>
      </w:r>
      <w:r>
        <w:rPr>
          <w:rFonts w:ascii="Arial" w:cs="Arial" w:eastAsia="Arial" w:hAnsi="Arial"/>
          <w:b/>
          <w:bCs/>
          <w:sz w:val="22"/>
          <w:szCs w:val="22"/>
        </w:rPr>
        <w:t xml:space="preserve">Legen Sie Ihre Produktlinien an. Eine Produktlinie ist eine Gruppe von Produkten mit gleichartiger Verpackungssituation (z. B. 'Feinkost im Glas', 'Ersatzteile im Versandkarton').</w:t>
      </w:r>
    </w:p>
    <w:p>
      <w:pPr>
        <w:spacing w:after="60" w:before="0"/>
      </w:pPr>
      <w:r>
        <w:rPr>
          <w:rFonts w:ascii="Arial" w:cs="Arial" w:eastAsia="Arial" w:hAnsi="Arial"/>
          <w:color w:val="6B7280"/>
          <w:sz w:val="16"/>
          <w:szCs w:val="16"/>
        </w:rPr>
        <w:t xml:space="preserve">Ebene produktlinie · freitext_liste · Variable produktlinien · Anzeige: immer · speist Regeln: alle</w:t>
      </w:r>
    </w:p>
    <w:p>
      <w:pPr>
        <w:spacing w:after="20" w:before="60"/>
      </w:pPr>
      <w:r>
        <w:rPr>
          <w:rFonts w:ascii="Arial" w:cs="Arial" w:eastAsia="Arial" w:hAnsi="Arial"/>
          <w:b/>
          <w:bCs/>
          <w:sz w:val="18"/>
          <w:szCs w:val="18"/>
        </w:rPr>
        <w:t xml:space="preserve">Antwortoptionen:</w:t>
      </w:r>
    </w:p>
    <w:p>
      <w:pPr>
        <w:spacing w:after="40" w:before="0"/>
      </w:pPr>
      <w:r>
        <w:rPr>
          <w:rFonts w:ascii="Arial" w:cs="Arial" w:eastAsia="Arial" w:hAnsi="Arial"/>
          <w:sz w:val="18"/>
          <w:szCs w:val="18"/>
        </w:rPr>
        <w:t xml:space="preserve">—</w:t>
      </w:r>
    </w:p>
    <w:p>
      <w:pPr>
        <w:spacing w:after="20" w:before="60"/>
      </w:pPr>
      <w:r>
        <w:rPr>
          <w:rFonts w:ascii="Arial" w:cs="Arial" w:eastAsia="Arial" w:hAnsi="Arial"/>
          <w:b/>
          <w:bCs/>
          <w:sz w:val="18"/>
          <w:szCs w:val="18"/>
        </w:rPr>
        <w:t xml:space="preserve">Hinweis im UI:</w:t>
      </w:r>
    </w:p>
    <w:p>
      <w:pPr>
        <w:spacing w:after="40" w:before="0"/>
      </w:pPr>
      <w:r>
        <w:rPr>
          <w:rFonts w:ascii="Arial" w:cs="Arial" w:eastAsia="Arial" w:hAnsi="Arial"/>
          <w:sz w:val="18"/>
          <w:szCs w:val="18"/>
        </w:rPr>
        <w:t xml:space="preserve">Alle Folgefragen werden JE PRODUKTLINIE gestellt – die Engine gibt nie eine pauschale Firmenrolle aus.</w:t>
      </w:r>
    </w:p>
    <w:p>
      <w:pPr>
        <w:keepNext/>
        <w:pBdr>
          <w:top w:val="single" w:color="24A27F" w:sz="4" w:space="4"/>
        </w:pBdr>
        <w:spacing w:after="40" w:before="260"/>
      </w:pPr>
      <w:r>
        <w:rPr>
          <w:rFonts w:ascii="Arial" w:cs="Arial" w:eastAsia="Arial" w:hAnsi="Arial"/>
          <w:b/>
          <w:bCs/>
          <w:color w:val="004494"/>
          <w:sz w:val="22"/>
          <w:szCs w:val="22"/>
        </w:rPr>
        <w:t xml:space="preserve">F05  </w:t>
      </w:r>
      <w:r>
        <w:rPr>
          <w:rFonts w:ascii="Arial" w:cs="Arial" w:eastAsia="Arial" w:hAnsi="Arial"/>
          <w:b/>
          <w:bCs/>
          <w:sz w:val="22"/>
          <w:szCs w:val="22"/>
        </w:rPr>
        <w:t xml:space="preserve">Welche Verpackungsarten setzen Sie in dieser Produktlinie ein?</w:t>
      </w:r>
    </w:p>
    <w:p>
      <w:pPr>
        <w:spacing w:after="60" w:before="0"/>
      </w:pPr>
      <w:r>
        <w:rPr>
          <w:rFonts w:ascii="Arial" w:cs="Arial" w:eastAsia="Arial" w:hAnsi="Arial"/>
          <w:color w:val="6B7280"/>
          <w:sz w:val="16"/>
          <w:szCs w:val="16"/>
        </w:rPr>
        <w:t xml:space="preserve">Ebene produktlinie · multi_select · Variable verpackungsart · Anzeige: immer · speist Regeln: A1,A4,B1,B2</w:t>
      </w:r>
    </w:p>
    <w:p>
      <w:pPr>
        <w:spacing w:after="20" w:before="60"/>
      </w:pPr>
      <w:r>
        <w:rPr>
          <w:rFonts w:ascii="Arial" w:cs="Arial" w:eastAsia="Arial" w:hAnsi="Arial"/>
          <w:b/>
          <w:bCs/>
          <w:sz w:val="18"/>
          <w:szCs w:val="18"/>
        </w:rPr>
        <w:t xml:space="preserve">Antwortoptionen:</w:t>
      </w:r>
    </w:p>
    <w:p>
      <w:pPr>
        <w:spacing w:after="40" w:before="0"/>
      </w:pPr>
      <w:r>
        <w:rPr>
          <w:rFonts w:ascii="Arial" w:cs="Arial" w:eastAsia="Arial" w:hAnsi="Arial"/>
          <w:sz w:val="18"/>
          <w:szCs w:val="18"/>
        </w:rPr>
        <w:t xml:space="preserve">Verkaufsverpackung (Art. 3 Abs. 1 Nr. 5)</w:t>
      </w:r>
    </w:p>
    <w:p>
      <w:pPr>
        <w:spacing w:after="40" w:before="0"/>
      </w:pPr>
      <w:r>
        <w:rPr>
          <w:rFonts w:ascii="Arial" w:cs="Arial" w:eastAsia="Arial" w:hAnsi="Arial"/>
          <w:sz w:val="18"/>
          <w:szCs w:val="18"/>
        </w:rPr>
        <w:t xml:space="preserve">Umverpackung (Nr. 6)</w:t>
      </w:r>
    </w:p>
    <w:p>
      <w:pPr>
        <w:spacing w:after="40" w:before="0"/>
      </w:pPr>
      <w:r>
        <w:rPr>
          <w:rFonts w:ascii="Arial" w:cs="Arial" w:eastAsia="Arial" w:hAnsi="Arial"/>
          <w:sz w:val="18"/>
          <w:szCs w:val="18"/>
        </w:rPr>
        <w:t xml:space="preserve">Transportverpackung (Nr. 7)</w:t>
      </w:r>
    </w:p>
    <w:p>
      <w:pPr>
        <w:spacing w:after="40" w:before="0"/>
      </w:pPr>
      <w:r>
        <w:rPr>
          <w:rFonts w:ascii="Arial" w:cs="Arial" w:eastAsia="Arial" w:hAnsi="Arial"/>
          <w:sz w:val="18"/>
          <w:szCs w:val="18"/>
        </w:rPr>
        <w:t xml:space="preserve">Verpackung für den elektronischen Handel (Nr. 8)</w:t>
      </w:r>
    </w:p>
    <w:p>
      <w:pPr>
        <w:spacing w:after="40" w:before="0"/>
      </w:pPr>
      <w:r>
        <w:rPr>
          <w:rFonts w:ascii="Arial" w:cs="Arial" w:eastAsia="Arial" w:hAnsi="Arial"/>
          <w:sz w:val="18"/>
          <w:szCs w:val="18"/>
        </w:rPr>
        <w:t xml:space="preserve">Serviceverpackung (Nr. 1 lit. d)</w:t>
      </w:r>
    </w:p>
    <w:p>
      <w:pPr>
        <w:spacing w:after="40" w:before="0"/>
      </w:pPr>
      <w:r>
        <w:rPr>
          <w:rFonts w:ascii="Arial" w:cs="Arial" w:eastAsia="Arial" w:hAnsi="Arial"/>
          <w:sz w:val="18"/>
          <w:szCs w:val="18"/>
        </w:rPr>
        <w:t xml:space="preserve">Primärproduktionsverpackung (Nr. 4)</w:t>
      </w:r>
    </w:p>
    <w:p>
      <w:pPr>
        <w:spacing w:after="20" w:before="60"/>
      </w:pPr>
      <w:r>
        <w:rPr>
          <w:rFonts w:ascii="Arial" w:cs="Arial" w:eastAsia="Arial" w:hAnsi="Arial"/>
          <w:b/>
          <w:bCs/>
          <w:sz w:val="18"/>
          <w:szCs w:val="18"/>
        </w:rPr>
        <w:t xml:space="preserve">Hinweis im UI:</w:t>
      </w:r>
    </w:p>
    <w:p>
      <w:pPr>
        <w:spacing w:after="40" w:before="0"/>
      </w:pPr>
      <w:r>
        <w:rPr>
          <w:rFonts w:ascii="Arial" w:cs="Arial" w:eastAsia="Arial" w:hAnsi="Arial"/>
          <w:sz w:val="18"/>
          <w:szCs w:val="18"/>
        </w:rPr>
        <w:t xml:space="preserve">Im Zweifel: Es zählt, wie die Verpackung beim Endkunden ankommt, nicht wie sie im Lager transportiert wird.</w:t>
      </w:r>
    </w:p>
    <w:p>
      <w:pPr>
        <w:keepNext/>
        <w:pBdr>
          <w:top w:val="single" w:color="24A27F" w:sz="4" w:space="4"/>
        </w:pBdr>
        <w:spacing w:after="40" w:before="260"/>
      </w:pPr>
      <w:r>
        <w:rPr>
          <w:rFonts w:ascii="Arial" w:cs="Arial" w:eastAsia="Arial" w:hAnsi="Arial"/>
          <w:b/>
          <w:bCs/>
          <w:color w:val="004494"/>
          <w:sz w:val="22"/>
          <w:szCs w:val="22"/>
        </w:rPr>
        <w:t xml:space="preserve">F06  </w:t>
      </w:r>
      <w:r>
        <w:rPr>
          <w:rFonts w:ascii="Arial" w:cs="Arial" w:eastAsia="Arial" w:hAnsi="Arial"/>
          <w:b/>
          <w:bCs/>
          <w:sz w:val="22"/>
          <w:szCs w:val="22"/>
        </w:rPr>
        <w:t xml:space="preserve">Was trifft auf Ihre Tätigkeiten in dieser Produktlinie zu? (Mehrfachauswahl – bitte alle zutreffenden Tätigkeiten ankreuzen)</w:t>
      </w:r>
    </w:p>
    <w:p>
      <w:pPr>
        <w:spacing w:after="60" w:before="0"/>
      </w:pPr>
      <w:r>
        <w:rPr>
          <w:rFonts w:ascii="Arial" w:cs="Arial" w:eastAsia="Arial" w:hAnsi="Arial"/>
          <w:color w:val="6B7280"/>
          <w:sz w:val="16"/>
          <w:szCs w:val="16"/>
        </w:rPr>
        <w:t xml:space="preserve">Ebene produktlinie · multi_select · Variable taetigkeit · Anzeige: immer · speist Regeln: A1,A2,A4,B2,B4,C1,C2,C3,C4,C5</w:t>
      </w:r>
    </w:p>
    <w:p>
      <w:pPr>
        <w:spacing w:after="20" w:before="60"/>
      </w:pPr>
      <w:r>
        <w:rPr>
          <w:rFonts w:ascii="Arial" w:cs="Arial" w:eastAsia="Arial" w:hAnsi="Arial"/>
          <w:b/>
          <w:bCs/>
          <w:sz w:val="18"/>
          <w:szCs w:val="18"/>
        </w:rPr>
        <w:t xml:space="preserve">Antwortoptionen:</w:t>
      </w:r>
    </w:p>
    <w:p>
      <w:pPr>
        <w:spacing w:after="40" w:before="0"/>
      </w:pPr>
      <w:r>
        <w:rPr>
          <w:rFonts w:ascii="Arial" w:cs="Arial" w:eastAsia="Arial" w:hAnsi="Arial"/>
          <w:sz w:val="18"/>
          <w:szCs w:val="18"/>
        </w:rPr>
        <w:t xml:space="preserve">Wir stellen Verpackungen selbst physisch her</w:t>
      </w:r>
    </w:p>
    <w:p>
      <w:pPr>
        <w:spacing w:after="40" w:before="0"/>
      </w:pPr>
      <w:r>
        <w:rPr>
          <w:rFonts w:ascii="Arial" w:cs="Arial" w:eastAsia="Arial" w:hAnsi="Arial"/>
          <w:sz w:val="18"/>
          <w:szCs w:val="18"/>
        </w:rPr>
        <w:t xml:space="preserve">Wir befüllen/versiegeln Verpackungen mit unseren Produkten</w:t>
      </w:r>
    </w:p>
    <w:p>
      <w:pPr>
        <w:spacing w:after="40" w:before="0"/>
      </w:pPr>
      <w:r>
        <w:rPr>
          <w:rFonts w:ascii="Arial" w:cs="Arial" w:eastAsia="Arial" w:hAnsi="Arial"/>
          <w:sz w:val="18"/>
          <w:szCs w:val="18"/>
        </w:rPr>
        <w:t xml:space="preserve">Wir lassen Verpackungen oder verpackte Produkte unter unserem Namen/unserer Marke entwickeln oder herstellen</w:t>
      </w:r>
    </w:p>
    <w:p>
      <w:pPr>
        <w:spacing w:after="40" w:before="0"/>
      </w:pPr>
      <w:r>
        <w:rPr>
          <w:rFonts w:ascii="Arial" w:cs="Arial" w:eastAsia="Arial" w:hAnsi="Arial"/>
          <w:sz w:val="18"/>
          <w:szCs w:val="18"/>
        </w:rPr>
        <w:t xml:space="preserve">Wir kaufen fertig verpackte Ware und verkaufen sie weiter</w:t>
      </w:r>
    </w:p>
    <w:p>
      <w:pPr>
        <w:spacing w:after="40" w:before="0"/>
      </w:pPr>
      <w:r>
        <w:rPr>
          <w:rFonts w:ascii="Arial" w:cs="Arial" w:eastAsia="Arial" w:hAnsi="Arial"/>
          <w:sz w:val="18"/>
          <w:szCs w:val="18"/>
        </w:rPr>
        <w:t xml:space="preserve">Wir führen Verpackungen oder verpackte Ware aus einem Drittland ein</w:t>
      </w:r>
    </w:p>
    <w:p>
      <w:pPr>
        <w:spacing w:after="40" w:before="0"/>
      </w:pPr>
      <w:r>
        <w:rPr>
          <w:rFonts w:ascii="Arial" w:cs="Arial" w:eastAsia="Arial" w:hAnsi="Arial"/>
          <w:sz w:val="18"/>
          <w:szCs w:val="18"/>
        </w:rPr>
        <w:t xml:space="preserve">Wir verkaufen an Endkunden (Verbraucher oder gewerbliche Endnutzer)</w:t>
      </w:r>
    </w:p>
    <w:p>
      <w:pPr>
        <w:spacing w:after="40" w:before="0"/>
      </w:pPr>
      <w:r>
        <w:rPr>
          <w:rFonts w:ascii="Arial" w:cs="Arial" w:eastAsia="Arial" w:hAnsi="Arial"/>
          <w:sz w:val="18"/>
          <w:szCs w:val="18"/>
        </w:rPr>
        <w:t xml:space="preserve">Wir packen angelieferte Ware aus und verpacken sie neu bzw. entsorgen die Anlieferverpackung</w:t>
      </w:r>
    </w:p>
    <w:p>
      <w:pPr>
        <w:spacing w:after="40" w:before="0"/>
      </w:pPr>
      <w:r>
        <w:rPr>
          <w:rFonts w:ascii="Arial" w:cs="Arial" w:eastAsia="Arial" w:hAnsi="Arial"/>
          <w:sz w:val="18"/>
          <w:szCs w:val="18"/>
        </w:rPr>
        <w:t xml:space="preserve">Wir lagern und versenden Ware für Dritte (Fulfillment)</w:t>
      </w:r>
    </w:p>
    <w:p>
      <w:pPr>
        <w:spacing w:after="40" w:before="0"/>
      </w:pPr>
      <w:r>
        <w:rPr>
          <w:rFonts w:ascii="Arial" w:cs="Arial" w:eastAsia="Arial" w:hAnsi="Arial"/>
          <w:sz w:val="18"/>
          <w:szCs w:val="18"/>
        </w:rPr>
        <w:t xml:space="preserve">Wir liefern leere Verpackungen oder Verpackungsmaterial an Befüller</w:t>
      </w:r>
    </w:p>
    <w:p>
      <w:pPr>
        <w:spacing w:after="20" w:before="60"/>
      </w:pPr>
      <w:r>
        <w:rPr>
          <w:rFonts w:ascii="Arial" w:cs="Arial" w:eastAsia="Arial" w:hAnsi="Arial"/>
          <w:b/>
          <w:bCs/>
          <w:sz w:val="18"/>
          <w:szCs w:val="18"/>
        </w:rPr>
        <w:t xml:space="preserve">Hinweis im UI:</w:t>
      </w:r>
    </w:p>
    <w:p>
      <w:pPr>
        <w:spacing w:after="40" w:before="0"/>
      </w:pPr>
      <w:r>
        <w:rPr>
          <w:rFonts w:ascii="Arial" w:cs="Arial" w:eastAsia="Arial" w:hAnsi="Arial"/>
          <w:sz w:val="18"/>
          <w:szCs w:val="18"/>
        </w:rPr>
        <w:t xml:space="preserve">Tätigkeitsabfrage statt Selbsteinschätzung – die Rollenableitung übernimmt die Engine.</w:t>
      </w:r>
    </w:p>
    <w:p>
      <w:pPr>
        <w:keepNext/>
        <w:pBdr>
          <w:top w:val="single" w:color="24A27F" w:sz="4" w:space="4"/>
        </w:pBdr>
        <w:spacing w:after="40" w:before="260"/>
      </w:pPr>
      <w:r>
        <w:rPr>
          <w:rFonts w:ascii="Arial" w:cs="Arial" w:eastAsia="Arial" w:hAnsi="Arial"/>
          <w:b/>
          <w:bCs/>
          <w:color w:val="004494"/>
          <w:sz w:val="22"/>
          <w:szCs w:val="22"/>
        </w:rPr>
        <w:t xml:space="preserve">F07  </w:t>
      </w:r>
      <w:r>
        <w:rPr>
          <w:rFonts w:ascii="Arial" w:cs="Arial" w:eastAsia="Arial" w:hAnsi="Arial"/>
          <w:b/>
          <w:bCs/>
          <w:sz w:val="22"/>
          <w:szCs w:val="22"/>
        </w:rPr>
        <w:t xml:space="preserve">Trägt die Verpackung (nicht das Produkt) einen Namen oder eine Marke – und wenn ja, wessen?</w:t>
      </w:r>
    </w:p>
    <w:p>
      <w:pPr>
        <w:spacing w:after="60" w:before="0"/>
      </w:pPr>
      <w:r>
        <w:rPr>
          <w:rFonts w:ascii="Arial" w:cs="Arial" w:eastAsia="Arial" w:hAnsi="Arial"/>
          <w:color w:val="6B7280"/>
          <w:sz w:val="16"/>
          <w:szCs w:val="16"/>
        </w:rPr>
        <w:t xml:space="preserve">Ebene produktlinie · single_select · Variable marke_auf_verpackung · Anzeige: immer · speist Regeln: A2,A4,A5</w:t>
      </w:r>
    </w:p>
    <w:p>
      <w:pPr>
        <w:spacing w:after="20" w:before="60"/>
      </w:pPr>
      <w:r>
        <w:rPr>
          <w:rFonts w:ascii="Arial" w:cs="Arial" w:eastAsia="Arial" w:hAnsi="Arial"/>
          <w:b/>
          <w:bCs/>
          <w:sz w:val="18"/>
          <w:szCs w:val="18"/>
        </w:rPr>
        <w:t xml:space="preserve">Antwortoptionen:</w:t>
      </w:r>
    </w:p>
    <w:p>
      <w:pPr>
        <w:spacing w:after="40" w:before="0"/>
      </w:pPr>
      <w:r>
        <w:rPr>
          <w:rFonts w:ascii="Arial" w:cs="Arial" w:eastAsia="Arial" w:hAnsi="Arial"/>
          <w:sz w:val="18"/>
          <w:szCs w:val="18"/>
        </w:rPr>
        <w:t xml:space="preserve">unsere eigene Marke / unser Name</w:t>
      </w:r>
    </w:p>
    <w:p>
      <w:pPr>
        <w:spacing w:after="40" w:before="0"/>
      </w:pPr>
      <w:r>
        <w:rPr>
          <w:rFonts w:ascii="Arial" w:cs="Arial" w:eastAsia="Arial" w:hAnsi="Arial"/>
          <w:sz w:val="18"/>
          <w:szCs w:val="18"/>
        </w:rPr>
        <w:t xml:space="preserve">Marke eines anderen Unternehmens</w:t>
      </w:r>
    </w:p>
    <w:p>
      <w:pPr>
        <w:spacing w:after="40" w:before="0"/>
      </w:pPr>
      <w:r>
        <w:rPr>
          <w:rFonts w:ascii="Arial" w:cs="Arial" w:eastAsia="Arial" w:hAnsi="Arial"/>
          <w:sz w:val="18"/>
          <w:szCs w:val="18"/>
        </w:rPr>
        <w:t xml:space="preserve">keine Marke auf der Verpackung</w:t>
      </w:r>
    </w:p>
    <w:p>
      <w:pPr>
        <w:keepNext/>
        <w:pBdr>
          <w:top w:val="single" w:color="24A27F" w:sz="4" w:space="4"/>
        </w:pBdr>
        <w:spacing w:after="40" w:before="260"/>
      </w:pPr>
      <w:r>
        <w:rPr>
          <w:rFonts w:ascii="Arial" w:cs="Arial" w:eastAsia="Arial" w:hAnsi="Arial"/>
          <w:b/>
          <w:bCs/>
          <w:color w:val="004494"/>
          <w:sz w:val="22"/>
          <w:szCs w:val="22"/>
        </w:rPr>
        <w:t xml:space="preserve">F08  </w:t>
      </w:r>
      <w:r>
        <w:rPr>
          <w:rFonts w:ascii="Arial" w:cs="Arial" w:eastAsia="Arial" w:hAnsi="Arial"/>
          <w:b/>
          <w:bCs/>
          <w:sz w:val="22"/>
          <w:szCs w:val="22"/>
        </w:rPr>
        <w:t xml:space="preserve">Woher beziehen Sie die (leeren) Verpackungen dieser Produktlinie?</w:t>
      </w:r>
    </w:p>
    <w:p>
      <w:pPr>
        <w:spacing w:after="60" w:before="0"/>
      </w:pPr>
      <w:r>
        <w:rPr>
          <w:rFonts w:ascii="Arial" w:cs="Arial" w:eastAsia="Arial" w:hAnsi="Arial"/>
          <w:color w:val="6B7280"/>
          <w:sz w:val="16"/>
          <w:szCs w:val="16"/>
        </w:rPr>
        <w:t xml:space="preserve">Ebene produktlinie · single_select · Variable verpackungslieferant_sitz · Anzeige: taetigkeit ENTHÄLT (befuellt ODER herstellen_lassen) · speist Regeln: A3,C1</w:t>
      </w:r>
    </w:p>
    <w:p>
      <w:pPr>
        <w:spacing w:after="20" w:before="60"/>
      </w:pPr>
      <w:r>
        <w:rPr>
          <w:rFonts w:ascii="Arial" w:cs="Arial" w:eastAsia="Arial" w:hAnsi="Arial"/>
          <w:b/>
          <w:bCs/>
          <w:sz w:val="18"/>
          <w:szCs w:val="18"/>
        </w:rPr>
        <w:t xml:space="preserve">Antwortoptionen:</w:t>
      </w:r>
    </w:p>
    <w:p>
      <w:pPr>
        <w:spacing w:after="40" w:before="0"/>
      </w:pPr>
      <w:r>
        <w:rPr>
          <w:rFonts w:ascii="Arial" w:cs="Arial" w:eastAsia="Arial" w:hAnsi="Arial"/>
          <w:sz w:val="18"/>
          <w:szCs w:val="18"/>
        </w:rPr>
        <w:t xml:space="preserve">vom Lieferanten in Deutschland</w:t>
      </w:r>
    </w:p>
    <w:p>
      <w:pPr>
        <w:spacing w:after="40" w:before="0"/>
      </w:pPr>
      <w:r>
        <w:rPr>
          <w:rFonts w:ascii="Arial" w:cs="Arial" w:eastAsia="Arial" w:hAnsi="Arial"/>
          <w:sz w:val="18"/>
          <w:szCs w:val="18"/>
        </w:rPr>
        <w:t xml:space="preserve">vom Lieferanten in einem anderen EU-Mitgliedstaat</w:t>
      </w:r>
    </w:p>
    <w:p>
      <w:pPr>
        <w:spacing w:after="40" w:before="0"/>
      </w:pPr>
      <w:r>
        <w:rPr>
          <w:rFonts w:ascii="Arial" w:cs="Arial" w:eastAsia="Arial" w:hAnsi="Arial"/>
          <w:sz w:val="18"/>
          <w:szCs w:val="18"/>
        </w:rPr>
        <w:t xml:space="preserve">aus einem Drittland</w:t>
      </w:r>
    </w:p>
    <w:p>
      <w:pPr>
        <w:spacing w:after="40" w:before="0"/>
      </w:pPr>
      <w:r>
        <w:rPr>
          <w:rFonts w:ascii="Arial" w:cs="Arial" w:eastAsia="Arial" w:hAnsi="Arial"/>
          <w:sz w:val="18"/>
          <w:szCs w:val="18"/>
        </w:rPr>
        <w:t xml:space="preserve">wir stellen sie selbst her</w:t>
      </w:r>
    </w:p>
    <w:p>
      <w:pPr>
        <w:keepNext/>
        <w:pBdr>
          <w:top w:val="single" w:color="24A27F" w:sz="4" w:space="4"/>
        </w:pBdr>
        <w:spacing w:after="40" w:before="260"/>
      </w:pPr>
      <w:r>
        <w:rPr>
          <w:rFonts w:ascii="Arial" w:cs="Arial" w:eastAsia="Arial" w:hAnsi="Arial"/>
          <w:b/>
          <w:bCs/>
          <w:color w:val="004494"/>
          <w:sz w:val="22"/>
          <w:szCs w:val="22"/>
        </w:rPr>
        <w:t xml:space="preserve">F09  </w:t>
      </w:r>
      <w:r>
        <w:rPr>
          <w:rFonts w:ascii="Arial" w:cs="Arial" w:eastAsia="Arial" w:hAnsi="Arial"/>
          <w:b/>
          <w:bCs/>
          <w:sz w:val="22"/>
          <w:szCs w:val="22"/>
        </w:rPr>
        <w:t xml:space="preserve">Wer stellt die Verpackung bzw. das verpackte Produkt in Deutschland ERSTMALS bereit – Sie oder ein Unternehmen vor Ihnen in der Lieferkette?</w:t>
      </w:r>
    </w:p>
    <w:p>
      <w:pPr>
        <w:spacing w:after="60" w:before="0"/>
      </w:pPr>
      <w:r>
        <w:rPr>
          <w:rFonts w:ascii="Arial" w:cs="Arial" w:eastAsia="Arial" w:hAnsi="Arial"/>
          <w:color w:val="6B7280"/>
          <w:sz w:val="16"/>
          <w:szCs w:val="16"/>
        </w:rPr>
        <w:t xml:space="preserve">Ebene produktlinie · single_select · Variable erste_bereitstellung_aus_DE_in_DE · Anzeige: sitz = Deutschland · speist Regeln: B1,B2</w:t>
      </w:r>
    </w:p>
    <w:p>
      <w:pPr>
        <w:spacing w:after="20" w:before="60"/>
      </w:pPr>
      <w:r>
        <w:rPr>
          <w:rFonts w:ascii="Arial" w:cs="Arial" w:eastAsia="Arial" w:hAnsi="Arial"/>
          <w:b/>
          <w:bCs/>
          <w:sz w:val="18"/>
          <w:szCs w:val="18"/>
        </w:rPr>
        <w:t xml:space="preserve">Antwortoptionen:</w:t>
      </w:r>
    </w:p>
    <w:p>
      <w:pPr>
        <w:spacing w:after="40" w:before="0"/>
      </w:pPr>
      <w:r>
        <w:rPr>
          <w:rFonts w:ascii="Arial" w:cs="Arial" w:eastAsia="Arial" w:hAnsi="Arial"/>
          <w:sz w:val="18"/>
          <w:szCs w:val="18"/>
        </w:rPr>
        <w:t xml:space="preserve">wir sind die Ersten in Deutschland (z. B. wir befüllen hier ODER beziehen aus dem Ausland und liefern hier)</w:t>
      </w:r>
    </w:p>
    <w:p>
      <w:pPr>
        <w:spacing w:after="40" w:before="0"/>
      </w:pPr>
      <w:r>
        <w:rPr>
          <w:rFonts w:ascii="Arial" w:cs="Arial" w:eastAsia="Arial" w:hAnsi="Arial"/>
          <w:sz w:val="18"/>
          <w:szCs w:val="18"/>
        </w:rPr>
        <w:t xml:space="preserve">ein deutsches Unternehmen vor uns (wir kaufen im Inland zu)</w:t>
      </w:r>
    </w:p>
    <w:p>
      <w:pPr>
        <w:spacing w:after="40" w:before="0"/>
      </w:pPr>
      <w:r>
        <w:rPr>
          <w:rFonts w:ascii="Arial" w:cs="Arial" w:eastAsia="Arial" w:hAnsi="Arial"/>
          <w:sz w:val="18"/>
          <w:szCs w:val="18"/>
        </w:rPr>
        <w:t xml:space="preserve">unklar</w:t>
      </w:r>
    </w:p>
    <w:p>
      <w:pPr>
        <w:spacing w:after="20" w:before="60"/>
      </w:pPr>
      <w:r>
        <w:rPr>
          <w:rFonts w:ascii="Arial" w:cs="Arial" w:eastAsia="Arial" w:hAnsi="Arial"/>
          <w:b/>
          <w:bCs/>
          <w:sz w:val="18"/>
          <w:szCs w:val="18"/>
        </w:rPr>
        <w:t xml:space="preserve">Hinweis im UI:</w:t>
      </w:r>
    </w:p>
    <w:p>
      <w:pPr>
        <w:spacing w:after="40" w:before="0"/>
      </w:pPr>
      <w:r>
        <w:rPr>
          <w:rFonts w:ascii="Arial" w:cs="Arial" w:eastAsia="Arial" w:hAnsi="Arial"/>
          <w:sz w:val="18"/>
          <w:szCs w:val="18"/>
        </w:rPr>
        <w:t xml:space="preserve">Bei 'unklar' Eskalation: Ebene-3-Disclaimer + Hinweis auf Cattwyk-Erstgespräch.</w:t>
      </w:r>
    </w:p>
    <w:p>
      <w:pPr>
        <w:keepNext/>
        <w:pBdr>
          <w:top w:val="single" w:color="24A27F" w:sz="4" w:space="4"/>
        </w:pBdr>
        <w:spacing w:after="40" w:before="260"/>
      </w:pPr>
      <w:r>
        <w:rPr>
          <w:rFonts w:ascii="Arial" w:cs="Arial" w:eastAsia="Arial" w:hAnsi="Arial"/>
          <w:b/>
          <w:bCs/>
          <w:color w:val="004494"/>
          <w:sz w:val="22"/>
          <w:szCs w:val="22"/>
        </w:rPr>
        <w:t xml:space="preserve">F10  </w:t>
      </w:r>
      <w:r>
        <w:rPr>
          <w:rFonts w:ascii="Arial" w:cs="Arial" w:eastAsia="Arial" w:hAnsi="Arial"/>
          <w:b/>
          <w:bCs/>
          <w:sz w:val="22"/>
          <w:szCs w:val="22"/>
        </w:rPr>
        <w:t xml:space="preserve">Über welche Wege vertreiben Sie diese Produktlinie?</w:t>
      </w:r>
    </w:p>
    <w:p>
      <w:pPr>
        <w:spacing w:after="60" w:before="0"/>
      </w:pPr>
      <w:r>
        <w:rPr>
          <w:rFonts w:ascii="Arial" w:cs="Arial" w:eastAsia="Arial" w:hAnsi="Arial"/>
          <w:color w:val="6B7280"/>
          <w:sz w:val="16"/>
          <w:szCs w:val="16"/>
        </w:rPr>
        <w:t xml:space="preserve">Ebene produktlinie · multi_select · Variable vertriebsweg · Anzeige: immer · speist Regeln: B3,B5,C3</w:t>
      </w:r>
    </w:p>
    <w:p>
      <w:pPr>
        <w:spacing w:after="20" w:before="60"/>
      </w:pPr>
      <w:r>
        <w:rPr>
          <w:rFonts w:ascii="Arial" w:cs="Arial" w:eastAsia="Arial" w:hAnsi="Arial"/>
          <w:b/>
          <w:bCs/>
          <w:sz w:val="18"/>
          <w:szCs w:val="18"/>
        </w:rPr>
        <w:t xml:space="preserve">Antwortoptionen:</w:t>
      </w:r>
    </w:p>
    <w:p>
      <w:pPr>
        <w:spacing w:after="40" w:before="0"/>
      </w:pPr>
      <w:r>
        <w:rPr>
          <w:rFonts w:ascii="Arial" w:cs="Arial" w:eastAsia="Arial" w:hAnsi="Arial"/>
          <w:sz w:val="18"/>
          <w:szCs w:val="18"/>
        </w:rPr>
        <w:t xml:space="preserve">stationär / B2B in Deutschland</w:t>
      </w:r>
    </w:p>
    <w:p>
      <w:pPr>
        <w:spacing w:after="40" w:before="0"/>
      </w:pPr>
      <w:r>
        <w:rPr>
          <w:rFonts w:ascii="Arial" w:cs="Arial" w:eastAsia="Arial" w:hAnsi="Arial"/>
          <w:sz w:val="18"/>
          <w:szCs w:val="18"/>
        </w:rPr>
        <w:t xml:space="preserve">Online-Verkauf an Endkunden in Deutschland</w:t>
      </w:r>
    </w:p>
    <w:p>
      <w:pPr>
        <w:spacing w:after="40" w:before="0"/>
      </w:pPr>
      <w:r>
        <w:rPr>
          <w:rFonts w:ascii="Arial" w:cs="Arial" w:eastAsia="Arial" w:hAnsi="Arial"/>
          <w:sz w:val="18"/>
          <w:szCs w:val="18"/>
        </w:rPr>
        <w:t xml:space="preserve">Online-Verkauf an Endkunden in anderen EU-Staaten</w:t>
      </w:r>
    </w:p>
    <w:p>
      <w:pPr>
        <w:spacing w:after="40" w:before="0"/>
      </w:pPr>
      <w:r>
        <w:rPr>
          <w:rFonts w:ascii="Arial" w:cs="Arial" w:eastAsia="Arial" w:hAnsi="Arial"/>
          <w:sz w:val="18"/>
          <w:szCs w:val="18"/>
        </w:rPr>
        <w:t xml:space="preserve">Export in Drittländer</w:t>
      </w:r>
    </w:p>
    <w:p>
      <w:pPr>
        <w:spacing w:after="40" w:before="0"/>
      </w:pPr>
      <w:r>
        <w:rPr>
          <w:rFonts w:ascii="Arial" w:cs="Arial" w:eastAsia="Arial" w:hAnsi="Arial"/>
          <w:sz w:val="18"/>
          <w:szCs w:val="18"/>
        </w:rPr>
        <w:t xml:space="preserve">Verkauf an Wiederverkäufer im EU-Ausland</w:t>
      </w:r>
    </w:p>
    <w:p>
      <w:pPr>
        <w:keepNext/>
        <w:pBdr>
          <w:top w:val="single" w:color="24A27F" w:sz="4" w:space="4"/>
        </w:pBdr>
        <w:spacing w:after="40" w:before="260"/>
      </w:pPr>
      <w:r>
        <w:rPr>
          <w:rFonts w:ascii="Arial" w:cs="Arial" w:eastAsia="Arial" w:hAnsi="Arial"/>
          <w:b/>
          <w:bCs/>
          <w:color w:val="004494"/>
          <w:sz w:val="22"/>
          <w:szCs w:val="22"/>
        </w:rPr>
        <w:t xml:space="preserve">F11  </w:t>
      </w:r>
      <w:r>
        <w:rPr>
          <w:rFonts w:ascii="Arial" w:cs="Arial" w:eastAsia="Arial" w:hAnsi="Arial"/>
          <w:b/>
          <w:bCs/>
          <w:sz w:val="22"/>
          <w:szCs w:val="22"/>
        </w:rPr>
        <w:t xml:space="preserve">Falls Sie Ware auspacken (siehe Tätigkeiten): Verwenden Sie die ausgepackten Produkte selbst, oder verkaufen/versenden Sie sie weiter?</w:t>
      </w:r>
    </w:p>
    <w:p>
      <w:pPr>
        <w:spacing w:after="60" w:before="0"/>
      </w:pPr>
      <w:r>
        <w:rPr>
          <w:rFonts w:ascii="Arial" w:cs="Arial" w:eastAsia="Arial" w:hAnsi="Arial"/>
          <w:color w:val="6B7280"/>
          <w:sz w:val="16"/>
          <w:szCs w:val="16"/>
        </w:rPr>
        <w:t xml:space="preserve">Ebene produktlinie · single_select · Variable ist_endabnehmer · Anzeige: taetigkeit ENTHÄLT packt_aus · speist Regeln: B4</w:t>
      </w:r>
    </w:p>
    <w:p>
      <w:pPr>
        <w:spacing w:after="20" w:before="60"/>
      </w:pPr>
      <w:r>
        <w:rPr>
          <w:rFonts w:ascii="Arial" w:cs="Arial" w:eastAsia="Arial" w:hAnsi="Arial"/>
          <w:b/>
          <w:bCs/>
          <w:sz w:val="18"/>
          <w:szCs w:val="18"/>
        </w:rPr>
        <w:t xml:space="preserve">Antwortoptionen:</w:t>
      </w:r>
    </w:p>
    <w:p>
      <w:pPr>
        <w:spacing w:after="40" w:before="0"/>
      </w:pPr>
      <w:r>
        <w:rPr>
          <w:rFonts w:ascii="Arial" w:cs="Arial" w:eastAsia="Arial" w:hAnsi="Arial"/>
          <w:sz w:val="18"/>
          <w:szCs w:val="18"/>
        </w:rPr>
        <w:t xml:space="preserve">wir verwenden sie selbst (Endabnehmer)</w:t>
      </w:r>
    </w:p>
    <w:p>
      <w:pPr>
        <w:spacing w:after="40" w:before="0"/>
      </w:pPr>
      <w:r>
        <w:rPr>
          <w:rFonts w:ascii="Arial" w:cs="Arial" w:eastAsia="Arial" w:hAnsi="Arial"/>
          <w:sz w:val="18"/>
          <w:szCs w:val="18"/>
        </w:rPr>
        <w:t xml:space="preserve">wir verkaufen oder versenden sie weiter</w:t>
      </w:r>
    </w:p>
    <w:p>
      <w:pPr>
        <w:keepNext/>
        <w:pBdr>
          <w:top w:val="single" w:color="24A27F" w:sz="4" w:space="4"/>
        </w:pBdr>
        <w:spacing w:after="40" w:before="260"/>
      </w:pPr>
      <w:r>
        <w:rPr>
          <w:rFonts w:ascii="Arial" w:cs="Arial" w:eastAsia="Arial" w:hAnsi="Arial"/>
          <w:b/>
          <w:bCs/>
          <w:color w:val="004494"/>
          <w:sz w:val="22"/>
          <w:szCs w:val="22"/>
        </w:rPr>
        <w:t xml:space="preserve">F12  </w:t>
      </w:r>
      <w:r>
        <w:rPr>
          <w:rFonts w:ascii="Arial" w:cs="Arial" w:eastAsia="Arial" w:hAnsi="Arial"/>
          <w:b/>
          <w:bCs/>
          <w:sz w:val="22"/>
          <w:szCs w:val="22"/>
        </w:rPr>
        <w:t xml:space="preserve">Falls Fulfillment für Dritte: Welche Leistungen erbringen Sie, und gehört Ihnen die Ware?</w:t>
      </w:r>
    </w:p>
    <w:p>
      <w:pPr>
        <w:spacing w:after="60" w:before="0"/>
      </w:pPr>
      <w:r>
        <w:rPr>
          <w:rFonts w:ascii="Arial" w:cs="Arial" w:eastAsia="Arial" w:hAnsi="Arial"/>
          <w:color w:val="6B7280"/>
          <w:sz w:val="16"/>
          <w:szCs w:val="16"/>
        </w:rPr>
        <w:t xml:space="preserve">Ebene produktlinie · multi_select · Variable dienstleistungen; eigentum_an_ware · Anzeige: taetigkeit ENTHÄLT lagert_und_versendet_fuer_dritte · speist Regeln: C4</w:t>
      </w:r>
    </w:p>
    <w:p>
      <w:pPr>
        <w:spacing w:after="20" w:before="60"/>
      </w:pPr>
      <w:r>
        <w:rPr>
          <w:rFonts w:ascii="Arial" w:cs="Arial" w:eastAsia="Arial" w:hAnsi="Arial"/>
          <w:b/>
          <w:bCs/>
          <w:sz w:val="18"/>
          <w:szCs w:val="18"/>
        </w:rPr>
        <w:t xml:space="preserve">Antwortoptionen:</w:t>
      </w:r>
    </w:p>
    <w:p>
      <w:pPr>
        <w:spacing w:after="40" w:before="0"/>
      </w:pPr>
      <w:r>
        <w:rPr>
          <w:rFonts w:ascii="Arial" w:cs="Arial" w:eastAsia="Arial" w:hAnsi="Arial"/>
          <w:sz w:val="18"/>
          <w:szCs w:val="18"/>
        </w:rPr>
        <w:t xml:space="preserve">Lagerhaltung</w:t>
      </w:r>
    </w:p>
    <w:p>
      <w:pPr>
        <w:spacing w:after="40" w:before="0"/>
      </w:pPr>
      <w:r>
        <w:rPr>
          <w:rFonts w:ascii="Arial" w:cs="Arial" w:eastAsia="Arial" w:hAnsi="Arial"/>
          <w:sz w:val="18"/>
          <w:szCs w:val="18"/>
        </w:rPr>
        <w:t xml:space="preserve">Verpackung</w:t>
      </w:r>
    </w:p>
    <w:p>
      <w:pPr>
        <w:spacing w:after="40" w:before="0"/>
      </w:pPr>
      <w:r>
        <w:rPr>
          <w:rFonts w:ascii="Arial" w:cs="Arial" w:eastAsia="Arial" w:hAnsi="Arial"/>
          <w:sz w:val="18"/>
          <w:szCs w:val="18"/>
        </w:rPr>
        <w:t xml:space="preserve">Adressierung</w:t>
      </w:r>
    </w:p>
    <w:p>
      <w:pPr>
        <w:spacing w:after="40" w:before="0"/>
      </w:pPr>
      <w:r>
        <w:rPr>
          <w:rFonts w:ascii="Arial" w:cs="Arial" w:eastAsia="Arial" w:hAnsi="Arial"/>
          <w:sz w:val="18"/>
          <w:szCs w:val="18"/>
        </w:rPr>
        <w:t xml:space="preserve">Versand</w:t>
      </w:r>
    </w:p>
    <w:p>
      <w:pPr>
        <w:spacing w:after="40" w:before="0"/>
      </w:pPr>
      <w:r>
        <w:rPr>
          <w:rFonts w:ascii="Arial" w:cs="Arial" w:eastAsia="Arial" w:hAnsi="Arial"/>
          <w:sz w:val="18"/>
          <w:szCs w:val="18"/>
        </w:rPr>
        <w:t xml:space="preserve">die Ware gehört uns (Eigentum)</w:t>
      </w:r>
    </w:p>
    <w:p>
      <w:pPr>
        <w:keepNext/>
        <w:pBdr>
          <w:top w:val="single" w:color="24A27F" w:sz="4" w:space="4"/>
        </w:pBdr>
        <w:spacing w:after="40" w:before="260"/>
      </w:pPr>
      <w:r>
        <w:rPr>
          <w:rFonts w:ascii="Arial" w:cs="Arial" w:eastAsia="Arial" w:hAnsi="Arial"/>
          <w:b/>
          <w:bCs/>
          <w:color w:val="004494"/>
          <w:sz w:val="22"/>
          <w:szCs w:val="22"/>
        </w:rPr>
        <w:t xml:space="preserve">F13  </w:t>
      </w:r>
      <w:r>
        <w:rPr>
          <w:rFonts w:ascii="Arial" w:cs="Arial" w:eastAsia="Arial" w:hAnsi="Arial"/>
          <w:b/>
          <w:bCs/>
          <w:sz w:val="22"/>
          <w:szCs w:val="22"/>
        </w:rPr>
        <w:t xml:space="preserve">Hat der Lebensmittelkontakt für diese Produktlinie Relevanz (Verpackung kommt mit Lebensmitteln in Berührung)?</w:t>
      </w:r>
    </w:p>
    <w:p>
      <w:pPr>
        <w:spacing w:after="60" w:before="0"/>
      </w:pPr>
      <w:r>
        <w:rPr>
          <w:rFonts w:ascii="Arial" w:cs="Arial" w:eastAsia="Arial" w:hAnsi="Arial"/>
          <w:color w:val="6B7280"/>
          <w:sz w:val="16"/>
          <w:szCs w:val="16"/>
        </w:rPr>
        <w:t xml:space="preserve">Ebene produktlinie · single_select · Variable lebensmittelkontakt · Anzeige: immer · speist Regeln: — (speist Schicht 2: PFAS Art. 5 Abs. 5 u. a.)</w:t>
      </w:r>
    </w:p>
    <w:p>
      <w:pPr>
        <w:spacing w:after="20" w:before="60"/>
      </w:pPr>
      <w:r>
        <w:rPr>
          <w:rFonts w:ascii="Arial" w:cs="Arial" w:eastAsia="Arial" w:hAnsi="Arial"/>
          <w:b/>
          <w:bCs/>
          <w:sz w:val="18"/>
          <w:szCs w:val="18"/>
        </w:rPr>
        <w:t xml:space="preserve">Antwortoptionen:</w:t>
      </w:r>
    </w:p>
    <w:p>
      <w:pPr>
        <w:spacing w:after="40" w:before="0"/>
      </w:pPr>
      <w:r>
        <w:rPr>
          <w:rFonts w:ascii="Arial" w:cs="Arial" w:eastAsia="Arial" w:hAnsi="Arial"/>
          <w:sz w:val="18"/>
          <w:szCs w:val="18"/>
        </w:rPr>
        <w:t xml:space="preserve">ja</w:t>
      </w:r>
    </w:p>
    <w:p>
      <w:pPr>
        <w:spacing w:after="40" w:before="0"/>
      </w:pPr>
      <w:r>
        <w:rPr>
          <w:rFonts w:ascii="Arial" w:cs="Arial" w:eastAsia="Arial" w:hAnsi="Arial"/>
          <w:sz w:val="18"/>
          <w:szCs w:val="18"/>
        </w:rPr>
        <w:t xml:space="preserve">nein</w:t>
      </w:r>
    </w:p>
    <w:p>
      <w:pPr>
        <w:spacing w:after="20" w:before="60"/>
      </w:pPr>
      <w:r>
        <w:rPr>
          <w:rFonts w:ascii="Arial" w:cs="Arial" w:eastAsia="Arial" w:hAnsi="Arial"/>
          <w:b/>
          <w:bCs/>
          <w:sz w:val="18"/>
          <w:szCs w:val="18"/>
        </w:rPr>
        <w:t xml:space="preserve">Hinweis im UI:</w:t>
      </w:r>
    </w:p>
    <w:p>
      <w:pPr>
        <w:spacing w:after="40" w:before="0"/>
      </w:pPr>
      <w:r>
        <w:rPr>
          <w:rFonts w:ascii="Arial" w:cs="Arial" w:eastAsia="Arial" w:hAnsi="Arial"/>
          <w:sz w:val="18"/>
          <w:szCs w:val="18"/>
        </w:rPr>
        <w:t xml:space="preserve">Keine Rollenfrage; wird für die Anforderungs-Matrix (Schicht 2) erhoben.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Seite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von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4A27F" w:sz="4" w:space="4"/>
      </w:pBdr>
    </w:pPr>
    <w:r>
      <w:rPr>
        <w:rFonts w:ascii="Arial" w:cs="Arial" w:eastAsia="Arial" w:hAnsi="Arial"/>
        <w:color w:val="6B7280"/>
        <w:sz w:val="16"/>
        <w:szCs w:val="16"/>
      </w:rPr>
      <w:t xml:space="preserve">PPWR Radar – by packaging journal · Anhang Volltexte · Rechtsstand 30.10.2026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Anhang Volltexte – Prüfpaket Cattwyk – Rechtsstand 30.10.2026</dc:title>
  <dc:creator>PPWR Radar – packaging journal</dc:creator>
  <cp:lastModifiedBy>Un-named</cp:lastModifiedBy>
  <cp:revision>1</cp:revision>
  <dcterms:created xsi:type="dcterms:W3CDTF">2026-10-30T16:18:49.798Z</dcterms:created>
  <dcterms:modified xsi:type="dcterms:W3CDTF">2026-10-30T16:18:49.799Z</dcterms:modified>
</cp:coreProperties>
</file>

<file path=docProps/custom.xml><?xml version="1.0" encoding="utf-8"?>
<Properties xmlns="http://schemas.openxmlformats.org/officeDocument/2006/custom-properties" xmlns:vt="http://schemas.openxmlformats.org/officeDocument/2006/docPropsVTypes"/>
</file>