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Memorandum</w:t>
      </w:r>
    </w:p>
    <w:p>
      <w:r>
        <w:rPr>
          <w:b/>
        </w:rPr>
        <w:t xml:space="preserve">To: </w:t>
      </w:r>
      <w:r>
        <w:t>File; Zoë Müller (Procurement)</w:t>
      </w:r>
    </w:p>
    <w:p>
      <w:r>
        <w:rPr>
          <w:b/>
        </w:rPr>
        <w:t xml:space="preserve">From: </w:t>
      </w:r>
      <w:r>
        <w:t>Marcus Delacroix-Hale, General Counsel</w:t>
      </w:r>
    </w:p>
    <w:p>
      <w:r>
        <w:rPr>
          <w:b/>
        </w:rPr>
        <w:t xml:space="preserve">Date: </w:t>
      </w:r>
      <w:r>
        <w:t>March 27, 2026</w:t>
      </w:r>
    </w:p>
    <w:p>
      <w:r>
        <w:rPr>
          <w:b/>
        </w:rPr>
        <w:t xml:space="preserve">Re: </w:t>
      </w:r>
      <w:r>
        <w:t>Harrowgate demand — INV-2026/0347 / PO-BMS-26-0112</w:t>
      </w:r>
    </w:p>
    <w:p>
      <w:pPr>
        <w:pStyle w:val="Heading2"/>
      </w:pPr>
      <w:r>
        <w:t>Question</w:t>
      </w:r>
    </w:p>
    <w:p>
      <w:r>
        <w:t>Whether Bellwether owes Harrowgate $48,612.50 for a pallet that Harrowgate says was delivered on February 24, 2026 and that procurement says was never received.</w:t>
      </w:r>
    </w:p>
    <w:p>
      <w:pPr>
        <w:pStyle w:val="Heading2"/>
      </w:pPr>
      <w:r>
        <w:t>Short answer</w:t>
      </w:r>
    </w:p>
    <w:p>
      <w:r>
        <w:t>Probably not, but the Q-3 pallet is a real problem. If the unlabeled pallet that sat in Q-3 from February 24 to March 4 was Harrowgate’s, an arbitrator could find that tender occurred and that our own labeling rule, not non-delivery, is why we did not process it.</w:t>
      </w:r>
    </w:p>
    <w:p>
      <w:pPr>
        <w:pStyle w:val="Heading2"/>
      </w:pPr>
      <w:r>
        <w:t>Facts</w:t>
      </w:r>
    </w:p>
    <w:p>
      <w:pPr>
        <w:pStyle w:val="ListBullet"/>
      </w:pPr>
      <w:r>
        <w:t>Receiving log entry RCV-26-0224-07 records an unlabeled pallet at Dock 4 at 14:52 on February 24 with “HFS” printed on the wrap. José Ibáñez, a dock associate, signed the carrier’s handheld and wrote “TK” because Tom Kettering is the supervisor of record. Tom was offsite.</w:t>
      </w:r>
    </w:p>
    <w:p>
      <w:pPr>
        <w:pStyle w:val="ListBullet"/>
      </w:pPr>
      <w:r>
        <w:t>Tom reviewed the discrepancy report on March 2, did not connect it to PO-BMS-26-0112, and asked Tri-County to collect the pallet. Tri-County collected it on March 4.</w:t>
      </w:r>
    </w:p>
    <w:p>
      <w:pPr>
        <w:pStyle w:val="ListBullet"/>
      </w:pPr>
      <w:r>
        <w:t>Zoë says she raised non-arrival with Dana Okafor by phone on March 2. Harrowgate’s call notes (which we have not seen) may not agree. Her first written notice is the March 9 email.</w:t>
      </w:r>
    </w:p>
    <w:p>
      <w:pPr>
        <w:pStyle w:val="Heading2"/>
      </w:pPr>
      <w:r>
        <w:t>Analysis</w:t>
      </w:r>
    </w:p>
    <w:p>
      <w:r>
        <w:t>Under §5 of the MSA “Delivery” requires tender at the dock evidenced by a receipt signed by our receiving personnel. José is receiving personnel. The “TK” initials are a problem only for the witness, not for the contract. Our better argument is §6: the pallet had no PO and no packing list, and §6 expressly allows quarantine or refusal. A refusal under §6 means the goods were never accepted and risk of loss stayed with Harrowgate (UCC § 2-510 by analogy; Ohio R.C. 1302.53).</w:t>
      </w:r>
    </w:p>
    <w:p>
      <w:r>
        <w:t>The §7.2 ten-day notice argument is weaker for Harrowgate than its letter suggests, because the clause speaks of non-receipt of delivered goods. But we should not rely on the March 2 phone call unless there is a record of it.</w:t>
      </w:r>
    </w:p>
    <w:p>
      <w:pPr>
        <w:pStyle w:val="Heading2"/>
      </w:pPr>
      <w:r>
        <w:t>Recommendations</w:t>
      </w:r>
    </w:p>
    <w:p>
      <w:pPr>
        <w:pStyle w:val="ListNumber"/>
      </w:pPr>
      <w:r>
        <w:t>Issue a litigation hold to Procurement, Receiving and AP today.</w:t>
      </w:r>
    </w:p>
    <w:p>
      <w:pPr>
        <w:pStyle w:val="ListNumber"/>
      </w:pPr>
      <w:r>
        <w:t>Preserve Dock 4 camera footage for February 24 (retention is 45 days — it will be overwritten on April 10).</w:t>
      </w:r>
    </w:p>
    <w:p>
      <w:pPr>
        <w:pStyle w:val="ListNumber"/>
      </w:pPr>
      <w:r>
        <w:t>Ask Tri-County to photograph the pallet held under storage no. RS-2026-0412 without opening it.</w:t>
      </w:r>
    </w:p>
    <w:p>
      <w:pPr>
        <w:pStyle w:val="ListNumber"/>
      </w:pPr>
      <w:r>
        <w:t>Prepare Tom Kettering for a deposition; he should be candid that the wrap said HFS.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PRIVILEGED &amp; CONFIDENTIAL — ATTORNEY WORK PRODUCT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Privileged memo - Harrowgate shipment dispute</dc:title>
  <dc:subject/>
  <dc:creator>Marcus Delacroix-Hale</dc:creator>
  <cp:keywords/>
  <dc:description>generated by python-docx</dc:description>
  <cp:lastModifiedBy/>
  <cp:revision>1</cp:revision>
  <dcterms:created xsi:type="dcterms:W3CDTF">2026-03-27T18:00:00Z</dcterms:created>
  <dcterms:modified xsi:type="dcterms:W3CDTF">2026-03-27T18:00:00Z</dcterms:modified>
  <cp:category/>
</cp:coreProperties>
</file>