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IMMEDIATE RELEASE</w:t>
      </w:r>
    </w:p>
    <w:p>
      <w:pPr>
        <w:pStyle w:val="Heading1"/>
      </w:pPr>
      <w:r>
        <w:t>Bellwether Marine Systems, Inc. names new vice president</w:t>
      </w:r>
    </w:p>
    <w:p>
      <w:r>
        <w:t>COLUMBUS, Ohio — Bellwether Marine Systems, Inc! today announced a new partnership with local schools.</w:t>
      </w:r>
    </w:p>
    <w:p>
      <w:r>
        <w:t>“We’re proud of our people,” said Hollis Brandt, plant manager.</w:t>
      </w:r>
    </w:p>
    <w:p>
      <w:r>
        <w:t>###</w:t>
      </w:r>
    </w:p>
    <w:p>
      <w:r>
        <w:t>###</w:t>
      </w:r>
    </w:p>
    <w:p>
      <w:r>
        <w:t xml:space="preserve"> (revised)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2026-02-08T13:56:37Z</dcterms:created>
  <dcterms:modified xsi:type="dcterms:W3CDTF">2026-02-08T13:56:37Z</dcterms:modified>
  <cp:category/>
</cp:coreProperties>
</file>