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IMMEDIATE RELEASE</w:t>
      </w:r>
    </w:p>
    <w:p>
      <w:pPr>
        <w:pStyle w:val="Heading1"/>
      </w:pPr>
      <w:r>
        <w:t>Bellwether Marine Systems, Inc. celebrates anniversary</w:t>
      </w:r>
    </w:p>
    <w:p>
      <w:r>
        <w:t>NORFOLK, Va. — Bellwether Marine Systems, Inc. today announced a milestone year.</w:t>
      </w:r>
    </w:p>
    <w:p>
      <w:r>
        <w:t>“This is a great day for our team,” said Arthur Pell, president.</w:t>
      </w:r>
    </w:p>
    <w:p>
      <w:r>
        <w:t>###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Hollis Brandt</dc:creator>
  <cp:keywords/>
  <dc:description>generated by python-docx</dc:description>
  <cp:lastModifiedBy/>
  <cp:revision>1</cp:revision>
  <dcterms:created xsi:type="dcterms:W3CDTF">2025-09-10T23:58:08Z</dcterms:created>
  <dcterms:modified xsi:type="dcterms:W3CDTF">2025-09-10T23:58:08Z</dcterms:modified>
  <cp:category/>
</cp:coreProperties>
</file>