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SUPPLY AGREEMENT</w:t>
      </w:r>
    </w:p>
    <w:p>
      <w:r>
        <w:t>This Master Supply Agreement (the “Agreement”) is made as of November 3, 2025 between Harrowgate Fastener Supply Co., an Ohio corporation (“Seller”), and Bellwether Marine Systems, Inc., a Virginia corporation (“Buyer”).</w:t>
      </w:r>
    </w:p>
    <w:p>
      <w:pPr>
        <w:pStyle w:val="Heading2"/>
      </w:pPr>
      <w:r>
        <w:t>1. Scope</w:t>
      </w:r>
    </w:p>
    <w:p>
      <w:r>
        <w:t>Seller will sell and Buyer will purchase the fasteners and consumables listed in Schedule A, in the quantities stated in Buyer’s written purchase orders. Each purchase order is governed by this Agreement.</w:t>
      </w:r>
    </w:p>
    <w:p>
      <w:pPr>
        <w:pStyle w:val="Heading2"/>
      </w:pPr>
      <w:r>
        <w:t>2. Orders</w:t>
      </w:r>
    </w:p>
    <w:p>
      <w:r>
        <w:t>Seller will acknowledge each purchase order in writing within two (2) business days. An acknowledged purchase order is binding on both parties.</w:t>
      </w:r>
    </w:p>
    <w:p>
      <w:pPr>
        <w:pStyle w:val="Heading2"/>
      </w:pPr>
      <w:r>
        <w:t>3. Prices</w:t>
      </w:r>
    </w:p>
    <w:p>
      <w:r>
        <w:t>Prices are as set out in Schedule A and are fixed through December 31, 2026. Freight is prepaid by Seller and added to the invoice at cost.</w:t>
      </w:r>
    </w:p>
    <w:p>
      <w:pPr>
        <w:pStyle w:val="Heading2"/>
      </w:pPr>
      <w:r>
        <w:t>4. Invoicing and Payment</w:t>
      </w:r>
    </w:p>
    <w:p>
      <w:r>
        <w:t>4.1 Seller will invoice upon shipment. 4.2 Payment is due fifteen (15) days after the invoice date (“Net 15”). 4.3 Late payments bear interest at one and one-half percent (1.5%) per month or the highest lawful rate, if less.</w:t>
      </w:r>
    </w:p>
    <w:p>
      <w:pPr>
        <w:pStyle w:val="Heading2"/>
      </w:pPr>
      <w:r>
        <w:t>5. Delivery; Risk of Loss</w:t>
      </w:r>
    </w:p>
    <w:p>
      <w:r>
        <w:t>All deliveries are FOB Destination, Buyer’s receiving dock. Title and risk of loss pass to Buyer upon delivery. “Delivery” means physical tender at Buyer’s receiving dock during receiving hours, evidenced by a delivery receipt signed by Buyer’s receiving personnel.</w:t>
      </w:r>
    </w:p>
    <w:p>
      <w:pPr>
        <w:pStyle w:val="Heading2"/>
      </w:pPr>
      <w:r>
        <w:t>6. Packaging and Labeling</w:t>
      </w:r>
    </w:p>
    <w:p>
      <w:r>
        <w:t>Each pallet must bear the Buyer purchase order number and a packing list. Buyer may quarantine or refuse any pallet that does not.</w:t>
      </w:r>
    </w:p>
    <w:p>
      <w:pPr>
        <w:pStyle w:val="Heading2"/>
      </w:pPr>
      <w:r>
        <w:t>7. Inspection; Notice of Claims</w:t>
      </w:r>
    </w:p>
    <w:p>
      <w:r>
        <w:t>7.1 Buyer may inspect goods within five (5) business days after delivery and reject non-conforming goods by written notice. 7.2 Any claim of non-receipt or shortage must be made in writing within ten (10) days after the invoice date, or it is waived.</w:t>
      </w:r>
    </w:p>
    <w:p>
      <w:pPr>
        <w:pStyle w:val="Heading2"/>
      </w:pPr>
      <w:r>
        <w:t>8. Warranty</w:t>
      </w:r>
    </w:p>
    <w:p>
      <w:r>
        <w:t>Seller warrants that the goods conform to Schedule A and to the material specifications stated there for twelve (12) months after delivery.</w:t>
      </w:r>
    </w:p>
    <w:p>
      <w:pPr>
        <w:pStyle w:val="Heading2"/>
      </w:pPr>
      <w:r>
        <w:t>9. Limitation of Liability</w:t>
      </w:r>
    </w:p>
    <w:p>
      <w:r>
        <w:t>Neither party is liable for consequential or punitive damages. Seller’s aggregate liability under any purchase order is limited to the price of that order.</w:t>
      </w:r>
    </w:p>
    <w:p>
      <w:pPr>
        <w:pStyle w:val="Heading2"/>
      </w:pPr>
      <w:r>
        <w:t>10. Term</w:t>
      </w:r>
    </w:p>
    <w:p>
      <w:r>
        <w:t>This Agreement runs until December 31, 2026 and renews for one-year terms unless either party gives sixty (60) days’ written notice.</w:t>
      </w:r>
    </w:p>
    <w:p>
      <w:pPr>
        <w:pStyle w:val="Heading2"/>
      </w:pPr>
      <w:r>
        <w:t>11. Governing Law</w:t>
      </w:r>
    </w:p>
    <w:p>
      <w:r>
        <w:t>This Agreement is governed by the laws of the State of Ohio, including Article 2 of the Uniform Commercial Code as adopted in Ohio.</w:t>
      </w:r>
    </w:p>
    <w:p>
      <w:pPr>
        <w:pStyle w:val="Heading2"/>
      </w:pPr>
      <w:r>
        <w:t>12. Dispute Resolution</w:t>
      </w:r>
    </w:p>
    <w:p>
      <w:r>
        <w:t>Any dispute arising out of this Agreement will be resolved by binding arbitration administered by the American Arbitration Association under its Commercial Arbitration Rules, before a single arbitrator, seated in Columbus, Ohio. Judgment on the award may be entered in any court having jurisdiction. The prevailing party may recover reasonable attorneys’ fees.</w:t>
      </w:r>
    </w:p>
    <w:p>
      <w:r>
        <w:br w:type="page"/>
      </w:r>
    </w:p>
    <w:p>
      <w:pPr>
        <w:pStyle w:val="Heading1"/>
      </w:pPr>
      <w:r>
        <w:t>Schedule A — Products and Prices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Part No.</w:t>
            </w:r>
          </w:p>
        </w:tc>
        <w:tc>
          <w:tcPr>
            <w:tcW w:type="dxa" w:w="1728"/>
          </w:tcPr>
          <w:p>
            <w:r>
              <w:t>Description</w:t>
            </w:r>
          </w:p>
        </w:tc>
        <w:tc>
          <w:tcPr>
            <w:tcW w:type="dxa" w:w="1728"/>
          </w:tcPr>
          <w:p>
            <w:r>
              <w:t>Material</w:t>
            </w:r>
          </w:p>
        </w:tc>
        <w:tc>
          <w:tcPr>
            <w:tcW w:type="dxa" w:w="1728"/>
          </w:tcPr>
          <w:p>
            <w:r>
              <w:t>Unit</w:t>
            </w:r>
          </w:p>
        </w:tc>
        <w:tc>
          <w:tcPr>
            <w:tcW w:type="dxa" w:w="1728"/>
          </w:tcPr>
          <w:p>
            <w:r>
              <w:t>Price (USD)</w:t>
            </w:r>
          </w:p>
        </w:tc>
      </w:tr>
      <w:tr>
        <w:tc>
          <w:tcPr>
            <w:tcW w:type="dxa" w:w="1728"/>
          </w:tcPr>
          <w:p>
            <w:r>
              <w:t>PN 44-B/7</w:t>
            </w:r>
          </w:p>
        </w:tc>
        <w:tc>
          <w:tcPr>
            <w:tcW w:type="dxa" w:w="1728"/>
          </w:tcPr>
          <w:p>
            <w:r>
              <w:t>Hex flange bolt M10×1.25×40</w:t>
            </w:r>
          </w:p>
        </w:tc>
        <w:tc>
          <w:tcPr>
            <w:tcW w:type="dxa" w:w="1728"/>
          </w:tcPr>
          <w:p>
            <w:r>
              <w:t>316 SS, EN 10204 3.1 cert</w:t>
            </w:r>
          </w:p>
        </w:tc>
        <w:tc>
          <w:tcPr>
            <w:tcW w:type="dxa" w:w="1728"/>
          </w:tcPr>
          <w:p>
            <w:r>
              <w:t>each</w:t>
            </w:r>
          </w:p>
        </w:tc>
        <w:tc>
          <w:tcPr>
            <w:tcW w:type="dxa" w:w="1728"/>
          </w:tcPr>
          <w:p>
            <w:r>
              <w:t>2.85</w:t>
            </w:r>
          </w:p>
        </w:tc>
      </w:tr>
      <w:tr>
        <w:tc>
          <w:tcPr>
            <w:tcW w:type="dxa" w:w="1728"/>
          </w:tcPr>
          <w:p>
            <w:r>
              <w:t>PN 44-B/9</w:t>
            </w:r>
          </w:p>
        </w:tc>
        <w:tc>
          <w:tcPr>
            <w:tcW w:type="dxa" w:w="1728"/>
          </w:tcPr>
          <w:p>
            <w:r>
              <w:t>Hex flange bolt M10×1.25×60</w:t>
            </w:r>
          </w:p>
        </w:tc>
        <w:tc>
          <w:tcPr>
            <w:tcW w:type="dxa" w:w="1728"/>
          </w:tcPr>
          <w:p>
            <w:r>
              <w:t>316 SS, EN 10204 3.1 cert</w:t>
            </w:r>
          </w:p>
        </w:tc>
        <w:tc>
          <w:tcPr>
            <w:tcW w:type="dxa" w:w="1728"/>
          </w:tcPr>
          <w:p>
            <w:r>
              <w:t>each</w:t>
            </w:r>
          </w:p>
        </w:tc>
        <w:tc>
          <w:tcPr>
            <w:tcW w:type="dxa" w:w="1728"/>
          </w:tcPr>
          <w:p>
            <w:r>
              <w:t>3.40</w:t>
            </w:r>
          </w:p>
        </w:tc>
      </w:tr>
      <w:tr>
        <w:tc>
          <w:tcPr>
            <w:tcW w:type="dxa" w:w="1728"/>
          </w:tcPr>
          <w:p>
            <w:r>
              <w:t>PN 44-C/2</w:t>
            </w:r>
          </w:p>
        </w:tc>
        <w:tc>
          <w:tcPr>
            <w:tcW w:type="dxa" w:w="1728"/>
          </w:tcPr>
          <w:p>
            <w:r>
              <w:t>Split lock washer M10</w:t>
            </w:r>
          </w:p>
        </w:tc>
        <w:tc>
          <w:tcPr>
            <w:tcW w:type="dxa" w:w="1728"/>
          </w:tcPr>
          <w:p>
            <w:r>
              <w:t>316 SS</w:t>
            </w:r>
          </w:p>
        </w:tc>
        <w:tc>
          <w:tcPr>
            <w:tcW w:type="dxa" w:w="1728"/>
          </w:tcPr>
          <w:p>
            <w:r>
              <w:t>each</w:t>
            </w:r>
          </w:p>
        </w:tc>
        <w:tc>
          <w:tcPr>
            <w:tcW w:type="dxa" w:w="1728"/>
          </w:tcPr>
          <w:p>
            <w:r>
              <w:t>0.19</w:t>
            </w:r>
          </w:p>
        </w:tc>
      </w:tr>
      <w:tr>
        <w:tc>
          <w:tcPr>
            <w:tcW w:type="dxa" w:w="1728"/>
          </w:tcPr>
          <w:p>
            <w:r>
              <w:t>PN 17-K.3/A</w:t>
            </w:r>
          </w:p>
        </w:tc>
        <w:tc>
          <w:tcPr>
            <w:tcW w:type="dxa" w:w="1728"/>
          </w:tcPr>
          <w:p>
            <w:r>
              <w:t>Nylon-insert lock nut M10</w:t>
            </w:r>
          </w:p>
        </w:tc>
        <w:tc>
          <w:tcPr>
            <w:tcW w:type="dxa" w:w="1728"/>
          </w:tcPr>
          <w:p>
            <w:r>
              <w:t>316 SS</w:t>
            </w:r>
          </w:p>
        </w:tc>
        <w:tc>
          <w:tcPr>
            <w:tcW w:type="dxa" w:w="1728"/>
          </w:tcPr>
          <w:p>
            <w:r>
              <w:t>each</w:t>
            </w:r>
          </w:p>
        </w:tc>
        <w:tc>
          <w:tcPr>
            <w:tcW w:type="dxa" w:w="1728"/>
          </w:tcPr>
          <w:p>
            <w:r>
              <w:t>0.41</w:t>
            </w:r>
          </w:p>
        </w:tc>
      </w:tr>
      <w:tr>
        <w:tc>
          <w:tcPr>
            <w:tcW w:type="dxa" w:w="1728"/>
          </w:tcPr>
          <w:p>
            <w:r>
              <w:t>PN 17-K.3/B</w:t>
            </w:r>
          </w:p>
        </w:tc>
        <w:tc>
          <w:tcPr>
            <w:tcW w:type="dxa" w:w="1728"/>
          </w:tcPr>
          <w:p>
            <w:r>
              <w:t>Nylon-insert lock nut M12</w:t>
            </w:r>
          </w:p>
        </w:tc>
        <w:tc>
          <w:tcPr>
            <w:tcW w:type="dxa" w:w="1728"/>
          </w:tcPr>
          <w:p>
            <w:r>
              <w:t>316 SS</w:t>
            </w:r>
          </w:p>
        </w:tc>
        <w:tc>
          <w:tcPr>
            <w:tcW w:type="dxa" w:w="1728"/>
          </w:tcPr>
          <w:p>
            <w:r>
              <w:t>each</w:t>
            </w:r>
          </w:p>
        </w:tc>
        <w:tc>
          <w:tcPr>
            <w:tcW w:type="dxa" w:w="1728"/>
          </w:tcPr>
          <w:p>
            <w:r>
              <w:t>0.58</w:t>
            </w:r>
          </w:p>
        </w:tc>
      </w:tr>
      <w:tr>
        <w:tc>
          <w:tcPr>
            <w:tcW w:type="dxa" w:w="1728"/>
          </w:tcPr>
          <w:p>
            <w:r>
              <w:t>PN 90-T/12</w:t>
            </w:r>
          </w:p>
        </w:tc>
        <w:tc>
          <w:tcPr>
            <w:tcW w:type="dxa" w:w="1728"/>
          </w:tcPr>
          <w:p>
            <w:r>
              <w:t>Thread sealant, marine grade, 50 ml</w:t>
            </w:r>
          </w:p>
        </w:tc>
        <w:tc>
          <w:tcPr>
            <w:tcW w:type="dxa" w:w="1728"/>
          </w:tcPr>
          <w:p>
            <w:r>
              <w:t>—</w:t>
            </w:r>
          </w:p>
        </w:tc>
        <w:tc>
          <w:tcPr>
            <w:tcW w:type="dxa" w:w="1728"/>
          </w:tcPr>
          <w:p>
            <w:r>
              <w:t>tube</w:t>
            </w:r>
          </w:p>
        </w:tc>
        <w:tc>
          <w:tcPr>
            <w:tcW w:type="dxa" w:w="1728"/>
          </w:tcPr>
          <w:p>
            <w:r>
              <w:t>11.40</w:t>
            </w:r>
          </w:p>
        </w:tc>
      </w:tr>
    </w:tbl>
    <w:p/>
    <w:p>
      <w:r>
        <w:t>IN WITNESS WHEREOF, the parties have signed this Agreement as of the date first written above.</w:t>
      </w:r>
    </w:p>
    <w:tbl>
      <w:tblPr>
        <w:tblW w:type="auto" w:w="0"/>
        <w:tblLook w:firstColumn="1" w:firstRow="1" w:lastColumn="0" w:lastRow="0" w:noHBand="0" w:noVBand="1" w:val="04A0"/>
      </w:tblPr>
      <w:tblGrid>
        <w:gridCol w:w="4320"/>
        <w:gridCol w:w="4320"/>
      </w:tblGrid>
      <w:tr>
        <w:tc>
          <w:tcPr>
            <w:tcW w:type="dxa" w:w="4320"/>
          </w:tcPr>
          <w:p>
            <w:r>
              <w:t>HARROWGATE FASTENER SUPPLY CO.</w:t>
            </w:r>
          </w:p>
        </w:tc>
        <w:tc>
          <w:tcPr>
            <w:tcW w:type="dxa" w:w="4320"/>
          </w:tcPr>
          <w:p>
            <w:r>
              <w:t>BELLWETHER MARINE SYSTEMS, INC.</w:t>
            </w:r>
          </w:p>
        </w:tc>
      </w:tr>
      <w:tr>
        <w:tc>
          <w:tcPr>
            <w:tcW w:type="dxa" w:w="4320"/>
          </w:tcPr>
          <w:p>
            <w:r>
              <w:t>By: /s/ Raymond Voss</w:t>
            </w:r>
          </w:p>
        </w:tc>
        <w:tc>
          <w:tcPr>
            <w:tcW w:type="dxa" w:w="4320"/>
          </w:tcPr>
          <w:p>
            <w:r>
              <w:t>By: /s/ Marcus Delacroix-Hale</w:t>
            </w:r>
          </w:p>
        </w:tc>
      </w:tr>
      <w:tr>
        <w:tc>
          <w:tcPr>
            <w:tcW w:type="dxa" w:w="4320"/>
          </w:tcPr>
          <w:p>
            <w:r>
              <w:t>Raymond Voss, Controller</w:t>
            </w:r>
          </w:p>
        </w:tc>
        <w:tc>
          <w:tcPr>
            <w:tcW w:type="dxa" w:w="4320"/>
          </w:tcPr>
          <w:p>
            <w:r>
              <w:t>Marcus Delacroix-Hale, General Counsel</w:t>
            </w:r>
          </w:p>
        </w:tc>
      </w:tr>
      <w:tr>
        <w:tc>
          <w:tcPr>
            <w:tcW w:type="dxa" w:w="4320"/>
          </w:tcPr>
          <w:p>
            <w:r>
              <w:t>Date: November 3, 2025</w:t>
            </w:r>
          </w:p>
        </w:tc>
        <w:tc>
          <w:tcPr>
            <w:tcW w:type="dxa" w:w="4320"/>
          </w:tcPr>
          <w:p>
            <w:r>
              <w:t>Date: November 3, 2025</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MSA — Harrowgate / Bellwether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Supply Agreement</dc:title>
  <dc:subject/>
  <dc:creator>Marcus Delacroix-Hale</dc:creator>
  <cp:keywords/>
  <dc:description>generated by python-docx</dc:description>
  <cp:lastModifiedBy/>
  <cp:revision>1</cp:revision>
  <dcterms:created xsi:type="dcterms:W3CDTF">2025-11-03T14:00:00Z</dcterms:created>
  <dcterms:modified xsi:type="dcterms:W3CDTF">2025-11-03T14:00:00Z</dcterms:modified>
  <cp:category/>
</cp:coreProperties>
</file>