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BELLWETHER MARINE SYSTEMS, INC.</w:t>
      </w:r>
    </w:p>
    <w:p>
      <w:pPr>
        <w:jc w:val="center"/>
      </w:pPr>
      <w:r>
        <w:t>Office of the General Counsel · 2200 Industrial Parkway · Norfolk, VA 23502</w:t>
      </w:r>
    </w:p>
    <w:p>
      <w:r>
        <w:t>April 2, 2026</w:t>
      </w:r>
    </w:p>
    <w:p>
      <w:r>
        <w:t>Evelyn Stroud, Esq.</w:t>
        <w:br/>
        <w:t>Pellham &amp; Stroud LLP</w:t>
        <w:br/>
        <w:t>41 East Gay Street, Suite 900</w:t>
        <w:br/>
        <w:t>Columbus, Ohio 43215</w:t>
      </w:r>
    </w:p>
    <w:p>
      <w:r>
        <w:rPr>
          <w:b/>
        </w:rPr>
        <w:t>Re:</w:t>
        <w:tab/>
        <w:t>Harrowgate Fastener Supply Co. — INV-2026/0347; PO-BMS-26-0112</w:t>
      </w:r>
    </w:p>
    <w:p>
      <w:r>
        <w:t>Dear Ms. Stroud:</w:t>
      </w:r>
    </w:p>
    <w:p>
      <w:r>
        <w:t>I write in response to your letter of March 25, 2026. Bellwether disputes the invoice in full.</w:t>
      </w:r>
    </w:p>
    <w:p>
      <w:r>
        <w:t>First, Bellwether never received the goods described in INV-2026/0347. No pallet bearing purchase order PO-BMS-26-0112 was received at Dock 4 on February 24, 2026 or on any other date. The delivery receipt you rely on bears only the initials “TK” and an illegible scrawl. Our receiving supervisor, Thomas Kettering, did not sign it; he was attending an offsite forklift-safety recertification that afternoon.</w:t>
      </w:r>
    </w:p>
    <w:p>
      <w:r>
        <w:t>Second, under Section 5 of the Agreement, delivery is FOB Destination and “Delivery” means tender evidenced by a receipt signed by Bellwether’s receiving personnel. Section 6 requires every pallet to bear the PO number and a packing list, and permits Bellwether to quarantine or refuse any pallet that does not. The pallet your letter refers to carried neither. It was quarantined in bay Q-3 in accordance with Section 6 and returned to Tri-County Freight Lines on March 4, 2026 as unidentified freight. Risk of loss never passed.</w:t>
      </w:r>
    </w:p>
    <w:p>
      <w:r>
        <w:t>Third, Section 7.2’s ten-day notice provision addresses claims of non-receipt of goods that were delivered. It cannot convert a non-delivery into a delivery. In any event Ms. Müller notified Ms. Okafor by telephone on March 2, 2026 that the order had not arrived.</w:t>
      </w:r>
    </w:p>
    <w:p>
      <w:r>
        <w:t>Bellwether remains willing to accept a conforming delivery of the goods ordered under PO-BMS-26-0112 and to pay for them on the Agreement’s terms. If the pallet now held by Tri-County is in fact Harrowgate’s, the parties should arrange for it to be inspected and, if conforming, redelivered with proper documentation.</w:t>
      </w:r>
    </w:p>
    <w:p>
      <w:r>
        <w:t>Nothing in this letter waives any of Bellwether’s rights or defenses, all of which are reserved.</w:t>
      </w:r>
    </w:p>
    <w:p>
      <w:r>
        <w:t>Sincerely,</w:t>
      </w:r>
    </w:p>
    <w:p>
      <w:r>
        <w:t>Marcus Delacroix-Hale</w:t>
        <w:br/>
        <w:t>General Counsel</w:t>
      </w:r>
    </w:p>
    <w:p>
      <w:r>
        <w:t>cc: Zoë Müller, Procurement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demand - INV-2026/0347</dc:title>
  <dc:subject/>
  <dc:creator>Marcus Delacroix-Hale</dc:creator>
  <cp:keywords/>
  <dc:description>generated by python-docx</dc:description>
  <cp:lastModifiedBy/>
  <cp:revision>1</cp:revision>
  <dcterms:created xsi:type="dcterms:W3CDTF">2026-04-02T16:00:00Z</dcterms:created>
  <dcterms:modified xsi:type="dcterms:W3CDTF">2026-04-02T16:00:00Z</dcterms:modified>
  <cp:category/>
</cp:coreProperties>
</file>