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IMMEDIATE RELEASE</w:t>
      </w:r>
    </w:p>
    <w:p>
      <w:pPr>
        <w:pStyle w:val="Heading1"/>
      </w:pPr>
      <w:r>
        <w:t>Bellwether Marine Systems, Inc. names new vice president</w:t>
      </w:r>
    </w:p>
    <w:p>
      <w:r>
        <w:t>COLUMBUS, Ohio — Bellwether Marine Systems, Inc. today announced a new partnership with local schools.</w:t>
      </w:r>
    </w:p>
    <w:p>
      <w:r>
        <w:t>“We’re proud of our people,” said Hollis Brandt, plant manager.</w:t>
      </w:r>
    </w:p>
    <w:p>
      <w:r>
        <w:t>###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/>
  <cp:revision>1</cp:revision>
  <dcterms:created xsi:type="dcterms:W3CDTF">2026-02-06T08:34:40Z</dcterms:created>
  <dcterms:modified xsi:type="dcterms:W3CDTF">2026-02-06T08:34:40Z</dcterms:modified>
  <cp:category/>
</cp:coreProperties>
</file>