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bookmarkStart w:id="20"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0"/>
    <w:bookmarkStart w:id="21"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w:t>
      </w:r>
      <w:r>
        <w:t xml:space="preserve"> </w:t>
      </w:r>
      <w:r>
        <w:t xml:space="preserve">“System for Enteric Disease Response, Investigation, and Coordination”</w:t>
      </w:r>
      <w:r>
        <w:t xml:space="preserve"> </w:t>
      </w:r>
      <w:r>
        <w:t xml:space="preserve">(n.d.)</w:t>
      </w:r>
      <w:r>
        <w:t xml:space="preserve">,</w:t>
      </w:r>
      <w:r>
        <w:t xml:space="preserve"> </w:t>
      </w:r>
      <w:r>
        <w:t xml:space="preserve">“Acute Enteric Disease Outbreaks”</w:t>
      </w:r>
      <w:r>
        <w:t xml:space="preserve"> </w:t>
      </w:r>
      <w:r>
        <w:t xml:space="preserve">(n.d.)</w:t>
      </w:r>
      <w:r>
        <w:t xml:space="preserve">.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w:t>
      </w:r>
      <w:r>
        <w:t xml:space="preserve"> </w:t>
      </w:r>
      <w:r>
        <w:t xml:space="preserve">“BEAM Dashboard - Report Data”</w:t>
      </w:r>
      <w:r>
        <w:t xml:space="preserve"> </w:t>
      </w:r>
      <w:r>
        <w:t xml:space="preserve">(n.d.)</w:t>
      </w:r>
      <w:r>
        <w:t xml:space="preserve">.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1"/>
    <w:bookmarkStart w:id="24" w:name="methods"/>
    <w:p>
      <w:pPr>
        <w:pStyle w:val="Heading1"/>
      </w:pPr>
      <w:r>
        <w:t xml:space="preserve">3. Methods</w:t>
      </w:r>
    </w:p>
    <w:bookmarkStart w:id="22"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2"/>
    <w:bookmarkStart w:id="23" w:name="statistical-analysis"/>
    <w:p>
      <w:pPr>
        <w:pStyle w:val="Heading2"/>
      </w:pPr>
      <w:r>
        <w:t xml:space="preserve">3.2 Statistical analysis</w:t>
      </w:r>
    </w:p>
    <w:p>
      <w:pPr>
        <w:pStyle w:val="FirstParagraph"/>
      </w:pPr>
      <w:r>
        <w:t xml:space="preserve">Each of the investigated questions were evaluated using R (version 4.5.1) and the tidymodels package</w:t>
      </w:r>
      <w:r>
        <w:t xml:space="preserve"> </w:t>
      </w:r>
      <w:r>
        <w:t xml:space="preserve">“Tidymodels”</w:t>
      </w:r>
      <w:r>
        <w:t xml:space="preserve"> </w:t>
      </w:r>
      <w:r>
        <w:t xml:space="preserve">(n.d.)</w:t>
      </w:r>
      <w:r>
        <w:t xml:space="preserve">,</w:t>
      </w:r>
      <w:r>
        <w:t xml:space="preserve"> </w:t>
      </w:r>
      <w:r>
        <w:t xml:space="preserve">Handel (n.d.)</w:t>
      </w:r>
      <w:r>
        <w:t xml:space="preserv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 xxx.</w:t>
      </w:r>
    </w:p>
    <w:bookmarkEnd w:id="23"/>
    <w:bookmarkEnd w:id="24"/>
    <w:bookmarkStart w:id="45" w:name="results"/>
    <w:p>
      <w:pPr>
        <w:pStyle w:val="Heading1"/>
      </w:pPr>
      <w:r>
        <w:t xml:space="preserve">4. Results</w:t>
      </w:r>
    </w:p>
    <w:bookmarkStart w:id="40"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4587290" cy="4587290"/>
            <wp:effectExtent b="0" l="0" r="0" t="0"/>
            <wp:docPr descr="Outbreak Associated Isolates per State" title="" id="26" name="Picture"/>
            <a:graphic>
              <a:graphicData uri="http://schemas.openxmlformats.org/drawingml/2006/picture">
                <pic:pic>
                  <pic:nvPicPr>
                    <pic:cNvPr descr="../../results/figures/faceted-states-isolates.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4587290" cy="4587290"/>
            <wp:effectExtent b="0" l="0" r="0" t="0"/>
            <wp:docPr descr="Outbreak Associated Isolates Over Time" title="" id="29" name="Picture"/>
            <a:graphic>
              <a:graphicData uri="http://schemas.openxmlformats.org/drawingml/2006/picture">
                <pic:pic>
                  <pic:nvPicPr>
                    <pic:cNvPr descr="../../results/figures/outbreaks-over-time.png" id="30" name="Picture"/>
                    <pic:cNvPicPr>
                      <a:picLocks noChangeArrowheads="1" noChangeAspect="1"/>
                    </pic:cNvPicPr>
                  </pic:nvPicPr>
                  <pic:blipFill>
                    <a:blip r:embed="rId28"/>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2" name="Picture"/>
            <a:graphic>
              <a:graphicData uri="http://schemas.openxmlformats.org/drawingml/2006/picture">
                <pic:pic>
                  <pic:nvPicPr>
                    <pic:cNvPr descr="../../results/figures/outbreaks-per-month.png" id="33" name="Picture"/>
                    <pic:cNvPicPr>
                      <a:picLocks noChangeArrowheads="1" noChangeAspect="1"/>
                    </pic:cNvPicPr>
                  </pic:nvPicPr>
                  <pic:blipFill>
                    <a:blip r:embed="rId31"/>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w:t>
      </w:r>
      <w:r>
        <w:t xml:space="preserve"> </w:t>
      </w:r>
      <w:r>
        <w:rPr>
          <w:i/>
          <w:iCs/>
        </w:rPr>
        <w:t xml:space="preserve">Salmonella enteritidis, Shigella sonnei, Salmonella newport, Salmonella typhimurium</w:t>
      </w:r>
      <w:r>
        <w:t xml:space="preserve">, and Shiga-toxin producing</w:t>
      </w:r>
      <w:r>
        <w:t xml:space="preserve"> </w:t>
      </w:r>
      <w:r>
        <w:rPr>
          <w:i/>
          <w:iCs/>
        </w:rPr>
        <w:t xml:space="preserve">Escherichia coli</w:t>
      </w:r>
      <w:r>
        <w:t xml:space="preserve"> </w:t>
      </w:r>
      <w:r>
        <w:t xml:space="preserve">(STEC)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w:t>
      </w:r>
      <w:r>
        <w:t xml:space="preserve"> </w:t>
      </w:r>
      <w:r>
        <w:rPr>
          <w:i/>
          <w:iCs/>
        </w:rPr>
        <w:t xml:space="preserve">Salmonella hadar, Salmonella enteritidis</w:t>
      </w:r>
      <w:r>
        <w:t xml:space="preserve">, and</w:t>
      </w:r>
      <w:r>
        <w:t xml:space="preserve"> </w:t>
      </w:r>
      <w:r>
        <w:rPr>
          <w:i/>
          <w:iCs/>
        </w:rPr>
        <w:t xml:space="preserve">Salmonella tyhphimurium</w:t>
      </w:r>
      <w:r>
        <w:t xml:space="preserve">,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w:t>
      </w:r>
      <w:r>
        <w:t xml:space="preserve"> </w:t>
      </w:r>
      <w:r>
        <w:t xml:space="preserve">“Tidymodels”</w:t>
      </w:r>
      <w:r>
        <w:t xml:space="preserve"> </w:t>
      </w:r>
      <w:r>
        <w:t xml:space="preserve">(n.d.)</w:t>
      </w:r>
      <w:r>
        <w:t xml:space="preserve">,</w:t>
      </w:r>
      <w:r>
        <w:t xml:space="preserve"> </w:t>
      </w:r>
      <w:r>
        <w:t xml:space="preserve">Handel (n.d.)</w:t>
      </w:r>
      <w:r>
        <w:t xml:space="preserv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4587290" cy="4587290"/>
            <wp:effectExtent b="0" l="0" r="0" t="0"/>
            <wp:docPr descr="Decreasing Trend of Outbreaks Over Time" title="" id="35" name="Picture"/>
            <a:graphic>
              <a:graphicData uri="http://schemas.openxmlformats.org/drawingml/2006/picture">
                <pic:pic>
                  <pic:nvPicPr>
                    <pic:cNvPr descr="../../results/figures/outbreak-time-trend-line.png" id="36" name="Picture"/>
                    <pic:cNvPicPr>
                      <a:picLocks noChangeArrowheads="1" noChangeAspect="1"/>
                    </pic:cNvPicPr>
                  </pic:nvPicPr>
                  <pic:blipFill>
                    <a:blip r:embed="rId34"/>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w:t>
      </w:r>
      <w:r>
        <w:t xml:space="preserve"> </w:t>
      </w:r>
      <w:r>
        <w:t xml:space="preserve">“Tidymodels”</w:t>
      </w:r>
      <w:r>
        <w:t xml:space="preserve"> </w:t>
      </w:r>
      <w:r>
        <w:t xml:space="preserve">(n.d.)</w:t>
      </w:r>
      <w:r>
        <w:t xml:space="preserve">,</w:t>
      </w:r>
      <w:r>
        <w:t xml:space="preserve"> </w:t>
      </w:r>
      <w:r>
        <w:t xml:space="preserve">Handel (n.d.)</w:t>
      </w:r>
      <w:r>
        <w:t xml:space="preserve">. Other models included Exponential Smoothing (RMSE 28.1) and Prophet (RMSE 43, R-Squared 0.0252) (Figure S4). This model indicated an upward trend in the number of isolates with AMR (Figure 5).</w:t>
      </w:r>
    </w:p>
    <w:p>
      <w:pPr>
        <w:pStyle w:val="CaptionedFigure"/>
      </w:pPr>
      <w:r>
        <w:drawing>
          <wp:inline>
            <wp:extent cx="4587290" cy="4587290"/>
            <wp:effectExtent b="0" l="0" r="0" t="0"/>
            <wp:docPr descr="Increasing Trend of AMR Over Time" title="" id="38" name="Picture"/>
            <a:graphic>
              <a:graphicData uri="http://schemas.openxmlformats.org/drawingml/2006/picture">
                <pic:pic>
                  <pic:nvPicPr>
                    <pic:cNvPr descr="../../results/figures/amr-time-trend-line.png" id="39" name="Picture"/>
                    <pic:cNvPicPr>
                      <a:picLocks noChangeArrowheads="1" noChangeAspect="1"/>
                    </pic:cNvPicPr>
                  </pic:nvPicPr>
                  <pic:blipFill>
                    <a:blip r:embed="rId37"/>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Increasing Trend of AMR Over Time</w:t>
      </w:r>
    </w:p>
    <w:bookmarkEnd w:id="40"/>
    <w:bookmarkStart w:id="41"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w:t>
      </w:r>
      <w:r>
        <w:t xml:space="preserve">“Tidymodels”</w:t>
      </w:r>
      <w:r>
        <w:t xml:space="preserve"> </w:t>
      </w:r>
      <w:r>
        <w:t xml:space="preserve">(n.d.)</w:t>
      </w:r>
      <w:r>
        <w:t xml:space="preserve">,</w:t>
      </w:r>
      <w:r>
        <w:t xml:space="preserve"> </w:t>
      </w:r>
      <w:r>
        <w:t xml:space="preserve">Handel (n.d.)</w:t>
      </w:r>
      <w:r>
        <w:t xml:space="preserve"> </w:t>
      </w:r>
      <w:r>
        <w:t xml:space="preserve">(Figure S5).</w:t>
      </w:r>
    </w:p>
    <w:bookmarkEnd w:id="41"/>
    <w:bookmarkStart w:id="42"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w:t>
      </w:r>
      <w:r>
        <w:t xml:space="preserve">“Tidymodels”</w:t>
      </w:r>
      <w:r>
        <w:t xml:space="preserve"> </w:t>
      </w:r>
      <w:r>
        <w:t xml:space="preserve">(n.d.)</w:t>
      </w:r>
      <w:r>
        <w:t xml:space="preserve">,</w:t>
      </w:r>
      <w:r>
        <w:t xml:space="preserve"> </w:t>
      </w:r>
      <w:r>
        <w:t xml:space="preserve">Handel (n.d.)</w:t>
      </w:r>
      <w:r>
        <w:t xml:space="preserve"> </w:t>
      </w:r>
      <w:r>
        <w:t xml:space="preserve">(Figure S6).</w:t>
      </w:r>
    </w:p>
    <w:bookmarkEnd w:id="42"/>
    <w:bookmarkStart w:id="43"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w:t>
      </w:r>
      <w:r>
        <w:t xml:space="preserve"> </w:t>
      </w:r>
      <w:r>
        <w:t xml:space="preserve">“Tidymodels”</w:t>
      </w:r>
      <w:r>
        <w:t xml:space="preserve"> </w:t>
      </w:r>
      <w:r>
        <w:t xml:space="preserve">(n.d.)</w:t>
      </w:r>
      <w:r>
        <w:t xml:space="preserve">,</w:t>
      </w:r>
      <w:r>
        <w:t xml:space="preserve"> </w:t>
      </w:r>
      <w:r>
        <w:t xml:space="preserve">Handel (n.d.)</w:t>
      </w:r>
      <w:r>
        <w:t xml:space="preserve"> </w:t>
      </w:r>
      <w:r>
        <w:t xml:space="preserve">(Figure S7).</w:t>
      </w:r>
    </w:p>
    <w:bookmarkEnd w:id="43"/>
    <w:bookmarkStart w:id="44"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w:t>
      </w:r>
      <w:r>
        <w:t xml:space="preserve"> </w:t>
      </w:r>
      <w:r>
        <w:t xml:space="preserve">“Tidymodels”</w:t>
      </w:r>
      <w:r>
        <w:t xml:space="preserve"> </w:t>
      </w:r>
      <w:r>
        <w:t xml:space="preserve">(n.d.)</w:t>
      </w:r>
      <w:r>
        <w:t xml:space="preserve">,</w:t>
      </w:r>
      <w:r>
        <w:t xml:space="preserve"> </w:t>
      </w:r>
      <w:r>
        <w:t xml:space="preserve">Handel (n.d.)</w:t>
      </w:r>
      <w:r>
        <w:t xml:space="preserve"> </w:t>
      </w:r>
      <w:r>
        <w:t xml:space="preserve">(Figure S8).</w:t>
      </w:r>
    </w:p>
    <w:bookmarkEnd w:id="44"/>
    <w:bookmarkEnd w:id="45"/>
    <w:bookmarkStart w:id="49" w:name="discussion"/>
    <w:p>
      <w:pPr>
        <w:pStyle w:val="Heading1"/>
      </w:pPr>
      <w:r>
        <w:t xml:space="preserve">5. Discussion</w:t>
      </w:r>
    </w:p>
    <w:bookmarkStart w:id="46"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r>
        <w:t xml:space="preserve"> </w:t>
      </w:r>
      <w:r>
        <w:t xml:space="preserve">“World Health Organization”</w:t>
      </w:r>
      <w:r>
        <w:t xml:space="preserve"> </w:t>
      </w:r>
      <w:r>
        <w:t xml:space="preserve">(n.d.)</w:t>
      </w:r>
      <w:r>
        <w:t xml:space="preserve">.</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6"/>
    <w:bookmarkStart w:id="47"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7"/>
    <w:bookmarkStart w:id="48"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r>
        <w:br w:type="page"/>
      </w:r>
    </w:p>
    <w:bookmarkEnd w:id="48"/>
    <w:bookmarkEnd w:id="49"/>
    <w:bookmarkStart w:id="63" w:name="references"/>
    <w:p>
      <w:pPr>
        <w:pStyle w:val="Heading1"/>
      </w:pPr>
      <w:r>
        <w:t xml:space="preserve">6. References</w:t>
      </w:r>
    </w:p>
    <w:bookmarkStart w:id="62" w:name="refs"/>
    <w:bookmarkStart w:id="51" w:name="ref-Field"/>
    <w:p>
      <w:pPr>
        <w:pStyle w:val="Bibliography"/>
      </w:pPr>
      <w:r>
        <w:t xml:space="preserve">“Acute Enteric Disease Outbreaks.”</w:t>
      </w:r>
      <w:r>
        <w:t xml:space="preserve"> </w:t>
      </w:r>
      <w:r>
        <w:t xml:space="preserve">n.d.</w:t>
      </w:r>
      <w:r>
        <w:t xml:space="preserve"> </w:t>
      </w:r>
      <w:r>
        <w:rPr>
          <w:i/>
          <w:iCs/>
        </w:rPr>
        <w:t xml:space="preserve">CDC: Field Epidemiology Manual</w:t>
      </w:r>
      <w:r>
        <w:t xml:space="preserve">. Centers for Disease Control; Prevention.</w:t>
      </w:r>
      <w:r>
        <w:t xml:space="preserve"> </w:t>
      </w:r>
      <w:hyperlink r:id="rId50">
        <w:r>
          <w:rPr>
            <w:rStyle w:val="Hyperlink"/>
          </w:rPr>
          <w:t xml:space="preserve">https://www.cdc.gov/field-epi-manual/php/chapters/acute-enteric-disease.html</w:t>
        </w:r>
      </w:hyperlink>
      <w:r>
        <w:t xml:space="preserve">.</w:t>
      </w:r>
    </w:p>
    <w:bookmarkEnd w:id="51"/>
    <w:bookmarkStart w:id="53" w:name="ref-BEAM"/>
    <w:p>
      <w:pPr>
        <w:pStyle w:val="Bibliography"/>
      </w:pPr>
      <w:r>
        <w:t xml:space="preserve">“BEAM Dashboard - Report Data.”</w:t>
      </w:r>
      <w:r>
        <w:t xml:space="preserve"> </w:t>
      </w:r>
      <w:r>
        <w:t xml:space="preserve">n.d.</w:t>
      </w:r>
      <w:r>
        <w:t xml:space="preserve"> </w:t>
      </w:r>
      <w:r>
        <w:rPr>
          <w:i/>
          <w:iCs/>
        </w:rPr>
        <w:t xml:space="preserve">Data.CDC.gov</w:t>
      </w:r>
      <w:r>
        <w:t xml:space="preserve">. Centers for Disease Control; Prevention.</w:t>
      </w:r>
      <w:r>
        <w:t xml:space="preserve"> </w:t>
      </w:r>
      <w:hyperlink r:id="rId52">
        <w:r>
          <w:rPr>
            <w:rStyle w:val="Hyperlink"/>
          </w:rPr>
          <w:t xml:space="preserve">https://data.cdc.gov/Foodborne-Waterborne-and-Related-Diseases/BEAM-Dashboard-Report-Data/jbhn-e8xn/about_data</w:t>
        </w:r>
      </w:hyperlink>
      <w:r>
        <w:t xml:space="preserve">.</w:t>
      </w:r>
    </w:p>
    <w:bookmarkEnd w:id="53"/>
    <w:bookmarkStart w:id="55" w:name="ref-Handel"/>
    <w:p>
      <w:pPr>
        <w:pStyle w:val="Bibliography"/>
      </w:pPr>
      <w:r>
        <w:t xml:space="preserve">Handel, Andreas. n.d.</w:t>
      </w:r>
      <w:r>
        <w:t xml:space="preserve"> </w:t>
      </w:r>
      <w:r>
        <w:t xml:space="preserve">“Modern Applied Data Analysis (MADA).”</w:t>
      </w:r>
      <w:r>
        <w:t xml:space="preserve"> </w:t>
      </w:r>
      <w:r>
        <w:rPr>
          <w:i/>
          <w:iCs/>
        </w:rPr>
        <w:t xml:space="preserve">MADA Course</w:t>
      </w:r>
      <w:r>
        <w:t xml:space="preserve">.</w:t>
      </w:r>
      <w:r>
        <w:t xml:space="preserve"> </w:t>
      </w:r>
      <w:hyperlink r:id="rId54">
        <w:r>
          <w:rPr>
            <w:rStyle w:val="Hyperlink"/>
          </w:rPr>
          <w:t xml:space="preserve">https://andreashandel.github.io/MADAcourse/</w:t>
        </w:r>
      </w:hyperlink>
      <w:r>
        <w:t xml:space="preserve">.</w:t>
      </w:r>
    </w:p>
    <w:bookmarkEnd w:id="55"/>
    <w:bookmarkStart w:id="57" w:name="ref-SEDRIC"/>
    <w:p>
      <w:pPr>
        <w:pStyle w:val="Bibliography"/>
      </w:pPr>
      <w:r>
        <w:t xml:space="preserve">“System for Enteric Disease Response, Investigation, and Coordination.”</w:t>
      </w:r>
      <w:r>
        <w:t xml:space="preserve"> </w:t>
      </w:r>
      <w:r>
        <w:t xml:space="preserve">n.d.</w:t>
      </w:r>
      <w:r>
        <w:t xml:space="preserve"> </w:t>
      </w:r>
      <w:r>
        <w:rPr>
          <w:i/>
          <w:iCs/>
        </w:rPr>
        <w:t xml:space="preserve">Foodborne Outbreaks</w:t>
      </w:r>
      <w:r>
        <w:t xml:space="preserve">. Centers for Disease Control; Prevention.</w:t>
      </w:r>
      <w:r>
        <w:t xml:space="preserve"> </w:t>
      </w:r>
      <w:hyperlink r:id="rId56">
        <w:r>
          <w:rPr>
            <w:rStyle w:val="Hyperlink"/>
          </w:rPr>
          <w:t xml:space="preserve">https://www.cdc.gov/foodborne-outbreaks/php/tools/sedric.html</w:t>
        </w:r>
      </w:hyperlink>
      <w:r>
        <w:t xml:space="preserve">.</w:t>
      </w:r>
    </w:p>
    <w:bookmarkEnd w:id="57"/>
    <w:bookmarkStart w:id="59" w:name="ref-tidymodels"/>
    <w:p>
      <w:pPr>
        <w:pStyle w:val="Bibliography"/>
      </w:pPr>
      <w:r>
        <w:t xml:space="preserve">“Tidymodels.”</w:t>
      </w:r>
      <w:r>
        <w:t xml:space="preserve"> </w:t>
      </w:r>
      <w:r>
        <w:t xml:space="preserve">n.d.</w:t>
      </w:r>
      <w:r>
        <w:t xml:space="preserve"> </w:t>
      </w:r>
      <w:r>
        <w:rPr>
          <w:i/>
          <w:iCs/>
        </w:rPr>
        <w:t xml:space="preserve">Tidymodels</w:t>
      </w:r>
      <w:r>
        <w:t xml:space="preserve">.</w:t>
      </w:r>
      <w:r>
        <w:t xml:space="preserve"> </w:t>
      </w:r>
      <w:hyperlink r:id="rId58">
        <w:r>
          <w:rPr>
            <w:rStyle w:val="Hyperlink"/>
          </w:rPr>
          <w:t xml:space="preserve">https://www.tidymodels.org/</w:t>
        </w:r>
      </w:hyperlink>
      <w:r>
        <w:t xml:space="preserve">.</w:t>
      </w:r>
    </w:p>
    <w:bookmarkEnd w:id="59"/>
    <w:bookmarkStart w:id="61" w:name="ref-WHO"/>
    <w:p>
      <w:pPr>
        <w:pStyle w:val="Bibliography"/>
      </w:pPr>
      <w:r>
        <w:t xml:space="preserve">“World Health Organization.”</w:t>
      </w:r>
      <w:r>
        <w:t xml:space="preserve"> </w:t>
      </w:r>
      <w:r>
        <w:t xml:space="preserve">n.d.</w:t>
      </w:r>
      <w:r>
        <w:t xml:space="preserve"> </w:t>
      </w:r>
      <w:r>
        <w:rPr>
          <w:i/>
          <w:iCs/>
        </w:rPr>
        <w:t xml:space="preserve">News</w:t>
      </w:r>
      <w:r>
        <w:t xml:space="preserve">. World Health Organization.</w:t>
      </w:r>
      <w:r>
        <w:t xml:space="preserve"> </w:t>
      </w:r>
      <w:hyperlink r:id="rId60">
        <w:r>
          <w:rPr>
            <w:rStyle w:val="Hyperlink"/>
          </w:rPr>
          <w:t xml:space="preserve">https://www.who.int/news/item/13-10-2025-who-warns-of-widespread-resistance-to-common-antibiotics-worldwide</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hyperlink" Id="rId54" Target="https://andreashandel.github.io/MADAcourse/" TargetMode="External" /><Relationship Type="http://schemas.openxmlformats.org/officeDocument/2006/relationships/hyperlink" Id="rId52" Target="https://data.cdc.gov/Foodborne-Waterborne-and-Related-Diseases/BEAM-Dashboard-Report-Data/jbhn-e8xn/about_data" TargetMode="External" /><Relationship Type="http://schemas.openxmlformats.org/officeDocument/2006/relationships/hyperlink" Id="rId50" Target="https://www.cdc.gov/field-epi-manual/php/chapters/acute-enteric-disease.html" TargetMode="External" /><Relationship Type="http://schemas.openxmlformats.org/officeDocument/2006/relationships/hyperlink" Id="rId56" Target="https://www.cdc.gov/foodborne-outbreaks/php/tools/sedric.html" TargetMode="External" /><Relationship Type="http://schemas.openxmlformats.org/officeDocument/2006/relationships/hyperlink" Id="rId58" Target="https://www.tidymodels.org/" TargetMode="External" /><Relationship Type="http://schemas.openxmlformats.org/officeDocument/2006/relationships/hyperlink" Id="rId60" Target="https://www.who.int/news/item/13-10-2025-who-warns-of-widespread-resistance-to-common-antibiotics-worldwide" TargetMode="External" /></Relationships>
</file>

<file path=word/_rels/footnotes.xml.rels><?xml version="1.0" encoding="UTF-8"?><Relationships xmlns="http://schemas.openxmlformats.org/package/2006/relationships"><Relationship Type="http://schemas.openxmlformats.org/officeDocument/2006/relationships/hyperlink" Id="rId54" Target="https://andreashandel.github.io/MADAcourse/" TargetMode="External" /><Relationship Type="http://schemas.openxmlformats.org/officeDocument/2006/relationships/hyperlink" Id="rId52" Target="https://data.cdc.gov/Foodborne-Waterborne-and-Related-Diseases/BEAM-Dashboard-Report-Data/jbhn-e8xn/about_data" TargetMode="External" /><Relationship Type="http://schemas.openxmlformats.org/officeDocument/2006/relationships/hyperlink" Id="rId50" Target="https://www.cdc.gov/field-epi-manual/php/chapters/acute-enteric-disease.html" TargetMode="External" /><Relationship Type="http://schemas.openxmlformats.org/officeDocument/2006/relationships/hyperlink" Id="rId56" Target="https://www.cdc.gov/foodborne-outbreaks/php/tools/sedric.html" TargetMode="External" /><Relationship Type="http://schemas.openxmlformats.org/officeDocument/2006/relationships/hyperlink" Id="rId58" Target="https://www.tidymodels.org/" TargetMode="External" /><Relationship Type="http://schemas.openxmlformats.org/officeDocument/2006/relationships/hyperlink" Id="rId60" Target="https://www.who.int/news/item/13-10-2025-who-warns-of-widespread-resistance-to-common-antibiotics-worldw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2026-05-05T16:58:25Z</dcterms:created>
  <dcterms:modified xsi:type="dcterms:W3CDTF">2026-05-05T16:58:25Z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