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7B4E2" w14:textId="54956CFB" w:rsidR="004171C9" w:rsidRDefault="00000000">
      <w:pPr>
        <w:widowControl w:val="0"/>
        <w:pBdr>
          <w:top w:val="nil"/>
          <w:left w:val="nil"/>
          <w:bottom w:val="nil"/>
          <w:right w:val="nil"/>
          <w:between w:val="nil"/>
        </w:pBdr>
        <w:spacing w:line="459" w:lineRule="auto"/>
        <w:ind w:left="864" w:right="13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Hiding Behind National Security: How US Politicians Have Used Tariffs to Gain Political Support </w:t>
      </w:r>
      <w:proofErr w:type="gramStart"/>
      <w:r w:rsidR="00222001">
        <w:rPr>
          <w:rFonts w:ascii="Times New Roman" w:eastAsia="Times New Roman" w:hAnsi="Times New Roman" w:cs="Times New Roman"/>
          <w:color w:val="000000"/>
          <w:sz w:val="28"/>
          <w:szCs w:val="28"/>
        </w:rPr>
        <w:t>though</w:t>
      </w:r>
      <w:proofErr w:type="gramEnd"/>
      <w:r w:rsidR="00222001">
        <w:rPr>
          <w:rFonts w:ascii="Times New Roman" w:eastAsia="Times New Roman" w:hAnsi="Times New Roman" w:cs="Times New Roman"/>
          <w:color w:val="000000"/>
          <w:sz w:val="28"/>
          <w:szCs w:val="28"/>
        </w:rPr>
        <w:t xml:space="preserve"> a New Data Set</w:t>
      </w:r>
    </w:p>
    <w:p w14:paraId="39D2F534" w14:textId="77777777" w:rsidR="004171C9" w:rsidRDefault="00000000">
      <w:pPr>
        <w:widowControl w:val="0"/>
        <w:pBdr>
          <w:top w:val="nil"/>
          <w:left w:val="nil"/>
          <w:bottom w:val="nil"/>
          <w:right w:val="nil"/>
          <w:between w:val="nil"/>
        </w:pBdr>
        <w:spacing w:before="63" w:line="240" w:lineRule="auto"/>
        <w:ind w:right="410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Elle Diether </w:t>
      </w:r>
    </w:p>
    <w:p w14:paraId="6D15A115" w14:textId="77777777" w:rsidR="004171C9" w:rsidRDefault="00000000">
      <w:pPr>
        <w:widowControl w:val="0"/>
        <w:pBdr>
          <w:top w:val="nil"/>
          <w:left w:val="nil"/>
          <w:bottom w:val="nil"/>
          <w:right w:val="nil"/>
          <w:between w:val="nil"/>
        </w:pBdr>
        <w:spacing w:before="271" w:line="240" w:lineRule="auto"/>
        <w:ind w:right="32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University of Texas </w:t>
      </w:r>
      <w:proofErr w:type="gramStart"/>
      <w:r>
        <w:rPr>
          <w:rFonts w:ascii="Times New Roman" w:eastAsia="Times New Roman" w:hAnsi="Times New Roman" w:cs="Times New Roman"/>
          <w:color w:val="000000"/>
          <w:sz w:val="24"/>
          <w:szCs w:val="24"/>
        </w:rPr>
        <w:t>at</w:t>
      </w:r>
      <w:proofErr w:type="gramEnd"/>
      <w:r>
        <w:rPr>
          <w:rFonts w:ascii="Times New Roman" w:eastAsia="Times New Roman" w:hAnsi="Times New Roman" w:cs="Times New Roman"/>
          <w:color w:val="000000"/>
          <w:sz w:val="24"/>
          <w:szCs w:val="24"/>
        </w:rPr>
        <w:t xml:space="preserve"> Austin </w:t>
      </w:r>
    </w:p>
    <w:p w14:paraId="71D1909F" w14:textId="0F3F1A73" w:rsidR="004171C9" w:rsidRDefault="00FA442D">
      <w:pPr>
        <w:widowControl w:val="0"/>
        <w:pBdr>
          <w:top w:val="nil"/>
          <w:left w:val="nil"/>
          <w:bottom w:val="nil"/>
          <w:right w:val="nil"/>
          <w:between w:val="nil"/>
        </w:pBdr>
        <w:spacing w:before="511" w:line="240" w:lineRule="auto"/>
        <w:ind w:right="3735"/>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February 6</w:t>
      </w:r>
      <w:r w:rsidRPr="00FA442D">
        <w:rPr>
          <w:rFonts w:ascii="Times New Roman" w:eastAsia="Times New Roman" w:hAnsi="Times New Roman" w:cs="Times New Roman"/>
          <w:i/>
          <w:color w:val="000000"/>
          <w:sz w:val="24"/>
          <w:szCs w:val="24"/>
          <w:vertAlign w:val="superscript"/>
        </w:rPr>
        <w:t>th</w:t>
      </w:r>
      <w:r w:rsidR="00A32B05">
        <w:rPr>
          <w:rFonts w:ascii="Times New Roman" w:eastAsia="Times New Roman" w:hAnsi="Times New Roman" w:cs="Times New Roman"/>
          <w:i/>
          <w:color w:val="000000"/>
          <w:sz w:val="24"/>
          <w:szCs w:val="24"/>
        </w:rPr>
        <w:t>, 202</w:t>
      </w:r>
      <w:r>
        <w:rPr>
          <w:rFonts w:ascii="Times New Roman" w:eastAsia="Times New Roman" w:hAnsi="Times New Roman" w:cs="Times New Roman"/>
          <w:i/>
          <w:color w:val="000000"/>
          <w:sz w:val="24"/>
          <w:szCs w:val="24"/>
        </w:rPr>
        <w:t>5</w:t>
      </w:r>
      <w:r w:rsidR="00A32B05">
        <w:rPr>
          <w:rFonts w:ascii="Times New Roman" w:eastAsia="Times New Roman" w:hAnsi="Times New Roman" w:cs="Times New Roman"/>
          <w:i/>
          <w:color w:val="000000"/>
          <w:sz w:val="24"/>
          <w:szCs w:val="24"/>
        </w:rPr>
        <w:t xml:space="preserve"> </w:t>
      </w:r>
    </w:p>
    <w:p w14:paraId="0FA6167B" w14:textId="77777777" w:rsidR="004171C9" w:rsidRDefault="00000000">
      <w:pPr>
        <w:widowControl w:val="0"/>
        <w:pBdr>
          <w:top w:val="nil"/>
          <w:left w:val="nil"/>
          <w:bottom w:val="nil"/>
          <w:right w:val="nil"/>
          <w:between w:val="nil"/>
        </w:pBdr>
        <w:spacing w:before="969" w:line="240" w:lineRule="auto"/>
        <w:ind w:left="7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Introduction</w:t>
      </w:r>
      <w:r>
        <w:rPr>
          <w:rFonts w:ascii="Times New Roman" w:eastAsia="Times New Roman" w:hAnsi="Times New Roman" w:cs="Times New Roman"/>
          <w:b/>
          <w:color w:val="000000"/>
          <w:sz w:val="24"/>
          <w:szCs w:val="24"/>
        </w:rPr>
        <w:t xml:space="preserve"> </w:t>
      </w:r>
    </w:p>
    <w:p w14:paraId="71B923C1" w14:textId="77777777" w:rsidR="004171C9" w:rsidRDefault="00000000" w:rsidP="00A76164">
      <w:pPr>
        <w:widowControl w:val="0"/>
        <w:pBdr>
          <w:top w:val="nil"/>
          <w:left w:val="nil"/>
          <w:bottom w:val="nil"/>
          <w:right w:val="nil"/>
          <w:between w:val="nil"/>
        </w:pBdr>
        <w:spacing w:before="177" w:line="459" w:lineRule="auto"/>
        <w:ind w:left="720" w:right="27"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symbolic gesture, President Biden held up a small semiconductor chip before signing an executive order in the State Dining Room of the White House to establish a domestic supplier of semiconductor wafers (Jin and Nellis, 2021). Traditionally, economic theories like Ricardo-Viner suggest that individual trade preferences are shaped by stable economic factors, and therefore immovable. So, why would President Biden dedicate valuable time and resources on semiconductor conferences and executive orders to explain the importance of tariffs if such measures are unlikely to alter the public’s trade preferences? </w:t>
      </w:r>
    </w:p>
    <w:p w14:paraId="669D905B" w14:textId="77777777" w:rsidR="004171C9" w:rsidRDefault="00000000">
      <w:pPr>
        <w:widowControl w:val="0"/>
        <w:pBdr>
          <w:top w:val="nil"/>
          <w:left w:val="nil"/>
          <w:bottom w:val="nil"/>
          <w:right w:val="nil"/>
          <w:between w:val="nil"/>
        </w:pBdr>
        <w:spacing w:before="212" w:line="459" w:lineRule="auto"/>
        <w:ind w:left="717" w:right="116" w:firstLine="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recent example comes from the presidential debate between former President Trump and Vice President Kamala, where Trump opened by highlighting tariffs, making it a key point in the debate (Hoffman, 2024). Before 2016, tariff and trade policy were rarely discussed publicly especially by Republicans who were generally free trade. However, since the 2016 election tariffs have been put in center stage, but not through the older arguments of saving American jobs (protectionism) but in terms of protecting national security (securitization). The literature currently lacks an explanation for the sudden rise in talking about tariffs (especially in securitization </w:t>
      </w:r>
      <w:r>
        <w:rPr>
          <w:rFonts w:ascii="Times New Roman" w:eastAsia="Times New Roman" w:hAnsi="Times New Roman" w:cs="Times New Roman"/>
          <w:color w:val="000000"/>
          <w:sz w:val="24"/>
          <w:szCs w:val="24"/>
        </w:rPr>
        <w:lastRenderedPageBreak/>
        <w:t>terms), and why particular trade policies are promoted by politicians.</w:t>
      </w:r>
    </w:p>
    <w:p w14:paraId="45B7ECF8" w14:textId="77777777" w:rsidR="004171C9" w:rsidRDefault="00000000">
      <w:pPr>
        <w:widowControl w:val="0"/>
        <w:pBdr>
          <w:top w:val="nil"/>
          <w:left w:val="nil"/>
          <w:bottom w:val="nil"/>
          <w:right w:val="nil"/>
          <w:between w:val="nil"/>
        </w:pBdr>
        <w:spacing w:line="459" w:lineRule="auto"/>
        <w:ind w:left="717" w:right="193" w:firstLine="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tariffs and trade policies are hidden behind closed doors and complex bureaucracy (Kono 2006). Given how easy it is to keep trade policies hidden, why have tariffs emerged as a prominent issue in recent elections? The average voter has limited time and capacity to understand the intricacies of trade, and studies have shown that economic theories of trade preferences are not intuitive (Keser et al., 2023; Mutz &amp; Eunji Kim, 2017). This presents an opportunity for U.S. politicians to shape the information voters have about trade, shaping their preferences. This paper seeks to understand when US politicians use national security to gain support for themselves and their trade policies. </w:t>
      </w:r>
    </w:p>
    <w:p w14:paraId="3C0AADE0" w14:textId="77777777" w:rsidR="004171C9" w:rsidRDefault="00000000">
      <w:pPr>
        <w:widowControl w:val="0"/>
        <w:pBdr>
          <w:top w:val="nil"/>
          <w:left w:val="nil"/>
          <w:bottom w:val="nil"/>
          <w:right w:val="nil"/>
          <w:between w:val="nil"/>
        </w:pBdr>
        <w:spacing w:before="212" w:line="240" w:lineRule="auto"/>
        <w:ind w:left="7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Literature Review</w:t>
      </w:r>
      <w:r>
        <w:rPr>
          <w:rFonts w:ascii="Times New Roman" w:eastAsia="Times New Roman" w:hAnsi="Times New Roman" w:cs="Times New Roman"/>
          <w:b/>
          <w:color w:val="000000"/>
          <w:sz w:val="24"/>
          <w:szCs w:val="24"/>
        </w:rPr>
        <w:t xml:space="preserve"> </w:t>
      </w:r>
    </w:p>
    <w:p w14:paraId="775369FE" w14:textId="77777777" w:rsidR="004605B5" w:rsidRDefault="004605B5" w:rsidP="00A32B05">
      <w:pPr>
        <w:widowControl w:val="0"/>
        <w:pBdr>
          <w:top w:val="nil"/>
          <w:left w:val="nil"/>
          <w:bottom w:val="nil"/>
          <w:right w:val="nil"/>
          <w:between w:val="nil"/>
        </w:pBdr>
        <w:spacing w:before="37" w:line="240" w:lineRule="auto"/>
        <w:ind w:left="726" w:firstLine="714"/>
        <w:rPr>
          <w:rFonts w:ascii="Times New Roman" w:eastAsia="Times New Roman" w:hAnsi="Times New Roman" w:cs="Times New Roman"/>
          <w:bCs/>
          <w:i/>
          <w:iCs/>
          <w:color w:val="000000"/>
          <w:sz w:val="24"/>
          <w:szCs w:val="24"/>
          <w:u w:val="single"/>
        </w:rPr>
      </w:pPr>
    </w:p>
    <w:p w14:paraId="00BD44AB" w14:textId="65513461" w:rsidR="004171C9" w:rsidRPr="00A32B05" w:rsidRDefault="00000000" w:rsidP="00A32B05">
      <w:pPr>
        <w:widowControl w:val="0"/>
        <w:pBdr>
          <w:top w:val="nil"/>
          <w:left w:val="nil"/>
          <w:bottom w:val="nil"/>
          <w:right w:val="nil"/>
          <w:between w:val="nil"/>
        </w:pBdr>
        <w:spacing w:before="37" w:line="240" w:lineRule="auto"/>
        <w:ind w:left="726" w:firstLine="714"/>
        <w:rPr>
          <w:rFonts w:ascii="Times New Roman" w:eastAsia="Times New Roman" w:hAnsi="Times New Roman" w:cs="Times New Roman"/>
          <w:bCs/>
          <w:i/>
          <w:iCs/>
          <w:color w:val="000000"/>
          <w:sz w:val="24"/>
          <w:szCs w:val="24"/>
        </w:rPr>
      </w:pPr>
      <w:r w:rsidRPr="00A32B05">
        <w:rPr>
          <w:rFonts w:ascii="Times New Roman" w:eastAsia="Times New Roman" w:hAnsi="Times New Roman" w:cs="Times New Roman"/>
          <w:bCs/>
          <w:i/>
          <w:iCs/>
          <w:color w:val="000000"/>
          <w:sz w:val="24"/>
          <w:szCs w:val="24"/>
          <w:u w:val="single"/>
        </w:rPr>
        <w:t>Trade Preferences</w:t>
      </w:r>
      <w:r w:rsidRPr="00A32B05">
        <w:rPr>
          <w:rFonts w:ascii="Times New Roman" w:eastAsia="Times New Roman" w:hAnsi="Times New Roman" w:cs="Times New Roman"/>
          <w:bCs/>
          <w:i/>
          <w:iCs/>
          <w:color w:val="000000"/>
          <w:sz w:val="24"/>
          <w:szCs w:val="24"/>
        </w:rPr>
        <w:t xml:space="preserve"> </w:t>
      </w:r>
    </w:p>
    <w:p w14:paraId="780002E0" w14:textId="77777777" w:rsidR="004171C9" w:rsidRDefault="00000000">
      <w:pPr>
        <w:widowControl w:val="0"/>
        <w:pBdr>
          <w:top w:val="nil"/>
          <w:left w:val="nil"/>
          <w:bottom w:val="nil"/>
          <w:right w:val="nil"/>
          <w:between w:val="nil"/>
        </w:pBdr>
        <w:spacing w:before="271" w:line="459" w:lineRule="auto"/>
        <w:ind w:left="717" w:right="86"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foundation of trade policy and preferences has centered on interindustry differences. Countries specialize in goods that rely on factors (mostly capital and labor) that they have in abundance and import the goods that use factors that they are scarce in. There are two fundamental competing models of trade preferences based on the previous idea, Stolper-Samelson theorem, and the Ricardo-Viner model. The Stolper-Samuelson theorem assumes that there is capital and labor mobility, so wages and rents of capital are identical across industry. International trade pits countries with abundant factors’ </w:t>
      </w:r>
      <w:proofErr w:type="gramStart"/>
      <w:r>
        <w:rPr>
          <w:rFonts w:ascii="Times New Roman" w:eastAsia="Times New Roman" w:hAnsi="Times New Roman" w:cs="Times New Roman"/>
          <w:color w:val="000000"/>
          <w:sz w:val="24"/>
          <w:szCs w:val="24"/>
        </w:rPr>
        <w:t>industry</w:t>
      </w:r>
      <w:proofErr w:type="gramEnd"/>
      <w:r>
        <w:rPr>
          <w:rFonts w:ascii="Times New Roman" w:eastAsia="Times New Roman" w:hAnsi="Times New Roman" w:cs="Times New Roman"/>
          <w:color w:val="000000"/>
          <w:sz w:val="24"/>
          <w:szCs w:val="24"/>
        </w:rPr>
        <w:t xml:space="preserve"> whose incomes grow with trade against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scarce factors’ </w:t>
      </w:r>
      <w:proofErr w:type="gramStart"/>
      <w:r>
        <w:rPr>
          <w:rFonts w:ascii="Times New Roman" w:eastAsia="Times New Roman" w:hAnsi="Times New Roman" w:cs="Times New Roman"/>
          <w:color w:val="000000"/>
          <w:sz w:val="24"/>
          <w:szCs w:val="24"/>
        </w:rPr>
        <w:t>industry</w:t>
      </w:r>
      <w:proofErr w:type="gramEnd"/>
      <w:r>
        <w:rPr>
          <w:rFonts w:ascii="Times New Roman" w:eastAsia="Times New Roman" w:hAnsi="Times New Roman" w:cs="Times New Roman"/>
          <w:color w:val="000000"/>
          <w:sz w:val="24"/>
          <w:szCs w:val="24"/>
        </w:rPr>
        <w:t xml:space="preserve"> whose incomes decrease with trade. Contrary to this, the Ricardo-Viner model assumes that there is no capital and labor mobility so those in industries with a comparative advantage will prefer free trade and those in industries without a comparative advantage will oppose free trade. Based on these </w:t>
      </w:r>
      <w:proofErr w:type="gramStart"/>
      <w:r>
        <w:rPr>
          <w:rFonts w:ascii="Times New Roman" w:eastAsia="Times New Roman" w:hAnsi="Times New Roman" w:cs="Times New Roman"/>
          <w:color w:val="000000"/>
          <w:sz w:val="24"/>
          <w:szCs w:val="24"/>
        </w:rPr>
        <w:t>models</w:t>
      </w:r>
      <w:proofErr w:type="gramEnd"/>
      <w:r>
        <w:rPr>
          <w:rFonts w:ascii="Times New Roman" w:eastAsia="Times New Roman" w:hAnsi="Times New Roman" w:cs="Times New Roman"/>
          <w:color w:val="000000"/>
          <w:sz w:val="24"/>
          <w:szCs w:val="24"/>
        </w:rPr>
        <w:t xml:space="preserve"> the politics of trade are based on capital and </w:t>
      </w:r>
      <w:r>
        <w:rPr>
          <w:rFonts w:ascii="Times New Roman" w:eastAsia="Times New Roman" w:hAnsi="Times New Roman" w:cs="Times New Roman"/>
          <w:color w:val="000000"/>
          <w:sz w:val="24"/>
          <w:szCs w:val="24"/>
        </w:rPr>
        <w:lastRenderedPageBreak/>
        <w:t xml:space="preserve">labor mobility (Alt et al., 1996; Hiscox, 2002; Beaulieu, 2002;). </w:t>
      </w:r>
    </w:p>
    <w:p w14:paraId="18497582" w14:textId="3CBF2A5B" w:rsidR="004171C9" w:rsidRDefault="00000000" w:rsidP="00A32B05">
      <w:pPr>
        <w:widowControl w:val="0"/>
        <w:pBdr>
          <w:top w:val="nil"/>
          <w:left w:val="nil"/>
          <w:bottom w:val="nil"/>
          <w:right w:val="nil"/>
          <w:between w:val="nil"/>
        </w:pBdr>
        <w:spacing w:before="52" w:line="459" w:lineRule="auto"/>
        <w:ind w:left="726" w:right="166"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problem with these foundational theories is that they don’t have a great track record of describing actual patterns of trade policy (Feenstra, 2015). The new trade theory (NTT) was</w:t>
      </w:r>
      <w:r w:rsidR="00A32B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developed to try to explain the pattern that industries both face export and import competition. NTT identifies that increasing returns of scale and consumers’ love variety creates a large intra industry (Krugman, 1980). NTT assumes firm level homogeneity, so the literature has expanded to incorporate firm heterogeneity in firm centered theories of international trade. Trade liberalization results in a reallocation of products and profits in industries so only the most productive firms can become multinational (Osgood 2016; Kim 2017). Therefore, large firms support trade liberalization and smaller firms do not. Whether or not these preferences translate into trade policy depends on collective action. Due to the difficulties and costs of getting preferences, preferences only translate into trade policy when the costs are high and there are big enough companies to pay for the policy, will preferences turn into policy (Maciel and Fischer 2020). According to collective action, multinationals should always win, resulting in mostly free trade policies. However, this doesn’t explain the current rise in tariffs and </w:t>
      </w:r>
      <w:proofErr w:type="spellStart"/>
      <w:proofErr w:type="gramStart"/>
      <w:r>
        <w:rPr>
          <w:rFonts w:ascii="Times New Roman" w:eastAsia="Times New Roman" w:hAnsi="Times New Roman" w:cs="Times New Roman"/>
          <w:color w:val="000000"/>
          <w:sz w:val="24"/>
          <w:szCs w:val="24"/>
        </w:rPr>
        <w:t>non trade</w:t>
      </w:r>
      <w:proofErr w:type="spellEnd"/>
      <w:proofErr w:type="gramEnd"/>
      <w:r>
        <w:rPr>
          <w:rFonts w:ascii="Times New Roman" w:eastAsia="Times New Roman" w:hAnsi="Times New Roman" w:cs="Times New Roman"/>
          <w:color w:val="000000"/>
          <w:sz w:val="24"/>
          <w:szCs w:val="24"/>
        </w:rPr>
        <w:t xml:space="preserve"> barriers. </w:t>
      </w:r>
    </w:p>
    <w:p w14:paraId="552DB8C5" w14:textId="77777777" w:rsidR="004171C9" w:rsidRDefault="00000000">
      <w:pPr>
        <w:widowControl w:val="0"/>
        <w:pBdr>
          <w:top w:val="nil"/>
          <w:left w:val="nil"/>
          <w:bottom w:val="nil"/>
          <w:right w:val="nil"/>
          <w:between w:val="nil"/>
        </w:pBdr>
        <w:spacing w:before="52" w:line="459" w:lineRule="auto"/>
        <w:ind w:left="719" w:right="1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final area of trade preferences is that of individual voters. Voters are both consumers (who prefer free trade because it decreases prices) and producers (whose preferences depend on their industry). Studies have focused on both voters as consumers and producers generally finding people care more about their role as producers in trade policy since that impacts their source of income (Betz and Pond 2019; Guisinger, 2009; Baker 2005). However, all these economic theories fall to explain </w:t>
      </w:r>
      <w:proofErr w:type="gramStart"/>
      <w:r>
        <w:rPr>
          <w:rFonts w:ascii="Times New Roman" w:eastAsia="Times New Roman" w:hAnsi="Times New Roman" w:cs="Times New Roman"/>
          <w:color w:val="000000"/>
          <w:sz w:val="24"/>
          <w:szCs w:val="24"/>
        </w:rPr>
        <w:t>the majority of</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people</w:t>
      </w:r>
      <w:proofErr w:type="gramEnd"/>
      <w:r>
        <w:rPr>
          <w:rFonts w:ascii="Times New Roman" w:eastAsia="Times New Roman" w:hAnsi="Times New Roman" w:cs="Times New Roman"/>
          <w:color w:val="000000"/>
          <w:sz w:val="24"/>
          <w:szCs w:val="24"/>
        </w:rPr>
        <w:t xml:space="preserve"> preferences, leading to the study of non-economic factors such as identity, partisanship, </w:t>
      </w:r>
      <w:r>
        <w:rPr>
          <w:rFonts w:ascii="Times New Roman" w:eastAsia="Times New Roman" w:hAnsi="Times New Roman" w:cs="Times New Roman"/>
          <w:color w:val="000000"/>
          <w:sz w:val="24"/>
          <w:szCs w:val="24"/>
        </w:rPr>
        <w:lastRenderedPageBreak/>
        <w:t xml:space="preserve">and gender which have impacted people’s trade preferences (Brutger, and Guisinger, 2021; Keser et al, 2023, Mutz and Eunji Kim 2017). Trade preferences are not solely determined by a person's industry and a country's comparative advantage. Several studies (Botelho et al 2009, List 2006) have </w:t>
      </w:r>
      <w:proofErr w:type="gramStart"/>
      <w:r>
        <w:rPr>
          <w:rFonts w:ascii="Times New Roman" w:eastAsia="Times New Roman" w:hAnsi="Times New Roman" w:cs="Times New Roman"/>
          <w:color w:val="000000"/>
          <w:sz w:val="24"/>
          <w:szCs w:val="24"/>
        </w:rPr>
        <w:t>found</w:t>
      </w:r>
      <w:proofErr w:type="gramEnd"/>
      <w:r>
        <w:rPr>
          <w:rFonts w:ascii="Times New Roman" w:eastAsia="Times New Roman" w:hAnsi="Times New Roman" w:cs="Times New Roman"/>
          <w:color w:val="000000"/>
          <w:sz w:val="24"/>
          <w:szCs w:val="24"/>
        </w:rPr>
        <w:t xml:space="preserve"> through lab experiments</w:t>
      </w:r>
    </w:p>
    <w:p w14:paraId="171E395C" w14:textId="77777777" w:rsidR="00A32B05" w:rsidRDefault="00000000">
      <w:pPr>
        <w:widowControl w:val="0"/>
        <w:pBdr>
          <w:top w:val="nil"/>
          <w:left w:val="nil"/>
          <w:bottom w:val="nil"/>
          <w:right w:val="nil"/>
          <w:between w:val="nil"/>
        </w:pBdr>
        <w:spacing w:line="459" w:lineRule="auto"/>
        <w:ind w:left="720" w:right="7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that individuals often betray rationalist game theories expectations that are foundation to traditional economic theory. This allows trade preferences to be shaped by political elites. </w:t>
      </w:r>
    </w:p>
    <w:p w14:paraId="56162E6A" w14:textId="48343D3D" w:rsidR="004171C9" w:rsidRPr="00A32B05" w:rsidRDefault="00000000" w:rsidP="00A32B05">
      <w:pPr>
        <w:widowControl w:val="0"/>
        <w:pBdr>
          <w:top w:val="nil"/>
          <w:left w:val="nil"/>
          <w:bottom w:val="nil"/>
          <w:right w:val="nil"/>
          <w:between w:val="nil"/>
        </w:pBdr>
        <w:spacing w:line="459" w:lineRule="auto"/>
        <w:ind w:left="720" w:right="771" w:firstLine="720"/>
        <w:rPr>
          <w:rFonts w:ascii="Times New Roman" w:eastAsia="Times New Roman" w:hAnsi="Times New Roman" w:cs="Times New Roman"/>
          <w:bCs/>
          <w:i/>
          <w:iCs/>
          <w:color w:val="000000"/>
          <w:sz w:val="24"/>
          <w:szCs w:val="24"/>
        </w:rPr>
      </w:pPr>
      <w:r w:rsidRPr="00A32B05">
        <w:rPr>
          <w:rFonts w:ascii="Times New Roman" w:eastAsia="Times New Roman" w:hAnsi="Times New Roman" w:cs="Times New Roman"/>
          <w:bCs/>
          <w:i/>
          <w:iCs/>
          <w:color w:val="000000"/>
          <w:sz w:val="24"/>
          <w:szCs w:val="24"/>
          <w:u w:val="single"/>
        </w:rPr>
        <w:t>Elite Influence</w:t>
      </w:r>
      <w:r w:rsidRPr="00A32B05">
        <w:rPr>
          <w:rFonts w:ascii="Times New Roman" w:eastAsia="Times New Roman" w:hAnsi="Times New Roman" w:cs="Times New Roman"/>
          <w:bCs/>
          <w:i/>
          <w:iCs/>
          <w:color w:val="000000"/>
          <w:sz w:val="24"/>
          <w:szCs w:val="24"/>
        </w:rPr>
        <w:t xml:space="preserve"> </w:t>
      </w:r>
    </w:p>
    <w:p w14:paraId="2BFF71F9" w14:textId="77777777" w:rsidR="004171C9" w:rsidRDefault="00000000">
      <w:pPr>
        <w:widowControl w:val="0"/>
        <w:pBdr>
          <w:top w:val="nil"/>
          <w:left w:val="nil"/>
          <w:bottom w:val="nil"/>
          <w:right w:val="nil"/>
          <w:between w:val="nil"/>
        </w:pBdr>
        <w:spacing w:before="52" w:line="459" w:lineRule="auto"/>
        <w:ind w:left="717" w:right="22" w:firstLine="72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There are many theories for why people are influenced by their political position and statements. A prominent theory is that people use politicians and political parties as informational shortcuts, people time and mental capacity is limited so they use opinion of politician and parties they trust to form an opinion (Carmines and Kuklinski 1990; Lupia 2006; Sniderman and Stiglitz 2012). Another theoretical model emphasizes the importance of politicians and their associated political parties with individual identity.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maintain a strong partisan identity and prove their loyalty to the group, people adopt their politicians and political parties' policies and beliefs (Campbell et al. 1960; Green, Palmquist and Schickler 2002; Huddy, Mason and Aarøe 2015). Finally, studies have examined how politicians engage in agenda setting in public, using their superior resources and recognition to make certain policies and issues more dominant in the public discourse (Rogers and Dearing; Birkland 2017; </w:t>
      </w:r>
      <w:proofErr w:type="spellStart"/>
      <w:r>
        <w:rPr>
          <w:rFonts w:ascii="Times New Roman" w:eastAsia="Times New Roman" w:hAnsi="Times New Roman" w:cs="Times New Roman"/>
          <w:color w:val="000000"/>
          <w:sz w:val="24"/>
          <w:szCs w:val="24"/>
        </w:rPr>
        <w:t>Protess</w:t>
      </w:r>
      <w:proofErr w:type="spellEnd"/>
      <w:r>
        <w:rPr>
          <w:rFonts w:ascii="Times New Roman" w:eastAsia="Times New Roman" w:hAnsi="Times New Roman" w:cs="Times New Roman"/>
          <w:color w:val="000000"/>
          <w:sz w:val="24"/>
          <w:szCs w:val="24"/>
        </w:rPr>
        <w:t xml:space="preserve"> and McCombs 2016). </w:t>
      </w:r>
    </w:p>
    <w:p w14:paraId="5ED7F84C" w14:textId="7797D648" w:rsidR="004171C9" w:rsidRDefault="00000000" w:rsidP="00A32B05">
      <w:pPr>
        <w:widowControl w:val="0"/>
        <w:pBdr>
          <w:top w:val="nil"/>
          <w:left w:val="nil"/>
          <w:bottom w:val="nil"/>
          <w:right w:val="nil"/>
          <w:between w:val="nil"/>
        </w:pBdr>
        <w:spacing w:before="52" w:line="459" w:lineRule="auto"/>
        <w:ind w:left="717" w:right="22"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Elite influence and cues on public opinion on trade policies are limited mostly to </w:t>
      </w:r>
      <w:proofErr w:type="gramStart"/>
      <w:r>
        <w:rPr>
          <w:rFonts w:ascii="Times New Roman" w:eastAsia="Times New Roman" w:hAnsi="Times New Roman" w:cs="Times New Roman"/>
          <w:color w:val="000000"/>
          <w:sz w:val="24"/>
          <w:szCs w:val="24"/>
        </w:rPr>
        <w:t>particular large</w:t>
      </w:r>
      <w:proofErr w:type="gramEnd"/>
      <w:r>
        <w:rPr>
          <w:rFonts w:ascii="Times New Roman" w:eastAsia="Times New Roman" w:hAnsi="Times New Roman" w:cs="Times New Roman"/>
          <w:color w:val="000000"/>
          <w:sz w:val="24"/>
          <w:szCs w:val="24"/>
        </w:rPr>
        <w:t xml:space="preserve"> trade deals such as NAFTA and TPP (Dur and Mateo 2014; Scrubby 2022). Trump and his cues have been the subject of scholars in trying to understand how he gained support for </w:t>
      </w:r>
      <w:proofErr w:type="spellStart"/>
      <w:r>
        <w:rPr>
          <w:rFonts w:ascii="Times New Roman" w:eastAsia="Times New Roman" w:hAnsi="Times New Roman" w:cs="Times New Roman"/>
          <w:color w:val="000000"/>
          <w:sz w:val="24"/>
          <w:szCs w:val="24"/>
        </w:rPr>
        <w:t>anti free</w:t>
      </w:r>
      <w:proofErr w:type="spellEnd"/>
      <w:r>
        <w:rPr>
          <w:rFonts w:ascii="Times New Roman" w:eastAsia="Times New Roman" w:hAnsi="Times New Roman" w:cs="Times New Roman"/>
          <w:color w:val="000000"/>
          <w:sz w:val="24"/>
          <w:szCs w:val="24"/>
        </w:rPr>
        <w:t xml:space="preserve"> trade policies (Essig et al 2021; </w:t>
      </w:r>
      <w:proofErr w:type="spellStart"/>
      <w:r>
        <w:rPr>
          <w:rFonts w:ascii="Times New Roman" w:eastAsia="Times New Roman" w:hAnsi="Times New Roman" w:cs="Times New Roman"/>
          <w:color w:val="000000"/>
          <w:sz w:val="24"/>
          <w:szCs w:val="24"/>
        </w:rPr>
        <w:t>Bledon</w:t>
      </w:r>
      <w:proofErr w:type="spellEnd"/>
      <w:r>
        <w:rPr>
          <w:rFonts w:ascii="Times New Roman" w:eastAsia="Times New Roman" w:hAnsi="Times New Roman" w:cs="Times New Roman"/>
          <w:color w:val="000000"/>
          <w:sz w:val="24"/>
          <w:szCs w:val="24"/>
        </w:rPr>
        <w:t xml:space="preserve"> et al 2017; Keser </w:t>
      </w:r>
      <w:r>
        <w:rPr>
          <w:rFonts w:ascii="Times New Roman" w:eastAsia="Times New Roman" w:hAnsi="Times New Roman" w:cs="Times New Roman"/>
          <w:color w:val="000000"/>
          <w:sz w:val="24"/>
          <w:szCs w:val="24"/>
        </w:rPr>
        <w:lastRenderedPageBreak/>
        <w:t xml:space="preserve">et al). These studies are however limited, due to the </w:t>
      </w:r>
      <w:proofErr w:type="gramStart"/>
      <w:r>
        <w:rPr>
          <w:rFonts w:ascii="Times New Roman" w:eastAsia="Times New Roman" w:hAnsi="Times New Roman" w:cs="Times New Roman"/>
          <w:color w:val="000000"/>
          <w:sz w:val="24"/>
          <w:szCs w:val="24"/>
        </w:rPr>
        <w:t>long time</w:t>
      </w:r>
      <w:proofErr w:type="gramEnd"/>
      <w:r>
        <w:rPr>
          <w:rFonts w:ascii="Times New Roman" w:eastAsia="Times New Roman" w:hAnsi="Times New Roman" w:cs="Times New Roman"/>
          <w:color w:val="000000"/>
          <w:sz w:val="24"/>
          <w:szCs w:val="24"/>
        </w:rPr>
        <w:t xml:space="preserve"> consensus that public opinion on trade does not matter </w:t>
      </w:r>
      <w:proofErr w:type="gramStart"/>
      <w:r>
        <w:rPr>
          <w:rFonts w:ascii="Times New Roman" w:eastAsia="Times New Roman" w:hAnsi="Times New Roman" w:cs="Times New Roman"/>
          <w:color w:val="000000"/>
          <w:sz w:val="24"/>
          <w:szCs w:val="24"/>
        </w:rPr>
        <w:t>due</w:t>
      </w:r>
      <w:proofErr w:type="gramEnd"/>
      <w:r>
        <w:rPr>
          <w:rFonts w:ascii="Times New Roman" w:eastAsia="Times New Roman" w:hAnsi="Times New Roman" w:cs="Times New Roman"/>
          <w:color w:val="000000"/>
          <w:sz w:val="24"/>
          <w:szCs w:val="24"/>
        </w:rPr>
        <w:t xml:space="preserve"> complexities of trade agreement (Kono, 2008). This was a sufficient answer in the 90s and 2000s back when Republicans were supporters of free trade. </w:t>
      </w:r>
      <w:proofErr w:type="gramStart"/>
      <w:r>
        <w:rPr>
          <w:rFonts w:ascii="Times New Roman" w:eastAsia="Times New Roman" w:hAnsi="Times New Roman" w:cs="Times New Roman"/>
          <w:color w:val="000000"/>
          <w:sz w:val="24"/>
          <w:szCs w:val="24"/>
        </w:rPr>
        <w:t>However</w:t>
      </w:r>
      <w:proofErr w:type="gramEnd"/>
      <w:r>
        <w:rPr>
          <w:rFonts w:ascii="Times New Roman" w:eastAsia="Times New Roman" w:hAnsi="Times New Roman" w:cs="Times New Roman"/>
          <w:color w:val="000000"/>
          <w:sz w:val="24"/>
          <w:szCs w:val="24"/>
        </w:rPr>
        <w:t xml:space="preserve"> in today's political environment, both Democrats and Republicans are bringing up the topic of tariffs </w:t>
      </w:r>
      <w:r w:rsidR="00A76164">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gain</w:t>
      </w:r>
      <w:r w:rsidR="00A32B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support for their political </w:t>
      </w:r>
      <w:proofErr w:type="gramStart"/>
      <w:r>
        <w:rPr>
          <w:rFonts w:ascii="Times New Roman" w:eastAsia="Times New Roman" w:hAnsi="Times New Roman" w:cs="Times New Roman"/>
          <w:color w:val="000000"/>
          <w:sz w:val="24"/>
          <w:szCs w:val="24"/>
        </w:rPr>
        <w:t>party as a whole</w:t>
      </w:r>
      <w:proofErr w:type="gramEnd"/>
      <w:r>
        <w:rPr>
          <w:rFonts w:ascii="Times New Roman" w:eastAsia="Times New Roman" w:hAnsi="Times New Roman" w:cs="Times New Roman"/>
          <w:color w:val="000000"/>
          <w:sz w:val="24"/>
          <w:szCs w:val="24"/>
        </w:rPr>
        <w:t xml:space="preserve">. The language that both parties are using as cues has changed in the last decade, shifting to be national security based arguments. Political elites are using their scarce platforms, time, and agenda setting power to talk about tariffs. This paper seeks to develop a theory on why and how political elites use trade policy and the justification of national security to aid their own popularity and goal. </w:t>
      </w:r>
    </w:p>
    <w:p w14:paraId="1E5D6E54" w14:textId="77777777" w:rsidR="004171C9" w:rsidRPr="00A32B05" w:rsidRDefault="00000000" w:rsidP="00A32B05">
      <w:pPr>
        <w:widowControl w:val="0"/>
        <w:pBdr>
          <w:top w:val="nil"/>
          <w:left w:val="nil"/>
          <w:bottom w:val="nil"/>
          <w:right w:val="nil"/>
          <w:between w:val="nil"/>
        </w:pBdr>
        <w:spacing w:before="52" w:line="240" w:lineRule="auto"/>
        <w:ind w:left="730" w:firstLine="710"/>
        <w:rPr>
          <w:rFonts w:ascii="Times New Roman" w:eastAsia="Times New Roman" w:hAnsi="Times New Roman" w:cs="Times New Roman"/>
          <w:bCs/>
          <w:i/>
          <w:iCs/>
          <w:color w:val="000000"/>
          <w:sz w:val="24"/>
          <w:szCs w:val="24"/>
        </w:rPr>
      </w:pPr>
      <w:r w:rsidRPr="00A32B05">
        <w:rPr>
          <w:rFonts w:ascii="Times New Roman" w:eastAsia="Times New Roman" w:hAnsi="Times New Roman" w:cs="Times New Roman"/>
          <w:bCs/>
          <w:i/>
          <w:iCs/>
          <w:color w:val="000000"/>
          <w:sz w:val="24"/>
          <w:szCs w:val="24"/>
          <w:u w:val="single"/>
        </w:rPr>
        <w:t>Securitization</w:t>
      </w:r>
      <w:r w:rsidRPr="00A32B05">
        <w:rPr>
          <w:rFonts w:ascii="Times New Roman" w:eastAsia="Times New Roman" w:hAnsi="Times New Roman" w:cs="Times New Roman"/>
          <w:bCs/>
          <w:i/>
          <w:iCs/>
          <w:color w:val="000000"/>
          <w:sz w:val="24"/>
          <w:szCs w:val="24"/>
        </w:rPr>
        <w:t xml:space="preserve"> </w:t>
      </w:r>
    </w:p>
    <w:p w14:paraId="599DBDB5" w14:textId="77777777" w:rsidR="00A32B05" w:rsidRDefault="00000000" w:rsidP="00A32B05">
      <w:pPr>
        <w:widowControl w:val="0"/>
        <w:pBdr>
          <w:top w:val="nil"/>
          <w:left w:val="nil"/>
          <w:bottom w:val="nil"/>
          <w:right w:val="nil"/>
          <w:between w:val="nil"/>
        </w:pBdr>
        <w:spacing w:before="271" w:line="459" w:lineRule="auto"/>
        <w:ind w:left="717" w:right="40"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United States is both a founding member and one of the most influential participants in the World Trade Organization (WTO). The WTO’s primary goal is to reduce trade barriers among its members, promoting the benefits of free trade. However, many countries, including powerful ones like the U.S., often turn to protectionism for various reasons. To address situations where large nations implement protectionist policies, the WTO has developed a list of exceptions, including the important security clause. This clause is intentionally broad, allowing states to implement protectionist measures in the name of national security. As long as the security clause is not overused it will remain </w:t>
      </w:r>
      <w:proofErr w:type="gramStart"/>
      <w:r>
        <w:rPr>
          <w:rFonts w:ascii="Times New Roman" w:eastAsia="Times New Roman" w:hAnsi="Times New Roman" w:cs="Times New Roman"/>
          <w:color w:val="000000"/>
          <w:sz w:val="24"/>
          <w:szCs w:val="24"/>
        </w:rPr>
        <w:t>exogenous</w:t>
      </w:r>
      <w:proofErr w:type="gramEnd"/>
      <w:r>
        <w:rPr>
          <w:rFonts w:ascii="Times New Roman" w:eastAsia="Times New Roman" w:hAnsi="Times New Roman" w:cs="Times New Roman"/>
          <w:color w:val="000000"/>
          <w:sz w:val="24"/>
          <w:szCs w:val="24"/>
        </w:rPr>
        <w:t xml:space="preserve"> and the WTO can remain binding. For the United States, maintaining the WTO is important because it allows the US to benefit from free trade, but ideally the US would have free trade with its partners but keep its own protectionists. However, if the security clause is used too often, the exogeneity of the security clause may no longer hold, threatening the stability of the WTO. Given the importance of the </w:t>
      </w:r>
      <w:r>
        <w:rPr>
          <w:rFonts w:ascii="Times New Roman" w:eastAsia="Times New Roman" w:hAnsi="Times New Roman" w:cs="Times New Roman"/>
          <w:color w:val="000000"/>
          <w:sz w:val="24"/>
          <w:szCs w:val="24"/>
        </w:rPr>
        <w:lastRenderedPageBreak/>
        <w:t xml:space="preserve">security </w:t>
      </w:r>
      <w:proofErr w:type="gramStart"/>
      <w:r>
        <w:rPr>
          <w:rFonts w:ascii="Times New Roman" w:eastAsia="Times New Roman" w:hAnsi="Times New Roman" w:cs="Times New Roman"/>
          <w:color w:val="000000"/>
          <w:sz w:val="24"/>
          <w:szCs w:val="24"/>
        </w:rPr>
        <w:t>exception</w:t>
      </w:r>
      <w:proofErr w:type="gramEnd"/>
      <w:r>
        <w:rPr>
          <w:rFonts w:ascii="Times New Roman" w:eastAsia="Times New Roman" w:hAnsi="Times New Roman" w:cs="Times New Roman"/>
          <w:color w:val="000000"/>
          <w:sz w:val="24"/>
          <w:szCs w:val="24"/>
        </w:rPr>
        <w:t xml:space="preserve"> it is crucial to understand when a powerful state like the US uses it in its trade policy (Daku and Pel, 2015). </w:t>
      </w:r>
    </w:p>
    <w:p w14:paraId="2FF3BE9A" w14:textId="2CC79C3C" w:rsidR="004171C9" w:rsidRDefault="00000000" w:rsidP="00A32B05">
      <w:pPr>
        <w:widowControl w:val="0"/>
        <w:pBdr>
          <w:top w:val="nil"/>
          <w:left w:val="nil"/>
          <w:bottom w:val="nil"/>
          <w:right w:val="nil"/>
          <w:between w:val="nil"/>
        </w:pBdr>
        <w:spacing w:before="271" w:line="459" w:lineRule="auto"/>
        <w:ind w:left="717" w:right="40"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 has been increasingly citing national security to justify protectionist policies.</w:t>
      </w:r>
      <w:r w:rsidR="00A32B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example, in foreign investment, Western nations have been grappling with Huawei over 5G technology, citing national security concerns (Cohen, 2020). Countries have also</w:t>
      </w:r>
      <w:r w:rsidR="00A32B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used the WTO’s</w:t>
      </w:r>
      <w:r w:rsidR="00A32B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security provision to avoid direct trade conflicts, such as the U.S. imposing aluminum tariffs on China and the UAE's blockade of Qatar (Cohen, 2020). Scholars like Eichensehr and Hwang (2023) refer to this trend as "national security creep," especially in relation to the expanded powers of the Committee on Foreign Investment in the United States (CFIUS) to regulate outbound U.S. investment. There is a growing need to understand why countries, particularly powerful ones like the U.S., increasingly frame trade policies around national security. The existing literature lacks a comprehensive theory explaining when and why politicians resort to securitization and how effective it is in shaping public opinion and trade policy. The next section of this paper seeks to address this gap by offering a theoretical framework for securitization in trade policy. </w:t>
      </w:r>
    </w:p>
    <w:p w14:paraId="34E3DED8" w14:textId="77777777" w:rsidR="004171C9" w:rsidRDefault="00000000">
      <w:pPr>
        <w:widowControl w:val="0"/>
        <w:pBdr>
          <w:top w:val="nil"/>
          <w:left w:val="nil"/>
          <w:bottom w:val="nil"/>
          <w:right w:val="nil"/>
          <w:between w:val="nil"/>
        </w:pBdr>
        <w:spacing w:before="52" w:line="240" w:lineRule="auto"/>
        <w:ind w:left="7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Theory</w:t>
      </w:r>
      <w:r>
        <w:rPr>
          <w:rFonts w:ascii="Times New Roman" w:eastAsia="Times New Roman" w:hAnsi="Times New Roman" w:cs="Times New Roman"/>
          <w:b/>
          <w:color w:val="000000"/>
          <w:sz w:val="24"/>
          <w:szCs w:val="24"/>
        </w:rPr>
        <w:t xml:space="preserve"> </w:t>
      </w:r>
    </w:p>
    <w:p w14:paraId="24E8CBD7" w14:textId="77777777" w:rsidR="004171C9" w:rsidRDefault="00000000">
      <w:pPr>
        <w:widowControl w:val="0"/>
        <w:pBdr>
          <w:top w:val="nil"/>
          <w:left w:val="nil"/>
          <w:bottom w:val="nil"/>
          <w:right w:val="nil"/>
          <w:between w:val="nil"/>
        </w:pBdr>
        <w:spacing w:before="271" w:line="459" w:lineRule="auto"/>
        <w:ind w:left="717" w:right="25" w:firstLine="72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paper's theory begins with the behavior of individual voters in the United States. Voters have limited knowledge, resources, and capacity for processing additional information. Like most people, they tend to specialize in their own fields, which narrows their focus. Time spent on subjects like politics takes away from time spent on their careers or leisure activities. As a result, the average voter is generally uninformed about politics, with their knowledge typically centered on prominent issues like abortion. Since voters have limited knowledge, voters will take cues from political elites to save time and </w:t>
      </w:r>
      <w:r>
        <w:rPr>
          <w:rFonts w:ascii="Times New Roman" w:eastAsia="Times New Roman" w:hAnsi="Times New Roman" w:cs="Times New Roman"/>
          <w:color w:val="000000"/>
          <w:sz w:val="24"/>
          <w:szCs w:val="24"/>
        </w:rPr>
        <w:lastRenderedPageBreak/>
        <w:t xml:space="preserve">energy. Political parties are the most common form of this idea, voters choose the party that </w:t>
      </w:r>
      <w:proofErr w:type="gramStart"/>
      <w:r>
        <w:rPr>
          <w:rFonts w:ascii="Times New Roman" w:eastAsia="Times New Roman" w:hAnsi="Times New Roman" w:cs="Times New Roman"/>
          <w:color w:val="000000"/>
          <w:sz w:val="24"/>
          <w:szCs w:val="24"/>
        </w:rPr>
        <w:t>most closely</w:t>
      </w:r>
      <w:proofErr w:type="gramEnd"/>
      <w:r>
        <w:rPr>
          <w:rFonts w:ascii="Times New Roman" w:eastAsia="Times New Roman" w:hAnsi="Times New Roman" w:cs="Times New Roman"/>
          <w:color w:val="000000"/>
          <w:sz w:val="24"/>
          <w:szCs w:val="24"/>
        </w:rPr>
        <w:t xml:space="preserve"> aligns with their preferences and vote for their party candidates. Political parties are the most common source of these cues; voters select the party that aligns with their preferences and </w:t>
      </w:r>
      <w:proofErr w:type="gramStart"/>
      <w:r>
        <w:rPr>
          <w:rFonts w:ascii="Times New Roman" w:eastAsia="Times New Roman" w:hAnsi="Times New Roman" w:cs="Times New Roman"/>
          <w:color w:val="000000"/>
          <w:sz w:val="24"/>
          <w:szCs w:val="24"/>
        </w:rPr>
        <w:t>support</w:t>
      </w:r>
      <w:proofErr w:type="gramEnd"/>
      <w:r>
        <w:rPr>
          <w:rFonts w:ascii="Times New Roman" w:eastAsia="Times New Roman" w:hAnsi="Times New Roman" w:cs="Times New Roman"/>
          <w:color w:val="000000"/>
          <w:sz w:val="24"/>
          <w:szCs w:val="24"/>
        </w:rPr>
        <w:t xml:space="preserve"> that party’s candidates. When confronted with a complex issue, especially one involving bureaucratic processes or international relations, voters tend to adopt the stance of their party or most trusted politician.</w:t>
      </w:r>
    </w:p>
    <w:p w14:paraId="11E0BE41" w14:textId="7135C970" w:rsidR="004171C9" w:rsidRDefault="00000000">
      <w:pPr>
        <w:widowControl w:val="0"/>
        <w:pBdr>
          <w:top w:val="nil"/>
          <w:left w:val="nil"/>
          <w:bottom w:val="nil"/>
          <w:right w:val="nil"/>
          <w:between w:val="nil"/>
        </w:pBdr>
        <w:spacing w:before="271" w:line="459" w:lineRule="auto"/>
        <w:ind w:left="717" w:right="25" w:firstLine="72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Tariffs fall into the </w:t>
      </w:r>
      <w:r w:rsidR="00274767">
        <w:rPr>
          <w:rFonts w:ascii="Times New Roman" w:eastAsia="Times New Roman" w:hAnsi="Times New Roman" w:cs="Times New Roman"/>
          <w:color w:val="000000"/>
          <w:sz w:val="24"/>
          <w:szCs w:val="24"/>
        </w:rPr>
        <w:t>category</w:t>
      </w:r>
      <w:r>
        <w:rPr>
          <w:rFonts w:ascii="Times New Roman" w:eastAsia="Times New Roman" w:hAnsi="Times New Roman" w:cs="Times New Roman"/>
          <w:color w:val="000000"/>
          <w:sz w:val="24"/>
          <w:szCs w:val="24"/>
        </w:rPr>
        <w:t xml:space="preserve"> of complex issues. Tariffs are complicated and involve actors beyond just the United States itself, resulting in the average voter knowing very little about tariffs. This allows political parties and leaders to not only control the information available but also shape voters' opinions on tariffs. Strong partisans are the most likely to simply adopt their party’s view, not needing further information since they’ll strongly believe that aligns with their own preferences since it's their party's view. For those with weaker partisanship, parties and political elites still play a role through their agenda setting power.</w:t>
      </w:r>
    </w:p>
    <w:p w14:paraId="246F8954" w14:textId="77777777" w:rsidR="00274767" w:rsidRDefault="00000000" w:rsidP="00274767">
      <w:pPr>
        <w:widowControl w:val="0"/>
        <w:pBdr>
          <w:top w:val="nil"/>
          <w:left w:val="nil"/>
          <w:bottom w:val="nil"/>
          <w:right w:val="nil"/>
          <w:between w:val="nil"/>
        </w:pBdr>
        <w:spacing w:before="271" w:line="459" w:lineRule="auto"/>
        <w:ind w:left="717" w:right="25" w:firstLine="72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Political elites have more resources, including money and visibility, to disseminate their messages. Their ability to control the public narrative gives them significant agenda-setting power, especially on issues like tariffs, where voters have limited knowledge. Politicians have two core interests (Mayhew 1974), they want to stay in power (win reelection) and have their policy preferences realized. Agenda setting on issues such as tariffs gives politicians the opportunity to achieve </w:t>
      </w:r>
      <w:proofErr w:type="gramStart"/>
      <w:r>
        <w:rPr>
          <w:rFonts w:ascii="Times New Roman" w:eastAsia="Times New Roman" w:hAnsi="Times New Roman" w:cs="Times New Roman"/>
          <w:color w:val="000000"/>
          <w:sz w:val="24"/>
          <w:szCs w:val="24"/>
        </w:rPr>
        <w:t>both of these</w:t>
      </w:r>
      <w:proofErr w:type="gramEnd"/>
      <w:r>
        <w:rPr>
          <w:rFonts w:ascii="Times New Roman" w:eastAsia="Times New Roman" w:hAnsi="Times New Roman" w:cs="Times New Roman"/>
          <w:color w:val="000000"/>
          <w:sz w:val="24"/>
          <w:szCs w:val="24"/>
        </w:rPr>
        <w:t xml:space="preserve"> interests. By setting the agenda on issues like tariffs, politicians can achieve both goals—boosting their popularity while driving support for their policies. Since politicians have limited time and resources, they focus on issues that maximize gains in both popularity and policy impact. </w:t>
      </w:r>
    </w:p>
    <w:p w14:paraId="765B5153" w14:textId="251E05DF" w:rsidR="00274767" w:rsidRDefault="00000000" w:rsidP="00274767">
      <w:pPr>
        <w:widowControl w:val="0"/>
        <w:pBdr>
          <w:top w:val="nil"/>
          <w:left w:val="nil"/>
          <w:bottom w:val="nil"/>
          <w:right w:val="nil"/>
          <w:between w:val="nil"/>
        </w:pBdr>
        <w:spacing w:before="271" w:line="459" w:lineRule="auto"/>
        <w:ind w:left="717" w:right="25" w:firstLine="7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Agenda-setting is most effective when politicians can frame an issue in terms of in-groups and out-groups. The more threatening the out-group seems, the more unified and defensive the in-group becomes, offering significant political gains. Those in the in group become more resistant to </w:t>
      </w:r>
      <w:r w:rsidR="00A76164">
        <w:rPr>
          <w:rFonts w:ascii="Times New Roman" w:eastAsia="Times New Roman" w:hAnsi="Times New Roman" w:cs="Times New Roman"/>
          <w:color w:val="000000"/>
          <w:sz w:val="24"/>
          <w:szCs w:val="24"/>
        </w:rPr>
        <w:t>attempting</w:t>
      </w:r>
      <w:r>
        <w:rPr>
          <w:rFonts w:ascii="Times New Roman" w:eastAsia="Times New Roman" w:hAnsi="Times New Roman" w:cs="Times New Roman"/>
          <w:color w:val="000000"/>
          <w:sz w:val="24"/>
          <w:szCs w:val="24"/>
        </w:rPr>
        <w:t xml:space="preserve"> to change their position and more defensive of those within their group, both incredible gains for a politician. The greatest threat to the group is one that</w:t>
      </w:r>
      <w:r w:rsidR="00274767">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threatens its security and its very existence. Tariffs allow politicians to leverage these fears through arguments about national security. This leads us to the </w:t>
      </w:r>
      <w:r w:rsidR="00A76164">
        <w:rPr>
          <w:rFonts w:ascii="Times New Roman" w:eastAsia="Times New Roman" w:hAnsi="Times New Roman" w:cs="Times New Roman"/>
          <w:color w:val="000000"/>
          <w:sz w:val="24"/>
          <w:szCs w:val="24"/>
        </w:rPr>
        <w:t>paper’s</w:t>
      </w:r>
      <w:r>
        <w:rPr>
          <w:rFonts w:ascii="Times New Roman" w:eastAsia="Times New Roman" w:hAnsi="Times New Roman" w:cs="Times New Roman"/>
          <w:color w:val="000000"/>
          <w:sz w:val="24"/>
          <w:szCs w:val="24"/>
        </w:rPr>
        <w:t xml:space="preserve"> core hypothesis: </w:t>
      </w:r>
    </w:p>
    <w:p w14:paraId="6B6435C6" w14:textId="0AB35323" w:rsidR="004171C9" w:rsidRPr="00274767" w:rsidRDefault="00000000" w:rsidP="00274767">
      <w:pPr>
        <w:widowControl w:val="0"/>
        <w:pBdr>
          <w:top w:val="nil"/>
          <w:left w:val="nil"/>
          <w:bottom w:val="nil"/>
          <w:right w:val="nil"/>
          <w:between w:val="nil"/>
        </w:pBdr>
        <w:spacing w:before="271" w:line="459" w:lineRule="auto"/>
        <w:ind w:left="717" w:right="25" w:firstLine="72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Hypothesis 1:</w:t>
      </w:r>
      <w:r>
        <w:rPr>
          <w:rFonts w:ascii="Times New Roman" w:eastAsia="Times New Roman" w:hAnsi="Times New Roman" w:cs="Times New Roman"/>
          <w:b/>
          <w:color w:val="000000"/>
          <w:sz w:val="24"/>
          <w:szCs w:val="24"/>
        </w:rPr>
        <w:t xml:space="preserve"> </w:t>
      </w:r>
      <w:r w:rsidR="00E150C4">
        <w:rPr>
          <w:rFonts w:ascii="Times New Roman" w:eastAsia="Times New Roman" w:hAnsi="Times New Roman" w:cs="Times New Roman"/>
          <w:color w:val="000000"/>
          <w:sz w:val="24"/>
          <w:szCs w:val="24"/>
        </w:rPr>
        <w:t xml:space="preserve">United States Congressman will use national </w:t>
      </w:r>
      <w:proofErr w:type="spellStart"/>
      <w:r w:rsidR="00E150C4">
        <w:rPr>
          <w:rFonts w:ascii="Times New Roman" w:eastAsia="Times New Roman" w:hAnsi="Times New Roman" w:cs="Times New Roman"/>
          <w:color w:val="000000"/>
          <w:sz w:val="24"/>
          <w:szCs w:val="24"/>
        </w:rPr>
        <w:t>securiety</w:t>
      </w:r>
      <w:proofErr w:type="spellEnd"/>
      <w:r w:rsidR="00E150C4">
        <w:rPr>
          <w:rFonts w:ascii="Times New Roman" w:eastAsia="Times New Roman" w:hAnsi="Times New Roman" w:cs="Times New Roman"/>
          <w:color w:val="000000"/>
          <w:sz w:val="24"/>
          <w:szCs w:val="24"/>
        </w:rPr>
        <w:t xml:space="preserve"> arguments at a greater frequency than</w:t>
      </w:r>
      <w:r>
        <w:rPr>
          <w:rFonts w:ascii="Times New Roman" w:eastAsia="Times New Roman" w:hAnsi="Times New Roman" w:cs="Times New Roman"/>
          <w:color w:val="000000"/>
          <w:sz w:val="24"/>
          <w:szCs w:val="24"/>
        </w:rPr>
        <w:t xml:space="preserve"> protectionism</w:t>
      </w:r>
      <w:r w:rsidR="00E150C4">
        <w:rPr>
          <w:rFonts w:ascii="Times New Roman" w:eastAsia="Times New Roman" w:hAnsi="Times New Roman" w:cs="Times New Roman"/>
          <w:color w:val="000000"/>
          <w:sz w:val="24"/>
          <w:szCs w:val="24"/>
        </w:rPr>
        <w:t xml:space="preserve"> arguments</w:t>
      </w:r>
      <w:r>
        <w:rPr>
          <w:rFonts w:ascii="Times New Roman" w:eastAsia="Times New Roman" w:hAnsi="Times New Roman" w:cs="Times New Roman"/>
          <w:color w:val="000000"/>
          <w:sz w:val="24"/>
          <w:szCs w:val="24"/>
        </w:rPr>
        <w:t xml:space="preserve">. </w:t>
      </w:r>
    </w:p>
    <w:p w14:paraId="7E6FCBB6" w14:textId="0BD40CCA" w:rsidR="004171C9" w:rsidRDefault="00000000">
      <w:pPr>
        <w:widowControl w:val="0"/>
        <w:pBdr>
          <w:top w:val="nil"/>
          <w:left w:val="nil"/>
          <w:bottom w:val="nil"/>
          <w:right w:val="nil"/>
          <w:between w:val="nil"/>
        </w:pBdr>
        <w:spacing w:before="52" w:line="459" w:lineRule="auto"/>
        <w:ind w:left="717" w:right="39" w:firstLine="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core element to using a national security argument is the need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an outside threat or enemy. The most prominent enemy, which has been used in previous trade and security (Jin </w:t>
      </w:r>
      <w:proofErr w:type="spellStart"/>
      <w:r>
        <w:rPr>
          <w:rFonts w:ascii="Times New Roman" w:eastAsia="Times New Roman" w:hAnsi="Times New Roman" w:cs="Times New Roman"/>
          <w:color w:val="000000"/>
          <w:sz w:val="24"/>
          <w:szCs w:val="24"/>
        </w:rPr>
        <w:t>Dorious</w:t>
      </w:r>
      <w:proofErr w:type="spellEnd"/>
      <w:r>
        <w:rPr>
          <w:rFonts w:ascii="Times New Roman" w:eastAsia="Times New Roman" w:hAnsi="Times New Roman" w:cs="Times New Roman"/>
          <w:color w:val="000000"/>
          <w:sz w:val="24"/>
          <w:szCs w:val="24"/>
        </w:rPr>
        <w:t xml:space="preserve"> Xi 2021; Irwin Mandel </w:t>
      </w:r>
      <w:proofErr w:type="spellStart"/>
      <w:r>
        <w:rPr>
          <w:rFonts w:ascii="Times New Roman" w:eastAsia="Times New Roman" w:hAnsi="Times New Roman" w:cs="Times New Roman"/>
          <w:color w:val="000000"/>
          <w:sz w:val="24"/>
          <w:szCs w:val="24"/>
        </w:rPr>
        <w:t>Macloud</w:t>
      </w:r>
      <w:proofErr w:type="spellEnd"/>
      <w:r>
        <w:rPr>
          <w:rFonts w:ascii="Times New Roman" w:eastAsia="Times New Roman" w:hAnsi="Times New Roman" w:cs="Times New Roman"/>
          <w:color w:val="000000"/>
          <w:sz w:val="24"/>
          <w:szCs w:val="24"/>
        </w:rPr>
        <w:t xml:space="preserve"> 2022; </w:t>
      </w:r>
      <w:proofErr w:type="spellStart"/>
      <w:r>
        <w:rPr>
          <w:rFonts w:ascii="Times New Roman" w:eastAsia="Times New Roman" w:hAnsi="Times New Roman" w:cs="Times New Roman"/>
          <w:color w:val="000000"/>
          <w:sz w:val="24"/>
          <w:szCs w:val="24"/>
        </w:rPr>
        <w:t>Mirilovic</w:t>
      </w:r>
      <w:proofErr w:type="spellEnd"/>
      <w:r>
        <w:rPr>
          <w:rFonts w:ascii="Times New Roman" w:eastAsia="Times New Roman" w:hAnsi="Times New Roman" w:cs="Times New Roman"/>
          <w:color w:val="000000"/>
          <w:sz w:val="24"/>
          <w:szCs w:val="24"/>
        </w:rPr>
        <w:t xml:space="preserve"> and Kim 2016), is China and that bias towards China has only become stronger overtime in the United States. In particularly Skonieczny 2019 found that Trump framed his commitment to the working class by being anti </w:t>
      </w:r>
      <w:proofErr w:type="gramStart"/>
      <w:r>
        <w:rPr>
          <w:rFonts w:ascii="Times New Roman" w:eastAsia="Times New Roman" w:hAnsi="Times New Roman" w:cs="Times New Roman"/>
          <w:color w:val="000000"/>
          <w:sz w:val="24"/>
          <w:szCs w:val="24"/>
        </w:rPr>
        <w:t>Trans Pacific</w:t>
      </w:r>
      <w:proofErr w:type="gramEnd"/>
      <w:r>
        <w:rPr>
          <w:rFonts w:ascii="Times New Roman" w:eastAsia="Times New Roman" w:hAnsi="Times New Roman" w:cs="Times New Roman"/>
          <w:color w:val="000000"/>
          <w:sz w:val="24"/>
          <w:szCs w:val="24"/>
        </w:rPr>
        <w:t xml:space="preserve"> Trade Partnership particularly objecting to increased reliance and cooperation with China.</w:t>
      </w:r>
      <w:r w:rsidR="00A7616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Because tariffs involve international trade and interdependence between countries, politicians can frame them as a national security issue, warning that dependence on foreign powers—especially adversaries like China—could leave the U.S. vulnerable in times of conflict. The rise of China as an economic powerhouse, ideologically opposed to the U.S., has made these securitization arguments even more compelling. </w:t>
      </w:r>
    </w:p>
    <w:p w14:paraId="21E6FCC8" w14:textId="6E28CCFC" w:rsidR="004171C9" w:rsidRDefault="00000000">
      <w:pPr>
        <w:widowControl w:val="0"/>
        <w:pBdr>
          <w:top w:val="nil"/>
          <w:left w:val="nil"/>
          <w:bottom w:val="nil"/>
          <w:right w:val="nil"/>
          <w:between w:val="nil"/>
        </w:pBdr>
        <w:spacing w:before="52" w:line="459" w:lineRule="auto"/>
        <w:ind w:left="1447" w:right="24" w:hanging="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Hypothesis 2:</w:t>
      </w:r>
      <w:r>
        <w:rPr>
          <w:rFonts w:ascii="Times New Roman" w:eastAsia="Times New Roman" w:hAnsi="Times New Roman" w:cs="Times New Roman"/>
          <w:b/>
          <w:color w:val="000000"/>
          <w:sz w:val="24"/>
          <w:szCs w:val="24"/>
        </w:rPr>
        <w:t xml:space="preserve"> </w:t>
      </w:r>
      <w:r w:rsidR="00A76164">
        <w:rPr>
          <w:rFonts w:ascii="Times New Roman" w:eastAsia="Times New Roman" w:hAnsi="Times New Roman" w:cs="Times New Roman"/>
          <w:color w:val="000000"/>
          <w:sz w:val="24"/>
          <w:szCs w:val="24"/>
        </w:rPr>
        <w:t>US Congressman will reference China more than they will any other country in their trade related press releases</w:t>
      </w:r>
      <w:r>
        <w:rPr>
          <w:rFonts w:ascii="Times New Roman" w:eastAsia="Times New Roman" w:hAnsi="Times New Roman" w:cs="Times New Roman"/>
          <w:color w:val="000000"/>
          <w:sz w:val="24"/>
          <w:szCs w:val="24"/>
        </w:rPr>
        <w:t xml:space="preserve">. </w:t>
      </w:r>
    </w:p>
    <w:p w14:paraId="79FAFC97" w14:textId="51BA0943" w:rsidR="004171C9" w:rsidRDefault="00000000" w:rsidP="00274767">
      <w:pPr>
        <w:widowControl w:val="0"/>
        <w:pBdr>
          <w:top w:val="nil"/>
          <w:left w:val="nil"/>
          <w:bottom w:val="nil"/>
          <w:right w:val="nil"/>
          <w:between w:val="nil"/>
        </w:pBdr>
        <w:spacing w:before="52" w:line="459" w:lineRule="auto"/>
        <w:ind w:left="720" w:right="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These arguments are rooted in the concept of securitization, which has gained prominence due to their ability to tap into the deepest fears of groups and individuals, thereby creating strong in-group solidarity and heightened opposition to out-groups. As a result, politicians increasingly leverage national security justifications for tariffs, using them to bolster their own popularity and generate support for their trade policies. Many national security-related bills are bipartisan in nature. For instance, the CHIPS Act, which introduced higher tariffs on</w:t>
      </w:r>
      <w:r w:rsidR="002747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semiconductor chips to promote domestic production, and the tariffs on Chinese steel, both garnered bipartisan support (Brett, 2024; Wiseman, 2024). These national security arguments gain additional strength when they are backed by both parties, as they amplify feelings of nationalism and invoke a "rally around the flag" effect (Lee, 1977; Bækgaard et al., 2020; Frye, 2017). In this way, a bipartisan stance on national security can evoke a collective sense of defending the nation, reinforcing the justification for tariffs and creating a sense of unity and pride akin to that experienced during an actual war—albeit in the context of a trade war. Based on this theory, the paper predicts the following about </w:t>
      </w:r>
      <w:r w:rsidR="00A76164">
        <w:rPr>
          <w:rFonts w:ascii="Times New Roman" w:eastAsia="Times New Roman" w:hAnsi="Times New Roman" w:cs="Times New Roman"/>
          <w:color w:val="000000"/>
          <w:sz w:val="24"/>
          <w:szCs w:val="24"/>
        </w:rPr>
        <w:t>US politicians’ use</w:t>
      </w:r>
      <w:r>
        <w:rPr>
          <w:rFonts w:ascii="Times New Roman" w:eastAsia="Times New Roman" w:hAnsi="Times New Roman" w:cs="Times New Roman"/>
          <w:color w:val="000000"/>
          <w:sz w:val="24"/>
          <w:szCs w:val="24"/>
        </w:rPr>
        <w:t xml:space="preserve"> </w:t>
      </w:r>
      <w:r w:rsidR="00A76164">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tariffs: </w:t>
      </w:r>
    </w:p>
    <w:p w14:paraId="2CB918FA" w14:textId="1BD6727D" w:rsidR="004171C9" w:rsidRDefault="00000000">
      <w:pPr>
        <w:widowControl w:val="0"/>
        <w:pBdr>
          <w:top w:val="nil"/>
          <w:left w:val="nil"/>
          <w:bottom w:val="nil"/>
          <w:right w:val="nil"/>
          <w:between w:val="nil"/>
        </w:pBdr>
        <w:spacing w:before="52" w:line="459" w:lineRule="auto"/>
        <w:ind w:left="1437" w:right="1031" w:firstLine="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Hypothesis 3:</w:t>
      </w:r>
      <w:r w:rsidR="00A76164">
        <w:rPr>
          <w:rFonts w:ascii="Times New Roman" w:eastAsia="Times New Roman" w:hAnsi="Times New Roman" w:cs="Times New Roman"/>
          <w:color w:val="000000"/>
          <w:sz w:val="24"/>
          <w:szCs w:val="24"/>
        </w:rPr>
        <w:t xml:space="preserve"> When discussing trade policies United States Congressman will use bipartisan cues more than partisan cues.</w:t>
      </w:r>
    </w:p>
    <w:p w14:paraId="54000CDB" w14:textId="189C319B" w:rsidR="004171C9" w:rsidRDefault="00000000">
      <w:pPr>
        <w:widowControl w:val="0"/>
        <w:pBdr>
          <w:top w:val="nil"/>
          <w:left w:val="nil"/>
          <w:bottom w:val="nil"/>
          <w:right w:val="nil"/>
          <w:between w:val="nil"/>
        </w:pBdr>
        <w:spacing w:before="52" w:line="459" w:lineRule="auto"/>
        <w:ind w:left="717" w:right="103"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if the political elite chooses to frame the debate over tariffs along partisan lines, they will create </w:t>
      </w:r>
      <w:r w:rsidR="00A76164">
        <w:rPr>
          <w:rFonts w:ascii="Times New Roman" w:eastAsia="Times New Roman" w:hAnsi="Times New Roman" w:cs="Times New Roman"/>
          <w:color w:val="000000"/>
          <w:sz w:val="24"/>
          <w:szCs w:val="24"/>
        </w:rPr>
        <w:t>stronger</w:t>
      </w:r>
      <w:r>
        <w:rPr>
          <w:rFonts w:ascii="Times New Roman" w:eastAsia="Times New Roman" w:hAnsi="Times New Roman" w:cs="Times New Roman"/>
          <w:color w:val="000000"/>
          <w:sz w:val="24"/>
          <w:szCs w:val="24"/>
        </w:rPr>
        <w:t xml:space="preserve"> hostility towards the opposing party. This becomes particularly true if their politician suggests their opponents are hiding the true reason for the tariff. This theoretical reasoning </w:t>
      </w:r>
      <w:r w:rsidR="00A76164">
        <w:rPr>
          <w:rFonts w:ascii="Times New Roman" w:eastAsia="Times New Roman" w:hAnsi="Times New Roman" w:cs="Times New Roman"/>
          <w:color w:val="000000"/>
          <w:sz w:val="24"/>
          <w:szCs w:val="24"/>
        </w:rPr>
        <w:t>results in</w:t>
      </w:r>
      <w:r>
        <w:rPr>
          <w:rFonts w:ascii="Times New Roman" w:eastAsia="Times New Roman" w:hAnsi="Times New Roman" w:cs="Times New Roman"/>
          <w:color w:val="000000"/>
          <w:sz w:val="24"/>
          <w:szCs w:val="24"/>
        </w:rPr>
        <w:t xml:space="preserve"> </w:t>
      </w:r>
      <w:r w:rsidR="00A76164">
        <w:rPr>
          <w:rFonts w:ascii="Times New Roman" w:eastAsia="Times New Roman" w:hAnsi="Times New Roman" w:cs="Times New Roman"/>
          <w:color w:val="000000"/>
          <w:sz w:val="24"/>
          <w:szCs w:val="24"/>
        </w:rPr>
        <w:t>this hypothesis</w:t>
      </w:r>
      <w:r>
        <w:rPr>
          <w:rFonts w:ascii="Times New Roman" w:eastAsia="Times New Roman" w:hAnsi="Times New Roman" w:cs="Times New Roman"/>
          <w:color w:val="000000"/>
          <w:sz w:val="24"/>
          <w:szCs w:val="24"/>
        </w:rPr>
        <w:t xml:space="preserve"> for this paper: </w:t>
      </w:r>
    </w:p>
    <w:p w14:paraId="20FA05D4" w14:textId="1890605B" w:rsidR="004171C9" w:rsidRDefault="00000000">
      <w:pPr>
        <w:widowControl w:val="0"/>
        <w:pBdr>
          <w:top w:val="nil"/>
          <w:left w:val="nil"/>
          <w:bottom w:val="nil"/>
          <w:right w:val="nil"/>
          <w:between w:val="nil"/>
        </w:pBdr>
        <w:spacing w:before="52" w:line="459" w:lineRule="auto"/>
        <w:ind w:left="1449" w:right="428" w:hanging="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Hypothesis 4</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r w:rsidR="00A76164">
        <w:rPr>
          <w:rFonts w:ascii="Times New Roman" w:eastAsia="Times New Roman" w:hAnsi="Times New Roman" w:cs="Times New Roman"/>
          <w:color w:val="000000"/>
          <w:sz w:val="24"/>
          <w:szCs w:val="24"/>
        </w:rPr>
        <w:t>When United States Congressman use partisan cues that press release will be more negative and hostile and nature than those without.</w:t>
      </w:r>
      <w:r>
        <w:rPr>
          <w:rFonts w:ascii="Times New Roman" w:eastAsia="Times New Roman" w:hAnsi="Times New Roman" w:cs="Times New Roman"/>
          <w:color w:val="000000"/>
          <w:sz w:val="24"/>
          <w:szCs w:val="24"/>
        </w:rPr>
        <w:t xml:space="preserve"> </w:t>
      </w:r>
    </w:p>
    <w:p w14:paraId="13F9FD8A" w14:textId="77777777" w:rsidR="00A76164" w:rsidRDefault="00A76164" w:rsidP="00A76164">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p>
    <w:p w14:paraId="3A28FF2D" w14:textId="780499D7" w:rsidR="00A76164" w:rsidRDefault="00A76164" w:rsidP="00A76164">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Politicians’ agenda setting frames are complex, so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better understand if and how </w:t>
      </w:r>
      <w:proofErr w:type="gramStart"/>
      <w:r>
        <w:rPr>
          <w:rFonts w:ascii="Times New Roman" w:eastAsia="Times New Roman" w:hAnsi="Times New Roman" w:cs="Times New Roman"/>
          <w:color w:val="000000"/>
          <w:sz w:val="24"/>
          <w:szCs w:val="24"/>
        </w:rPr>
        <w:t>these frame</w:t>
      </w:r>
      <w:proofErr w:type="gramEnd"/>
      <w:r>
        <w:rPr>
          <w:rFonts w:ascii="Times New Roman" w:eastAsia="Times New Roman" w:hAnsi="Times New Roman" w:cs="Times New Roman"/>
          <w:color w:val="000000"/>
          <w:sz w:val="24"/>
          <w:szCs w:val="24"/>
        </w:rPr>
        <w:t xml:space="preserve"> are being used this paper developed a unique dataset of trade related press releases.</w:t>
      </w:r>
    </w:p>
    <w:p w14:paraId="393F9D27" w14:textId="77777777" w:rsidR="00A76164" w:rsidRDefault="00000000" w:rsidP="00A76164">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Data and Methods</w:t>
      </w:r>
      <w:r>
        <w:rPr>
          <w:rFonts w:ascii="Times New Roman" w:eastAsia="Times New Roman" w:hAnsi="Times New Roman" w:cs="Times New Roman"/>
          <w:b/>
          <w:color w:val="000000"/>
          <w:sz w:val="24"/>
          <w:szCs w:val="24"/>
        </w:rPr>
        <w:t xml:space="preserve"> </w:t>
      </w:r>
    </w:p>
    <w:p w14:paraId="55A8470D" w14:textId="3133FBE3" w:rsidR="0040395B" w:rsidRPr="0040395B" w:rsidRDefault="0040395B" w:rsidP="00A76164">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bCs/>
          <w:color w:val="000000"/>
          <w:sz w:val="24"/>
          <w:szCs w:val="24"/>
          <w:u w:val="single"/>
        </w:rPr>
      </w:pPr>
      <w:r>
        <w:rPr>
          <w:rFonts w:ascii="Times New Roman" w:eastAsia="Times New Roman" w:hAnsi="Times New Roman" w:cs="Times New Roman"/>
          <w:bCs/>
          <w:color w:val="000000"/>
          <w:sz w:val="24"/>
          <w:szCs w:val="24"/>
          <w:u w:val="single"/>
        </w:rPr>
        <w:t>Press Release Collection</w:t>
      </w:r>
    </w:p>
    <w:p w14:paraId="387823F7" w14:textId="56E934BB" w:rsidR="007B3FEB" w:rsidRPr="007B3FEB" w:rsidRDefault="00000000"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paper tests these hypotheses with a </w:t>
      </w:r>
      <w:r w:rsidR="00A76164">
        <w:rPr>
          <w:rFonts w:ascii="Times New Roman" w:eastAsia="Times New Roman" w:hAnsi="Times New Roman" w:cs="Times New Roman"/>
          <w:color w:val="000000"/>
          <w:sz w:val="24"/>
          <w:szCs w:val="24"/>
        </w:rPr>
        <w:t>unique dataset of all the 118</w:t>
      </w:r>
      <w:r w:rsidR="00A76164" w:rsidRPr="00A76164">
        <w:rPr>
          <w:rFonts w:ascii="Times New Roman" w:eastAsia="Times New Roman" w:hAnsi="Times New Roman" w:cs="Times New Roman"/>
          <w:color w:val="000000"/>
          <w:sz w:val="24"/>
          <w:szCs w:val="24"/>
          <w:vertAlign w:val="superscript"/>
        </w:rPr>
        <w:t>th</w:t>
      </w:r>
      <w:r w:rsidR="00A76164">
        <w:rPr>
          <w:rFonts w:ascii="Times New Roman" w:eastAsia="Times New Roman" w:hAnsi="Times New Roman" w:cs="Times New Roman"/>
          <w:color w:val="000000"/>
          <w:sz w:val="24"/>
          <w:szCs w:val="24"/>
        </w:rPr>
        <w:t xml:space="preserve"> congress press releases from 2025.</w:t>
      </w:r>
      <w:r w:rsidR="007B3FEB">
        <w:rPr>
          <w:rFonts w:ascii="Times New Roman" w:eastAsia="Times New Roman" w:hAnsi="Times New Roman" w:cs="Times New Roman"/>
          <w:color w:val="000000"/>
          <w:sz w:val="24"/>
          <w:szCs w:val="24"/>
        </w:rPr>
        <w:t xml:space="preserve"> </w:t>
      </w:r>
      <w:r w:rsidR="007B3FEB" w:rsidRPr="007B3FEB">
        <w:rPr>
          <w:rFonts w:ascii="Times New Roman" w:eastAsia="Times New Roman" w:hAnsi="Times New Roman" w:cs="Times New Roman"/>
          <w:color w:val="000000"/>
          <w:sz w:val="24"/>
          <w:szCs w:val="24"/>
        </w:rPr>
        <w:t xml:space="preserve">The project began with the identification of the congressional websites that would serve as the source for the press release data. These websites were sourced from </w:t>
      </w:r>
      <w:proofErr w:type="spellStart"/>
      <w:r w:rsidR="007B3FEB" w:rsidRPr="007B3FEB">
        <w:rPr>
          <w:rFonts w:ascii="Times New Roman" w:eastAsia="Times New Roman" w:hAnsi="Times New Roman" w:cs="Times New Roman"/>
          <w:color w:val="000000"/>
          <w:sz w:val="24"/>
          <w:szCs w:val="24"/>
        </w:rPr>
        <w:t>GovTrack</w:t>
      </w:r>
      <w:proofErr w:type="spellEnd"/>
      <w:r w:rsidR="007B3FEB" w:rsidRPr="007B3FEB">
        <w:rPr>
          <w:rFonts w:ascii="Times New Roman" w:eastAsia="Times New Roman" w:hAnsi="Times New Roman" w:cs="Times New Roman"/>
          <w:color w:val="000000"/>
          <w:sz w:val="24"/>
          <w:szCs w:val="24"/>
        </w:rPr>
        <w:t>, a widely recognized platform that maintains a comprehensive list of official websites for members of the U.S. Congress</w:t>
      </w:r>
      <w:r w:rsidR="007B3FEB">
        <w:rPr>
          <w:rFonts w:ascii="Times New Roman" w:eastAsia="Times New Roman" w:hAnsi="Times New Roman" w:cs="Times New Roman"/>
          <w:color w:val="000000"/>
          <w:sz w:val="24"/>
          <w:szCs w:val="24"/>
        </w:rPr>
        <w:t xml:space="preserve"> I manually we to website and found their press release page for each of 535 Congressman which became</w:t>
      </w:r>
      <w:r w:rsidR="007B3FEB" w:rsidRPr="007B3FEB">
        <w:rPr>
          <w:rFonts w:ascii="Times New Roman" w:eastAsia="Times New Roman" w:hAnsi="Times New Roman" w:cs="Times New Roman"/>
          <w:color w:val="000000"/>
          <w:sz w:val="24"/>
          <w:szCs w:val="24"/>
        </w:rPr>
        <w:t xml:space="preserve"> the foundation for the scraping task. The URLs in this file served as entry points for the scraper, which was designed to collect press release links across multiple congressional domains.</w:t>
      </w:r>
    </w:p>
    <w:p w14:paraId="059D94B8" w14:textId="67030282" w:rsidR="007B3FEB" w:rsidRPr="007B3FEB" w:rsidRDefault="007B3FEB" w:rsidP="00677BEC">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sidRPr="007B3FEB">
        <w:rPr>
          <w:rFonts w:ascii="Times New Roman" w:eastAsia="Times New Roman" w:hAnsi="Times New Roman" w:cs="Times New Roman"/>
          <w:color w:val="000000"/>
          <w:sz w:val="24"/>
          <w:szCs w:val="24"/>
        </w:rPr>
        <w:t xml:space="preserve">To collect the necessary data, we utilized web scraping techniques, primarily employing the Python programming language and the Playwright package, which is ideal for automating the extraction of data from dynamic web pages. Playwright was chosen due to its ability to handle JavaScript-rendered content, which is commonly used in modern websites, including those of congressmembers. Additionally, the </w:t>
      </w:r>
      <w:proofErr w:type="spellStart"/>
      <w:r w:rsidRPr="007B3FEB">
        <w:rPr>
          <w:rFonts w:ascii="Times New Roman" w:eastAsia="Times New Roman" w:hAnsi="Times New Roman" w:cs="Times New Roman"/>
          <w:color w:val="000000"/>
          <w:sz w:val="24"/>
          <w:szCs w:val="24"/>
        </w:rPr>
        <w:t>BeautifulSoup</w:t>
      </w:r>
      <w:proofErr w:type="spellEnd"/>
      <w:r w:rsidRPr="007B3FEB">
        <w:rPr>
          <w:rFonts w:ascii="Times New Roman" w:eastAsia="Times New Roman" w:hAnsi="Times New Roman" w:cs="Times New Roman"/>
          <w:color w:val="000000"/>
          <w:sz w:val="24"/>
          <w:szCs w:val="24"/>
        </w:rPr>
        <w:t xml:space="preserve"> package was used to parse the HTML content of the web pages and extract the relevant text, such as the titles, body content, and publication dates of press releases. The </w:t>
      </w:r>
      <w:proofErr w:type="spellStart"/>
      <w:r w:rsidRPr="007B3FEB">
        <w:rPr>
          <w:rFonts w:ascii="Times New Roman" w:eastAsia="Times New Roman" w:hAnsi="Times New Roman" w:cs="Times New Roman"/>
          <w:color w:val="000000"/>
          <w:sz w:val="24"/>
          <w:szCs w:val="24"/>
        </w:rPr>
        <w:t>urljoin</w:t>
      </w:r>
      <w:proofErr w:type="spellEnd"/>
      <w:r w:rsidRPr="007B3FEB">
        <w:rPr>
          <w:rFonts w:ascii="Times New Roman" w:eastAsia="Times New Roman" w:hAnsi="Times New Roman" w:cs="Times New Roman"/>
          <w:color w:val="000000"/>
          <w:sz w:val="24"/>
          <w:szCs w:val="24"/>
        </w:rPr>
        <w:t xml:space="preserve"> function from the </w:t>
      </w:r>
      <w:proofErr w:type="spellStart"/>
      <w:proofErr w:type="gramStart"/>
      <w:r w:rsidRPr="007B3FEB">
        <w:rPr>
          <w:rFonts w:ascii="Times New Roman" w:eastAsia="Times New Roman" w:hAnsi="Times New Roman" w:cs="Times New Roman"/>
          <w:color w:val="000000"/>
          <w:sz w:val="24"/>
          <w:szCs w:val="24"/>
        </w:rPr>
        <w:t>urllib.parse</w:t>
      </w:r>
      <w:proofErr w:type="spellEnd"/>
      <w:proofErr w:type="gramEnd"/>
      <w:r w:rsidRPr="007B3FEB">
        <w:rPr>
          <w:rFonts w:ascii="Times New Roman" w:eastAsia="Times New Roman" w:hAnsi="Times New Roman" w:cs="Times New Roman"/>
          <w:color w:val="000000"/>
          <w:sz w:val="24"/>
          <w:szCs w:val="24"/>
        </w:rPr>
        <w:t xml:space="preserve"> package was employed to ensure that relative URLs found in the press releases were correctly converted to absolute URLs.</w:t>
      </w:r>
    </w:p>
    <w:p w14:paraId="1D9D4327" w14:textId="2AA3AE54" w:rsidR="007B3FEB" w:rsidRPr="007B3FEB" w:rsidRDefault="007B3FEB"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sidRPr="007B3FEB">
        <w:rPr>
          <w:rFonts w:ascii="Times New Roman" w:eastAsia="Times New Roman" w:hAnsi="Times New Roman" w:cs="Times New Roman"/>
          <w:color w:val="000000"/>
          <w:sz w:val="24"/>
          <w:szCs w:val="24"/>
        </w:rPr>
        <w:t xml:space="preserve">Once the websites were identified, the scraper was designed to target specific elements of the page that contained links to press releases. This was accomplished by using </w:t>
      </w:r>
      <w:r w:rsidRPr="007B3FEB">
        <w:rPr>
          <w:rFonts w:ascii="Times New Roman" w:eastAsia="Times New Roman" w:hAnsi="Times New Roman" w:cs="Times New Roman"/>
          <w:color w:val="000000"/>
          <w:sz w:val="24"/>
          <w:szCs w:val="24"/>
        </w:rPr>
        <w:lastRenderedPageBreak/>
        <w:t>selectors tailored to each website's HTML structure. The scraper would visit the initial press release page, and from there, it would identify and collect links to individual press releases. In some cases, the pages contained multiple pages of press releases, which required handling pagination. The scraper was programmed to detect and click on "Next" buttons, allowing it to move through multiple pages of press releases if available.</w:t>
      </w:r>
    </w:p>
    <w:p w14:paraId="0D90B649" w14:textId="26B1A47B" w:rsidR="007B3FEB" w:rsidRPr="007B3FEB" w:rsidRDefault="007B3FEB"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sidRPr="007B3FEB">
        <w:rPr>
          <w:rFonts w:ascii="Times New Roman" w:eastAsia="Times New Roman" w:hAnsi="Times New Roman" w:cs="Times New Roman"/>
          <w:color w:val="000000"/>
          <w:sz w:val="24"/>
          <w:szCs w:val="24"/>
        </w:rPr>
        <w:t>For each press release, the scraper focused on extracting three key pieces of information: the title, the body of the press release, and the publication date. The title was extracted from the &lt;title&gt; tag of the HTML document, while the body of the press release was extracted by identifying the largest block of text on the page, which was assumed to be the main content. This method helped minimize the extraction of irrelevant content such as advertisements or navigation links. The publication date was extracted using a two-pronged approach: if available, the scraper would first look for a &lt;time&gt; tag that explicitly contained the date. If the date was not found in a tag, a fallback method was employed, using regular expressions to search for date patterns within the body text.</w:t>
      </w:r>
    </w:p>
    <w:p w14:paraId="57399B84" w14:textId="1CF5EF24" w:rsidR="007B3FEB" w:rsidRPr="007B3FEB" w:rsidRDefault="007B3FEB"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sidRPr="007B3FEB">
        <w:rPr>
          <w:rFonts w:ascii="Times New Roman" w:eastAsia="Times New Roman" w:hAnsi="Times New Roman" w:cs="Times New Roman"/>
          <w:color w:val="000000"/>
          <w:sz w:val="24"/>
          <w:szCs w:val="24"/>
        </w:rPr>
        <w:t>The date extraction process was designed to handle several different formats, including full-text month names (e.g., "March 15, 2025") and numerical date formats (e.g., "03/15/2025"). This flexibility ensured that the scraper could handle variations in how dates were presented across different congressional websites.</w:t>
      </w:r>
      <w:r>
        <w:rPr>
          <w:rFonts w:ascii="Times New Roman" w:eastAsia="Times New Roman" w:hAnsi="Times New Roman" w:cs="Times New Roman"/>
          <w:color w:val="000000"/>
          <w:sz w:val="24"/>
          <w:szCs w:val="24"/>
        </w:rPr>
        <w:t xml:space="preserve"> </w:t>
      </w:r>
      <w:r w:rsidRPr="007B3FEB">
        <w:rPr>
          <w:rFonts w:ascii="Times New Roman" w:eastAsia="Times New Roman" w:hAnsi="Times New Roman" w:cs="Times New Roman"/>
          <w:color w:val="000000"/>
          <w:sz w:val="24"/>
          <w:szCs w:val="24"/>
        </w:rPr>
        <w:t>The body of the press release was parsed to extract the largest paragraph, which was generally assumed to be the main content of the release. In cases where the body text contained multiple sections or headings, this method helped to isolate the most relevant content, ensuring that unnecessary information was excluded from the final dataset.</w:t>
      </w:r>
    </w:p>
    <w:p w14:paraId="412987A8" w14:textId="079EA40D" w:rsidR="0040395B" w:rsidRPr="007B3FEB" w:rsidRDefault="007B3FEB" w:rsidP="007B5000">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sidRPr="007B3FEB">
        <w:rPr>
          <w:rFonts w:ascii="Times New Roman" w:eastAsia="Times New Roman" w:hAnsi="Times New Roman" w:cs="Times New Roman"/>
          <w:color w:val="000000"/>
          <w:sz w:val="24"/>
          <w:szCs w:val="24"/>
        </w:rPr>
        <w:t>The scraping process was iterated across multiple pages of press releases for each congressmember, ensuring that as many press releases as possible were collected</w:t>
      </w:r>
      <w:r w:rsidR="007B5000">
        <w:rPr>
          <w:rFonts w:ascii="Times New Roman" w:eastAsia="Times New Roman" w:hAnsi="Times New Roman" w:cs="Times New Roman"/>
          <w:color w:val="000000"/>
          <w:sz w:val="24"/>
          <w:szCs w:val="24"/>
        </w:rPr>
        <w:t xml:space="preserve"> that we </w:t>
      </w:r>
      <w:r w:rsidR="007B5000">
        <w:rPr>
          <w:rFonts w:ascii="Times New Roman" w:eastAsia="Times New Roman" w:hAnsi="Times New Roman" w:cs="Times New Roman"/>
          <w:color w:val="000000"/>
          <w:sz w:val="24"/>
          <w:szCs w:val="24"/>
        </w:rPr>
        <w:lastRenderedPageBreak/>
        <w:t>with a max of 50 pages scraped</w:t>
      </w:r>
      <w:r w:rsidR="0040395B" w:rsidRPr="007B3FEB">
        <w:rPr>
          <w:rFonts w:ascii="Times New Roman" w:eastAsia="Times New Roman" w:hAnsi="Times New Roman" w:cs="Times New Roman"/>
          <w:color w:val="000000"/>
          <w:sz w:val="24"/>
          <w:szCs w:val="24"/>
        </w:rPr>
        <w:t>. To avoid excessive delays, the scraper was also designed to spend minimal time at the bottom of the page, where content loading might occur more slowly due to infinite scrolling or heavy JavaScript rendering. Instead, it focused on extracting as much content as possible from the top portion of the page before navigating to the next press release.</w:t>
      </w:r>
    </w:p>
    <w:p w14:paraId="7146147D" w14:textId="77777777" w:rsidR="0040395B" w:rsidRPr="007B3FEB" w:rsidRDefault="0040395B" w:rsidP="0040395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sidRPr="007B3FEB">
        <w:rPr>
          <w:rFonts w:ascii="Times New Roman" w:eastAsia="Times New Roman" w:hAnsi="Times New Roman" w:cs="Times New Roman"/>
          <w:color w:val="000000"/>
          <w:sz w:val="24"/>
          <w:szCs w:val="24"/>
        </w:rPr>
        <w:t>Once the data was collected, it was cleaned to remove any duplicate entries or incomplete press releases. The dataset was organized into several columns, including the name of the congressmember, the title of the press release, the publication date, and the body content of the release. This structured dataset provides a comprehensive resource for analyzing the press releases issued by U.S. congressmembers and can be used for a variety of political analysis purposes, such as studying the evolution of legislative priorities, tracking the tone of political communication, or identifying trends in political messaging.</w:t>
      </w:r>
    </w:p>
    <w:p w14:paraId="288D0529" w14:textId="355D7A90" w:rsidR="0040395B" w:rsidRDefault="0040395B" w:rsidP="0040395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sidRPr="007B3FEB">
        <w:rPr>
          <w:rFonts w:ascii="Times New Roman" w:eastAsia="Times New Roman" w:hAnsi="Times New Roman" w:cs="Times New Roman"/>
          <w:color w:val="000000"/>
          <w:sz w:val="24"/>
          <w:szCs w:val="24"/>
        </w:rPr>
        <w:t xml:space="preserve">In conclusion, the process of creating this dataset involved a combination of web scraping techniques, data extraction methods, and quality control procedures to ensure the accuracy and completeness of the information collected. By leveraging the capabilities of Playwright, </w:t>
      </w:r>
      <w:proofErr w:type="spellStart"/>
      <w:r w:rsidRPr="007B3FEB">
        <w:rPr>
          <w:rFonts w:ascii="Times New Roman" w:eastAsia="Times New Roman" w:hAnsi="Times New Roman" w:cs="Times New Roman"/>
          <w:color w:val="000000"/>
          <w:sz w:val="24"/>
          <w:szCs w:val="24"/>
        </w:rPr>
        <w:t>BeautifulSoup</w:t>
      </w:r>
      <w:proofErr w:type="spellEnd"/>
      <w:r w:rsidRPr="007B3FEB">
        <w:rPr>
          <w:rFonts w:ascii="Times New Roman" w:eastAsia="Times New Roman" w:hAnsi="Times New Roman" w:cs="Times New Roman"/>
          <w:color w:val="000000"/>
          <w:sz w:val="24"/>
          <w:szCs w:val="24"/>
        </w:rPr>
        <w:t>, and Python, we were able to efficiently navigate the dynamic and complex structure of congressional websites, ultimately producing a valuable dataset for political analysis and research.</w:t>
      </w:r>
    </w:p>
    <w:p w14:paraId="0184F3AC" w14:textId="38908170" w:rsidR="0040395B" w:rsidRPr="0040395B" w:rsidRDefault="0040395B" w:rsidP="0040395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i/>
          <w:iCs/>
          <w:color w:val="000000"/>
          <w:sz w:val="24"/>
          <w:szCs w:val="24"/>
          <w:u w:val="single"/>
        </w:rPr>
      </w:pPr>
      <w:proofErr w:type="spellStart"/>
      <w:r>
        <w:rPr>
          <w:rFonts w:ascii="Times New Roman" w:eastAsia="Times New Roman" w:hAnsi="Times New Roman" w:cs="Times New Roman"/>
          <w:i/>
          <w:iCs/>
          <w:color w:val="000000"/>
          <w:sz w:val="24"/>
          <w:szCs w:val="24"/>
          <w:u w:val="single"/>
        </w:rPr>
        <w:t>Sub</w:t>
      </w:r>
      <w:r w:rsidR="00B2754C">
        <w:rPr>
          <w:rFonts w:ascii="Times New Roman" w:eastAsia="Times New Roman" w:hAnsi="Times New Roman" w:cs="Times New Roman"/>
          <w:i/>
          <w:iCs/>
          <w:color w:val="000000"/>
          <w:sz w:val="24"/>
          <w:szCs w:val="24"/>
          <w:u w:val="single"/>
        </w:rPr>
        <w:t>s</w:t>
      </w:r>
      <w:r>
        <w:rPr>
          <w:rFonts w:ascii="Times New Roman" w:eastAsia="Times New Roman" w:hAnsi="Times New Roman" w:cs="Times New Roman"/>
          <w:i/>
          <w:iCs/>
          <w:color w:val="000000"/>
          <w:sz w:val="24"/>
          <w:szCs w:val="24"/>
          <w:u w:val="single"/>
        </w:rPr>
        <w:t>etting</w:t>
      </w:r>
      <w:proofErr w:type="spellEnd"/>
      <w:r>
        <w:rPr>
          <w:rFonts w:ascii="Times New Roman" w:eastAsia="Times New Roman" w:hAnsi="Times New Roman" w:cs="Times New Roman"/>
          <w:i/>
          <w:iCs/>
          <w:color w:val="000000"/>
          <w:sz w:val="24"/>
          <w:szCs w:val="24"/>
          <w:u w:val="single"/>
        </w:rPr>
        <w:t xml:space="preserve"> to Trade Related Press Releases </w:t>
      </w:r>
    </w:p>
    <w:p w14:paraId="172A69DE" w14:textId="7E175FEC" w:rsidR="007B5000" w:rsidRPr="007B5000" w:rsidRDefault="007B5000" w:rsidP="007B500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7B5000">
        <w:rPr>
          <w:rFonts w:ascii="Times New Roman" w:eastAsia="Times New Roman" w:hAnsi="Times New Roman" w:cs="Times New Roman"/>
          <w:color w:val="000000"/>
          <w:sz w:val="24"/>
          <w:szCs w:val="24"/>
        </w:rPr>
        <w:t>To identify trade-related congressional press releases, we employed a supervised machine learning approach trained on a hand-labeled sample of texts. We began by constructing a "gold standard" dataset composed of 1,000 randomly sampled press releases from the 118th Congress, each manually annotated as either trade-related (</w:t>
      </w:r>
      <w:proofErr w:type="spellStart"/>
      <w:r w:rsidRPr="007B5000">
        <w:rPr>
          <w:rFonts w:ascii="Times New Roman" w:eastAsia="Times New Roman" w:hAnsi="Times New Roman" w:cs="Times New Roman"/>
          <w:color w:val="000000"/>
          <w:sz w:val="24"/>
          <w:szCs w:val="24"/>
        </w:rPr>
        <w:t>is_trade</w:t>
      </w:r>
      <w:proofErr w:type="spellEnd"/>
      <w:r w:rsidRPr="007B5000">
        <w:rPr>
          <w:rFonts w:ascii="Times New Roman" w:eastAsia="Times New Roman" w:hAnsi="Times New Roman" w:cs="Times New Roman"/>
          <w:color w:val="000000"/>
          <w:sz w:val="24"/>
          <w:szCs w:val="24"/>
        </w:rPr>
        <w:t xml:space="preserve"> = 1) or not (</w:t>
      </w:r>
      <w:proofErr w:type="spellStart"/>
      <w:r w:rsidRPr="007B5000">
        <w:rPr>
          <w:rFonts w:ascii="Times New Roman" w:eastAsia="Times New Roman" w:hAnsi="Times New Roman" w:cs="Times New Roman"/>
          <w:color w:val="000000"/>
          <w:sz w:val="24"/>
          <w:szCs w:val="24"/>
        </w:rPr>
        <w:t>is_trade</w:t>
      </w:r>
      <w:proofErr w:type="spellEnd"/>
      <w:r w:rsidRPr="007B5000">
        <w:rPr>
          <w:rFonts w:ascii="Times New Roman" w:eastAsia="Times New Roman" w:hAnsi="Times New Roman" w:cs="Times New Roman"/>
          <w:color w:val="000000"/>
          <w:sz w:val="24"/>
          <w:szCs w:val="24"/>
        </w:rPr>
        <w:t xml:space="preserve"> = 0) based on substantive content. This labeled dataset served as the training </w:t>
      </w:r>
      <w:r w:rsidRPr="007B5000">
        <w:rPr>
          <w:rFonts w:ascii="Times New Roman" w:eastAsia="Times New Roman" w:hAnsi="Times New Roman" w:cs="Times New Roman"/>
          <w:color w:val="000000"/>
          <w:sz w:val="24"/>
          <w:szCs w:val="24"/>
        </w:rPr>
        <w:lastRenderedPageBreak/>
        <w:t>and validation base for our model.</w:t>
      </w:r>
    </w:p>
    <w:p w14:paraId="237D50C6" w14:textId="0F95BA43" w:rsidR="007B5000" w:rsidRPr="007B5000" w:rsidRDefault="007B5000" w:rsidP="007B500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7B5000">
        <w:rPr>
          <w:rFonts w:ascii="Times New Roman" w:eastAsia="Times New Roman" w:hAnsi="Times New Roman" w:cs="Times New Roman"/>
          <w:color w:val="000000"/>
          <w:sz w:val="24"/>
          <w:szCs w:val="24"/>
        </w:rPr>
        <w:t xml:space="preserve">We used logistic regression as the classification algorithm, implemented using the </w:t>
      </w:r>
      <w:proofErr w:type="spellStart"/>
      <w:r w:rsidRPr="007B5000">
        <w:rPr>
          <w:rFonts w:ascii="Times New Roman" w:eastAsia="Times New Roman" w:hAnsi="Times New Roman" w:cs="Times New Roman"/>
          <w:color w:val="000000"/>
          <w:sz w:val="24"/>
          <w:szCs w:val="24"/>
        </w:rPr>
        <w:t>tidymodels</w:t>
      </w:r>
      <w:proofErr w:type="spellEnd"/>
      <w:r w:rsidRPr="007B5000">
        <w:rPr>
          <w:rFonts w:ascii="Times New Roman" w:eastAsia="Times New Roman" w:hAnsi="Times New Roman" w:cs="Times New Roman"/>
          <w:color w:val="000000"/>
          <w:sz w:val="24"/>
          <w:szCs w:val="24"/>
        </w:rPr>
        <w:t xml:space="preserve"> framework in R. Prior to model fitting, we preprocessed the press release body texts using a standard text cleaning pipeline. This included tokenization, removal of English stop words, and TF-IDF (term frequency-inverse document frequency) transformation, with the vocabulary restricted to the 1,000 most informative tokens. This preprocessing was implemented via </w:t>
      </w:r>
      <w:proofErr w:type="spellStart"/>
      <w:proofErr w:type="gramStart"/>
      <w:r w:rsidRPr="007B5000">
        <w:rPr>
          <w:rFonts w:ascii="Times New Roman" w:eastAsia="Times New Roman" w:hAnsi="Times New Roman" w:cs="Times New Roman"/>
          <w:color w:val="000000"/>
          <w:sz w:val="24"/>
          <w:szCs w:val="24"/>
        </w:rPr>
        <w:t>textrecipes</w:t>
      </w:r>
      <w:proofErr w:type="spellEnd"/>
      <w:proofErr w:type="gramEnd"/>
      <w:r w:rsidRPr="007B5000">
        <w:rPr>
          <w:rFonts w:ascii="Times New Roman" w:eastAsia="Times New Roman" w:hAnsi="Times New Roman" w:cs="Times New Roman"/>
          <w:color w:val="000000"/>
          <w:sz w:val="24"/>
          <w:szCs w:val="24"/>
        </w:rPr>
        <w:t xml:space="preserve"> to ensure consistency across training and prediction.</w:t>
      </w:r>
    </w:p>
    <w:p w14:paraId="59056CCD" w14:textId="630638C6" w:rsidR="007B5000" w:rsidRPr="007B5000" w:rsidRDefault="007B5000" w:rsidP="007B500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7B5000">
        <w:rPr>
          <w:rFonts w:ascii="Times New Roman" w:eastAsia="Times New Roman" w:hAnsi="Times New Roman" w:cs="Times New Roman"/>
          <w:color w:val="000000"/>
          <w:sz w:val="24"/>
          <w:szCs w:val="24"/>
        </w:rPr>
        <w:t>The labeled data was randomly split into an 80/20 train-test partition. The model was trained on the 80% training set and evaluated on the 20% holdout set to assess its classification performance. We used a probability threshold of 0.5 to classify a document as trade-</w:t>
      </w:r>
      <w:r w:rsidR="005F6EF9" w:rsidRPr="007B5000">
        <w:rPr>
          <w:rFonts w:ascii="Times New Roman" w:eastAsia="Times New Roman" w:hAnsi="Times New Roman" w:cs="Times New Roman"/>
          <w:color w:val="000000"/>
          <w:sz w:val="24"/>
          <w:szCs w:val="24"/>
        </w:rPr>
        <w:t>related and</w:t>
      </w:r>
      <w:r w:rsidRPr="007B5000">
        <w:rPr>
          <w:rFonts w:ascii="Times New Roman" w:eastAsia="Times New Roman" w:hAnsi="Times New Roman" w:cs="Times New Roman"/>
          <w:color w:val="000000"/>
          <w:sz w:val="24"/>
          <w:szCs w:val="24"/>
        </w:rPr>
        <w:t xml:space="preserve"> evaluated predictive accuracy using a confusion matrix.</w:t>
      </w:r>
    </w:p>
    <w:p w14:paraId="6BFB4035" w14:textId="68A8BF55" w:rsidR="007B5000" w:rsidRPr="007B5000" w:rsidRDefault="007B5000" w:rsidP="007B500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7B5000">
        <w:rPr>
          <w:rFonts w:ascii="Times New Roman" w:eastAsia="Times New Roman" w:hAnsi="Times New Roman" w:cs="Times New Roman"/>
          <w:color w:val="000000"/>
          <w:sz w:val="24"/>
          <w:szCs w:val="24"/>
        </w:rPr>
        <w:t xml:space="preserve">Once trained, the model was applied to the full corpus of press releases (N ≈ </w:t>
      </w:r>
      <w:r>
        <w:rPr>
          <w:rFonts w:ascii="Times New Roman" w:eastAsia="Times New Roman" w:hAnsi="Times New Roman" w:cs="Times New Roman"/>
          <w:color w:val="000000"/>
          <w:sz w:val="24"/>
          <w:szCs w:val="24"/>
        </w:rPr>
        <w:t>5088</w:t>
      </w:r>
      <w:r w:rsidRPr="007B5000">
        <w:rPr>
          <w:rFonts w:ascii="Times New Roman" w:eastAsia="Times New Roman" w:hAnsi="Times New Roman" w:cs="Times New Roman"/>
          <w:color w:val="000000"/>
          <w:sz w:val="24"/>
          <w:szCs w:val="24"/>
        </w:rPr>
        <w:t xml:space="preserve">), assigning to each release a predicted probability of being </w:t>
      </w:r>
      <w:r w:rsidR="005F6EF9" w:rsidRPr="007B5000">
        <w:rPr>
          <w:rFonts w:ascii="Times New Roman" w:eastAsia="Times New Roman" w:hAnsi="Times New Roman" w:cs="Times New Roman"/>
          <w:color w:val="000000"/>
          <w:sz w:val="24"/>
          <w:szCs w:val="24"/>
        </w:rPr>
        <w:t>trade related</w:t>
      </w:r>
      <w:r w:rsidRPr="007B5000">
        <w:rPr>
          <w:rFonts w:ascii="Times New Roman" w:eastAsia="Times New Roman" w:hAnsi="Times New Roman" w:cs="Times New Roman"/>
          <w:color w:val="000000"/>
          <w:sz w:val="24"/>
          <w:szCs w:val="24"/>
        </w:rPr>
        <w:t>. We then subset the dataset to include only those press releases with a predicted probability above 0.5. This machine-learning filtered subset was used in subsequent analyses.</w:t>
      </w:r>
    </w:p>
    <w:p w14:paraId="20DB13DD" w14:textId="77777777" w:rsidR="007B5000" w:rsidRDefault="007B5000" w:rsidP="007B500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7B5000">
        <w:rPr>
          <w:rFonts w:ascii="Times New Roman" w:eastAsia="Times New Roman" w:hAnsi="Times New Roman" w:cs="Times New Roman"/>
          <w:color w:val="000000"/>
          <w:sz w:val="24"/>
          <w:szCs w:val="24"/>
        </w:rPr>
        <w:t>Compared to keyword-based dictionary filtering, the supervised approach allows for greater flexibility in detecting semantically relevant content, even when specific trade-related keywords are absent or used in different contexts. It also facilitates transparent out-of-sample prediction and performance evaluation.</w:t>
      </w:r>
    </w:p>
    <w:p w14:paraId="5DCDC188" w14:textId="018DB9E2" w:rsidR="005F6EF9" w:rsidRPr="005F6EF9" w:rsidRDefault="005F6EF9" w:rsidP="007B500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Defining the Frames and Political Cues</w:t>
      </w:r>
    </w:p>
    <w:p w14:paraId="6F0E13F5" w14:textId="1FC53543" w:rsidR="004D2F40" w:rsidRPr="004D2F40" w:rsidRDefault="004D2F40" w:rsidP="004D2F4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4D2F40">
        <w:rPr>
          <w:rFonts w:ascii="Times New Roman" w:eastAsia="Times New Roman" w:hAnsi="Times New Roman" w:cs="Times New Roman"/>
          <w:color w:val="000000"/>
          <w:sz w:val="24"/>
          <w:szCs w:val="24"/>
        </w:rPr>
        <w:t xml:space="preserve">To test our theoretical expectations regarding the framing and political signaling strategies employed in congressional communication about trade, we developed a set of dictionary-based classifiers to detect the presence of key justifications, foreign country references, and partisan cues in the full corpus of press releases. Each construct was </w:t>
      </w:r>
      <w:r w:rsidRPr="004D2F40">
        <w:rPr>
          <w:rFonts w:ascii="Times New Roman" w:eastAsia="Times New Roman" w:hAnsi="Times New Roman" w:cs="Times New Roman"/>
          <w:color w:val="000000"/>
          <w:sz w:val="24"/>
          <w:szCs w:val="24"/>
        </w:rPr>
        <w:lastRenderedPageBreak/>
        <w:t>operationalized using a curated set of keywords reflecting typical rhetoric in congressional discourse, drawn from existing literature and an inductive review of press release content.</w:t>
      </w:r>
    </w:p>
    <w:p w14:paraId="20622901" w14:textId="0F28800D" w:rsidR="004D2F40" w:rsidRPr="004D2F40" w:rsidRDefault="004D2F40" w:rsidP="004D2F4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4D2F40">
        <w:rPr>
          <w:rFonts w:ascii="Times New Roman" w:eastAsia="Times New Roman" w:hAnsi="Times New Roman" w:cs="Times New Roman"/>
          <w:color w:val="000000"/>
          <w:sz w:val="24"/>
          <w:szCs w:val="24"/>
        </w:rPr>
        <w:t>To test Hypothesis 1, which posits that different types of justifications are associated with the salience of trade issues, we classified press releases using two justification categories. National security justifications included terms such as “national security,” “foreign threats,” “defense needs,” and “supply chain security.” Protectionist justifications were defined by terms such as “protect American jobs,” “buy American,” “reshoring,” and “support domestic industry.” We created binary indicator variables for each category by searching for regular expression matches to these dictionaries in the body text of each press release. This allowed us to distinguish between strategic appeals to economic self-sufficiency versus national defense as motivating frames for trade-related policy.</w:t>
      </w:r>
    </w:p>
    <w:p w14:paraId="70CBC55B" w14:textId="77777777" w:rsidR="004D2F40" w:rsidRPr="004D2F40" w:rsidRDefault="004D2F40" w:rsidP="004D2F4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4D2F40">
        <w:rPr>
          <w:rFonts w:ascii="Times New Roman" w:eastAsia="Times New Roman" w:hAnsi="Times New Roman" w:cs="Times New Roman"/>
          <w:color w:val="000000"/>
          <w:sz w:val="24"/>
          <w:szCs w:val="24"/>
        </w:rPr>
        <w:t>To test Hypothesis 2, which focuses on the role of China in shaping trade discourse, we created a keyword-based classifier that flags any press release containing references to “China,” “Chinese,” “Beijing,” “PRC,” or related terms. We additionally created a comparative category for other foreign countries, which included references to countries and geopolitical rivals such as “Russia,” “Iran,” “Mexico,” “North Korea,” and “European Union.” A multinomial flag was generated to distinguish between press releases that mention only China, only other countries, both, or neither. This enabled a comparison of whether China is uniquely associated with specific types of justifications or political signaling, and to what extent congressional trade rhetoric singles out China relative to other foreign actors.</w:t>
      </w:r>
    </w:p>
    <w:p w14:paraId="545F2486" w14:textId="77777777" w:rsidR="004D2F40" w:rsidRPr="004D2F40" w:rsidRDefault="004D2F40" w:rsidP="004D2F4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p>
    <w:p w14:paraId="35670F50" w14:textId="2CDA753D" w:rsidR="004D2F40" w:rsidRPr="004D2F40" w:rsidRDefault="004D2F40" w:rsidP="004D2F4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4D2F40">
        <w:rPr>
          <w:rFonts w:ascii="Times New Roman" w:eastAsia="Times New Roman" w:hAnsi="Times New Roman" w:cs="Times New Roman"/>
          <w:color w:val="000000"/>
          <w:sz w:val="24"/>
          <w:szCs w:val="24"/>
        </w:rPr>
        <w:t xml:space="preserve">To test Hypotheses 3 and 4, which examine how trade communication varies by bipartisan versus partisan framing, we created two additional sets of keyword dictionaries. </w:t>
      </w:r>
      <w:r w:rsidRPr="004D2F40">
        <w:rPr>
          <w:rFonts w:ascii="Times New Roman" w:eastAsia="Times New Roman" w:hAnsi="Times New Roman" w:cs="Times New Roman"/>
          <w:color w:val="000000"/>
          <w:sz w:val="24"/>
          <w:szCs w:val="24"/>
        </w:rPr>
        <w:lastRenderedPageBreak/>
        <w:t xml:space="preserve">Bipartisan cues included terms such as “bipartisan,” “working together,” “consensus,” and “across the aisle.” Partisan cues included “Democrat agenda,” “Republican agenda,” “liberal,” “conservative,” “MAGA,” and “partisan politics.” Binary indicators were created for each category by searching for these terms in the body text. These indicators allowed us to assess the extent to which congressional communication about trade is framed in terms of inter-party cooperation versus partisan division, and to examine whether such cues are differentially </w:t>
      </w:r>
      <w:proofErr w:type="gramStart"/>
      <w:r w:rsidRPr="004D2F40">
        <w:rPr>
          <w:rFonts w:ascii="Times New Roman" w:eastAsia="Times New Roman" w:hAnsi="Times New Roman" w:cs="Times New Roman"/>
          <w:color w:val="000000"/>
          <w:sz w:val="24"/>
          <w:szCs w:val="24"/>
        </w:rPr>
        <w:t>used</w:t>
      </w:r>
      <w:proofErr w:type="gramEnd"/>
      <w:r w:rsidRPr="004D2F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political</w:t>
      </w:r>
      <w:r w:rsidRPr="004D2F40">
        <w:rPr>
          <w:rFonts w:ascii="Times New Roman" w:eastAsia="Times New Roman" w:hAnsi="Times New Roman" w:cs="Times New Roman"/>
          <w:color w:val="000000"/>
          <w:sz w:val="24"/>
          <w:szCs w:val="24"/>
        </w:rPr>
        <w:t xml:space="preserve"> party</w:t>
      </w:r>
      <w:r w:rsidRPr="004D2F40">
        <w:rPr>
          <w:rFonts w:ascii="Times New Roman" w:eastAsia="Times New Roman" w:hAnsi="Times New Roman" w:cs="Times New Roman"/>
          <w:color w:val="000000"/>
          <w:sz w:val="24"/>
          <w:szCs w:val="24"/>
        </w:rPr>
        <w:t xml:space="preserve"> or in relation to specific justification types or foreign references.</w:t>
      </w:r>
    </w:p>
    <w:p w14:paraId="1C8DE649" w14:textId="4DC33838" w:rsidR="0040395B" w:rsidRDefault="004D2F40" w:rsidP="004D2F40">
      <w:pPr>
        <w:widowControl w:val="0"/>
        <w:pBdr>
          <w:top w:val="nil"/>
          <w:left w:val="nil"/>
          <w:bottom w:val="nil"/>
          <w:right w:val="nil"/>
          <w:between w:val="nil"/>
        </w:pBdr>
        <w:spacing w:before="52" w:line="459" w:lineRule="auto"/>
        <w:ind w:right="428" w:firstLine="720"/>
        <w:rPr>
          <w:rFonts w:ascii="Times New Roman" w:eastAsia="Times New Roman" w:hAnsi="Times New Roman" w:cs="Times New Roman"/>
          <w:color w:val="000000"/>
          <w:sz w:val="24"/>
          <w:szCs w:val="24"/>
        </w:rPr>
      </w:pPr>
      <w:r w:rsidRPr="004D2F40">
        <w:rPr>
          <w:rFonts w:ascii="Times New Roman" w:eastAsia="Times New Roman" w:hAnsi="Times New Roman" w:cs="Times New Roman"/>
          <w:color w:val="000000"/>
          <w:sz w:val="24"/>
          <w:szCs w:val="24"/>
        </w:rPr>
        <w:t>These dictionaries were applied to the predicted subset of trade-related press releases identified using a supervised machine learning classifier trained on a hand-labeled sample. The presence or absence of each justification and cue was then used to test our hypotheses through both descriptive statistics and inferential models.</w:t>
      </w:r>
    </w:p>
    <w:p w14:paraId="7C832443" w14:textId="792E90BA" w:rsidR="004D2F40" w:rsidRDefault="004D2F40" w:rsidP="004D2F40">
      <w:pPr>
        <w:widowControl w:val="0"/>
        <w:pBdr>
          <w:top w:val="nil"/>
          <w:left w:val="nil"/>
          <w:bottom w:val="nil"/>
          <w:right w:val="nil"/>
          <w:between w:val="nil"/>
        </w:pBdr>
        <w:spacing w:before="52" w:line="459" w:lineRule="auto"/>
        <w:ind w:right="428"/>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Results</w:t>
      </w:r>
    </w:p>
    <w:p w14:paraId="5F17C9F3" w14:textId="2CB77300" w:rsidR="00E01665" w:rsidRPr="004D2F40" w:rsidRDefault="00CD2662" w:rsidP="004D2F40">
      <w:pPr>
        <w:widowControl w:val="0"/>
        <w:pBdr>
          <w:top w:val="nil"/>
          <w:left w:val="nil"/>
          <w:bottom w:val="nil"/>
          <w:right w:val="nil"/>
          <w:between w:val="nil"/>
        </w:pBdr>
        <w:spacing w:before="52" w:line="459" w:lineRule="auto"/>
        <w:ind w:right="428"/>
        <w:rPr>
          <w:rFonts w:ascii="Times New Roman" w:eastAsia="Times New Roman" w:hAnsi="Times New Roman" w:cs="Times New Roman"/>
          <w:b/>
          <w:bCs/>
          <w:color w:val="000000"/>
          <w:sz w:val="24"/>
          <w:szCs w:val="24"/>
          <w:u w:val="single"/>
        </w:rPr>
      </w:pPr>
      <w:r w:rsidRPr="00CD2662">
        <w:rPr>
          <w:rFonts w:ascii="Times New Roman" w:eastAsia="Times New Roman" w:hAnsi="Times New Roman" w:cs="Times New Roman"/>
          <w:b/>
          <w:bCs/>
          <w:noProof/>
          <w:color w:val="000000"/>
          <w:sz w:val="24"/>
          <w:szCs w:val="24"/>
        </w:rPr>
        <w:drawing>
          <wp:inline distT="0" distB="0" distL="0" distR="0" wp14:anchorId="23FBD6E6" wp14:editId="0F42689B">
            <wp:extent cx="6111240" cy="3488792"/>
            <wp:effectExtent l="0" t="0" r="3810" b="0"/>
            <wp:docPr id="1686138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1813"/>
                    <a:stretch/>
                  </pic:blipFill>
                  <pic:spPr bwMode="auto">
                    <a:xfrm>
                      <a:off x="0" y="0"/>
                      <a:ext cx="6116667" cy="3491890"/>
                    </a:xfrm>
                    <a:prstGeom prst="rect">
                      <a:avLst/>
                    </a:prstGeom>
                    <a:noFill/>
                    <a:ln>
                      <a:noFill/>
                    </a:ln>
                    <a:extLst>
                      <a:ext uri="{53640926-AAD7-44D8-BBD7-CCE9431645EC}">
                        <a14:shadowObscured xmlns:a14="http://schemas.microsoft.com/office/drawing/2010/main"/>
                      </a:ext>
                    </a:extLst>
                  </pic:spPr>
                </pic:pic>
              </a:graphicData>
            </a:graphic>
          </wp:inline>
        </w:drawing>
      </w:r>
    </w:p>
    <w:p w14:paraId="6FEF4758" w14:textId="7965FDAD" w:rsidR="0040395B" w:rsidRPr="0040395B" w:rsidRDefault="0040395B" w:rsidP="0040395B">
      <w:pPr>
        <w:tabs>
          <w:tab w:val="left" w:pos="852"/>
        </w:tabs>
        <w:rPr>
          <w:rFonts w:ascii="Times New Roman" w:eastAsia="Times New Roman" w:hAnsi="Times New Roman" w:cs="Times New Roman"/>
          <w:sz w:val="24"/>
          <w:szCs w:val="24"/>
        </w:rPr>
        <w:sectPr w:rsidR="0040395B" w:rsidRPr="0040395B" w:rsidSect="0040395B">
          <w:type w:val="continuous"/>
          <w:pgSz w:w="12240" w:h="15840"/>
          <w:pgMar w:top="1440" w:right="1440" w:bottom="1440" w:left="1440" w:header="0" w:footer="720" w:gutter="0"/>
          <w:pgNumType w:start="1"/>
          <w:cols w:space="720"/>
          <w:docGrid w:linePitch="299"/>
        </w:sectPr>
      </w:pPr>
      <w:r>
        <w:rPr>
          <w:rFonts w:ascii="Times New Roman" w:eastAsia="Times New Roman" w:hAnsi="Times New Roman" w:cs="Times New Roman"/>
          <w:sz w:val="24"/>
          <w:szCs w:val="24"/>
        </w:rPr>
        <w:lastRenderedPageBreak/>
        <w:tab/>
      </w:r>
      <w:r w:rsidR="00CD2662">
        <w:rPr>
          <w:rFonts w:ascii="Times New Roman" w:eastAsia="Times New Roman" w:hAnsi="Times New Roman" w:cs="Times New Roman"/>
          <w:noProof/>
          <w:sz w:val="24"/>
          <w:szCs w:val="24"/>
        </w:rPr>
        <w:drawing>
          <wp:inline distT="0" distB="0" distL="0" distR="0" wp14:anchorId="26E75C8A" wp14:editId="22E40D71">
            <wp:extent cx="5495925" cy="4558425"/>
            <wp:effectExtent l="0" t="0" r="0" b="0"/>
            <wp:docPr id="1702302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331" cy="4561250"/>
                    </a:xfrm>
                    <a:prstGeom prst="rect">
                      <a:avLst/>
                    </a:prstGeom>
                    <a:noFill/>
                  </pic:spPr>
                </pic:pic>
              </a:graphicData>
            </a:graphic>
          </wp:inline>
        </w:drawing>
      </w:r>
    </w:p>
    <w:p w14:paraId="03EBC90E" w14:textId="77777777" w:rsidR="00677BEC" w:rsidRDefault="00CD2662"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9F9FEAC" wp14:editId="0ECE2392">
            <wp:extent cx="4587240" cy="4651347"/>
            <wp:effectExtent l="0" t="0" r="3810" b="0"/>
            <wp:docPr id="14257049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9226" cy="4653360"/>
                    </a:xfrm>
                    <a:prstGeom prst="rect">
                      <a:avLst/>
                    </a:prstGeom>
                    <a:noFill/>
                  </pic:spPr>
                </pic:pic>
              </a:graphicData>
            </a:graphic>
          </wp:inline>
        </w:drawing>
      </w:r>
    </w:p>
    <w:p w14:paraId="0ADAA882" w14:textId="77777777" w:rsidR="00CD2662" w:rsidRDefault="00CD2662"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069AC32" wp14:editId="4D5F5D07">
            <wp:extent cx="5528310" cy="4639582"/>
            <wp:effectExtent l="0" t="0" r="0" b="8890"/>
            <wp:docPr id="20041516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897" cy="4640914"/>
                    </a:xfrm>
                    <a:prstGeom prst="rect">
                      <a:avLst/>
                    </a:prstGeom>
                    <a:noFill/>
                  </pic:spPr>
                </pic:pic>
              </a:graphicData>
            </a:graphic>
          </wp:inline>
        </w:drawing>
      </w:r>
    </w:p>
    <w:p w14:paraId="5F482343" w14:textId="77777777" w:rsidR="00CD2662" w:rsidRDefault="00CD2662"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010E824" wp14:editId="40C548CE">
            <wp:extent cx="5464561" cy="5082540"/>
            <wp:effectExtent l="0" t="0" r="3175" b="3810"/>
            <wp:docPr id="2129932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341" cy="5083266"/>
                    </a:xfrm>
                    <a:prstGeom prst="rect">
                      <a:avLst/>
                    </a:prstGeom>
                    <a:noFill/>
                  </pic:spPr>
                </pic:pic>
              </a:graphicData>
            </a:graphic>
          </wp:inline>
        </w:drawing>
      </w:r>
    </w:p>
    <w:p w14:paraId="0AED0BE4" w14:textId="77777777" w:rsidR="00CD2662" w:rsidRDefault="00CD2662"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p>
    <w:p w14:paraId="76A2F068" w14:textId="77777777" w:rsidR="00CD2662" w:rsidRDefault="00CD2662"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FCDD298" wp14:editId="2C562DDA">
            <wp:extent cx="5314950" cy="5638800"/>
            <wp:effectExtent l="0" t="0" r="0" b="0"/>
            <wp:docPr id="7347740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5638800"/>
                    </a:xfrm>
                    <a:prstGeom prst="rect">
                      <a:avLst/>
                    </a:prstGeom>
                    <a:noFill/>
                  </pic:spPr>
                </pic:pic>
              </a:graphicData>
            </a:graphic>
          </wp:inline>
        </w:drawing>
      </w:r>
    </w:p>
    <w:p w14:paraId="3164423B" w14:textId="77777777" w:rsidR="00331080" w:rsidRDefault="00331080"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p>
    <w:p w14:paraId="6A4CD27B" w14:textId="28690D42" w:rsidR="00331080" w:rsidRDefault="00331080"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r>
        <w:rPr>
          <w:noProof/>
        </w:rPr>
        <mc:AlternateContent>
          <mc:Choice Requires="wps">
            <w:drawing>
              <wp:inline distT="0" distB="0" distL="0" distR="0" wp14:anchorId="7A99A0D3" wp14:editId="5DE73D0A">
                <wp:extent cx="304800" cy="304800"/>
                <wp:effectExtent l="0" t="0" r="0" b="0"/>
                <wp:docPr id="199445077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9010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1080">
        <w:t xml:space="preserve"> </w:t>
      </w:r>
      <w:r>
        <w:rPr>
          <w:noProof/>
        </w:rPr>
        <mc:AlternateContent>
          <mc:Choice Requires="wps">
            <w:drawing>
              <wp:inline distT="0" distB="0" distL="0" distR="0" wp14:anchorId="261CA3AB" wp14:editId="4345825B">
                <wp:extent cx="304800" cy="304800"/>
                <wp:effectExtent l="0" t="0" r="0" b="0"/>
                <wp:docPr id="29228895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EA2AA"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lastRenderedPageBreak/>
        <w:drawing>
          <wp:inline distT="0" distB="0" distL="0" distR="0" wp14:anchorId="1F5EB33B" wp14:editId="0E18E70A">
            <wp:extent cx="5876692" cy="4882515"/>
            <wp:effectExtent l="0" t="0" r="0" b="0"/>
            <wp:docPr id="193516667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491" cy="4885672"/>
                    </a:xfrm>
                    <a:prstGeom prst="rect">
                      <a:avLst/>
                    </a:prstGeom>
                    <a:noFill/>
                  </pic:spPr>
                </pic:pic>
              </a:graphicData>
            </a:graphic>
          </wp:inline>
        </w:drawing>
      </w:r>
    </w:p>
    <w:p w14:paraId="79770316" w14:textId="77777777" w:rsidR="00331080" w:rsidRDefault="00331080"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pPr>
    </w:p>
    <w:p w14:paraId="13B76000" w14:textId="2021B23E" w:rsidR="00331080" w:rsidRDefault="00331080" w:rsidP="0040395B">
      <w:pPr>
        <w:widowControl w:val="0"/>
        <w:pBdr>
          <w:top w:val="nil"/>
          <w:left w:val="nil"/>
          <w:bottom w:val="nil"/>
          <w:right w:val="nil"/>
          <w:between w:val="nil"/>
        </w:pBdr>
        <w:spacing w:before="52" w:line="459" w:lineRule="auto"/>
        <w:ind w:right="428"/>
        <w:rPr>
          <w:rFonts w:ascii="Times New Roman" w:eastAsia="Times New Roman" w:hAnsi="Times New Roman" w:cs="Times New Roman"/>
          <w:color w:val="000000"/>
          <w:sz w:val="24"/>
          <w:szCs w:val="24"/>
        </w:rPr>
        <w:sectPr w:rsidR="00331080" w:rsidSect="0040395B">
          <w:type w:val="continuous"/>
          <w:pgSz w:w="12240" w:h="15840"/>
          <w:pgMar w:top="1440" w:right="1440" w:bottom="1440" w:left="1440" w:header="0" w:footer="720" w:gutter="0"/>
          <w:pgNumType w:start="1"/>
          <w:cols w:space="720"/>
          <w:docGrid w:linePitch="299"/>
        </w:sectPr>
      </w:pPr>
      <w:r>
        <w:rPr>
          <w:rFonts w:ascii="Times New Roman" w:eastAsia="Times New Roman" w:hAnsi="Times New Roman" w:cs="Times New Roman"/>
          <w:noProof/>
          <w:color w:val="000000"/>
          <w:sz w:val="24"/>
          <w:szCs w:val="24"/>
        </w:rPr>
        <w:lastRenderedPageBreak/>
        <w:drawing>
          <wp:inline distT="0" distB="0" distL="0" distR="0" wp14:anchorId="506F6F43" wp14:editId="51F0DB81">
            <wp:extent cx="6886575" cy="6334125"/>
            <wp:effectExtent l="0" t="0" r="9525" b="9525"/>
            <wp:docPr id="4914379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575" cy="6334125"/>
                    </a:xfrm>
                    <a:prstGeom prst="rect">
                      <a:avLst/>
                    </a:prstGeom>
                    <a:noFill/>
                  </pic:spPr>
                </pic:pic>
              </a:graphicData>
            </a:graphic>
          </wp:inline>
        </w:drawing>
      </w:r>
    </w:p>
    <w:p w14:paraId="2ACE0B90" w14:textId="77777777" w:rsidR="00677BEC" w:rsidRDefault="00677BEC"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sectPr w:rsidR="00677BEC" w:rsidSect="00677BEC">
          <w:pgSz w:w="12240" w:h="15840"/>
          <w:pgMar w:top="1440" w:right="1440" w:bottom="1440" w:left="1440" w:header="0" w:footer="720" w:gutter="0"/>
          <w:pgNumType w:start="1"/>
          <w:cols w:space="720"/>
          <w:titlePg/>
          <w:docGrid w:linePitch="299"/>
        </w:sectPr>
      </w:pPr>
    </w:p>
    <w:p w14:paraId="1A0E1F28" w14:textId="77777777" w:rsidR="00677BEC" w:rsidRDefault="00677BEC"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sectPr w:rsidR="00677BEC" w:rsidSect="00E90861">
          <w:pgSz w:w="12240" w:h="15840"/>
          <w:pgMar w:top="1440" w:right="1440" w:bottom="1440" w:left="1440" w:header="0" w:footer="720" w:gutter="0"/>
          <w:pgNumType w:start="1"/>
          <w:cols w:space="720"/>
          <w:docGrid w:linePitch="299"/>
        </w:sectPr>
      </w:pPr>
    </w:p>
    <w:p w14:paraId="7DCF61FC" w14:textId="4F99922A" w:rsidR="00677BEC" w:rsidRDefault="00677BEC"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type="page"/>
      </w:r>
    </w:p>
    <w:p w14:paraId="52A2EB50" w14:textId="77777777" w:rsidR="006E07F8" w:rsidRPr="004605B5" w:rsidRDefault="006E07F8" w:rsidP="007B3FEB">
      <w:pPr>
        <w:widowControl w:val="0"/>
        <w:pBdr>
          <w:top w:val="nil"/>
          <w:left w:val="nil"/>
          <w:bottom w:val="nil"/>
          <w:right w:val="nil"/>
          <w:between w:val="nil"/>
        </w:pBdr>
        <w:spacing w:before="52" w:line="459" w:lineRule="auto"/>
        <w:ind w:right="428" w:firstLine="718"/>
        <w:rPr>
          <w:rFonts w:ascii="Times New Roman" w:eastAsia="Times New Roman" w:hAnsi="Times New Roman" w:cs="Times New Roman"/>
          <w:color w:val="000000"/>
          <w:sz w:val="24"/>
          <w:szCs w:val="24"/>
        </w:rPr>
      </w:pPr>
    </w:p>
    <w:p w14:paraId="78021C7F" w14:textId="77777777" w:rsidR="00A76164" w:rsidRDefault="00A761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B9566BE" w14:textId="6FA3BFCD" w:rsidR="004171C9" w:rsidRDefault="00000000">
      <w:pPr>
        <w:widowControl w:val="0"/>
        <w:pBdr>
          <w:top w:val="nil"/>
          <w:left w:val="nil"/>
          <w:bottom w:val="nil"/>
          <w:right w:val="nil"/>
          <w:between w:val="nil"/>
        </w:pBdr>
        <w:spacing w:line="240" w:lineRule="auto"/>
        <w:ind w:right="404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Bibliography </w:t>
      </w:r>
    </w:p>
    <w:p w14:paraId="0D937B8A" w14:textId="77777777" w:rsidR="004171C9" w:rsidRDefault="00000000">
      <w:pPr>
        <w:widowControl w:val="0"/>
        <w:pBdr>
          <w:top w:val="nil"/>
          <w:left w:val="nil"/>
          <w:bottom w:val="nil"/>
          <w:right w:val="nil"/>
          <w:between w:val="nil"/>
        </w:pBdr>
        <w:spacing w:before="271" w:line="229" w:lineRule="auto"/>
        <w:ind w:right="44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 JE, Frieden J, Gilligan MJ, Rodrik D, Rogowski R. 1996. The political economy of international trade: enduring puzzles and an agenda for inquiry. Comp. Political Stud. 29(6):689–717 Baker, Andy. “Who Wants to Globalize? Consumer Tastes and Labor Markets in a Theory of Trade Policy Beliefs.” American Journal of Political Science, vol. 49, no. 4, Oct. 2005, pp. 924–38.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u w:val="single"/>
        </w:rPr>
        <w:t>https://doi.org/10.1111/j.1540-5907.2005.00164.x</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6DF721EA" w14:textId="77777777" w:rsidR="004171C9" w:rsidRDefault="00000000">
      <w:pPr>
        <w:widowControl w:val="0"/>
        <w:pBdr>
          <w:top w:val="nil"/>
          <w:left w:val="nil"/>
          <w:bottom w:val="nil"/>
          <w:right w:val="nil"/>
          <w:between w:val="nil"/>
        </w:pBdr>
        <w:spacing w:before="6" w:line="229" w:lineRule="auto"/>
        <w:ind w:left="722" w:right="586"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Betz, Timm, and Amy Pond. “The Absence of Consumer Interests in Trade Policy.” The Journal of Politics, vol. 81, no. 2, Apr. 2019, pp. 585–600.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w:t>
      </w:r>
    </w:p>
    <w:p w14:paraId="3CDD0478" w14:textId="77777777" w:rsidR="004171C9" w:rsidRDefault="00000000">
      <w:pPr>
        <w:widowControl w:val="0"/>
        <w:pBdr>
          <w:top w:val="nil"/>
          <w:left w:val="nil"/>
          <w:bottom w:val="nil"/>
          <w:right w:val="nil"/>
          <w:between w:val="nil"/>
        </w:pBdr>
        <w:spacing w:before="6"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u w:val="single"/>
        </w:rPr>
        <w:t>https://doi.org/10.1086/701493</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0601502E" w14:textId="77777777" w:rsidR="004171C9" w:rsidRDefault="00000000">
      <w:pPr>
        <w:widowControl w:val="0"/>
        <w:pBdr>
          <w:top w:val="nil"/>
          <w:left w:val="nil"/>
          <w:bottom w:val="nil"/>
          <w:right w:val="nil"/>
          <w:between w:val="nil"/>
        </w:pBdr>
        <w:spacing w:line="229" w:lineRule="auto"/>
        <w:ind w:left="722" w:right="559"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Beaulieu, Eugene. “Factor or Industry Cleavages in Trade Policy? An Empirical Analysis of the Stolper–Samuelson Theorem.” Economics &amp; Politics, vol. 14, no. 2, July 2002, pp. 99–131.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u w:val="single"/>
        </w:rPr>
        <w:t>https://doi.org/10.1111/1468-0343.00102</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7B6DAD5A" w14:textId="77777777" w:rsidR="004171C9" w:rsidRDefault="00000000">
      <w:pPr>
        <w:widowControl w:val="0"/>
        <w:pBdr>
          <w:top w:val="nil"/>
          <w:left w:val="nil"/>
          <w:bottom w:val="nil"/>
          <w:right w:val="nil"/>
          <w:between w:val="nil"/>
        </w:pBdr>
        <w:spacing w:before="6" w:line="229" w:lineRule="auto"/>
        <w:ind w:left="722" w:right="55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Botelho, Anabela, et al. “Testing Static Game Theory with Dynamic Experiments: A Case Study of Public Goods.” Games and Economic Behavior, vol. 67, no. 1, Sept. 2009, pp. 253-265.e3. ScienceDirect, </w:t>
      </w:r>
      <w:r>
        <w:rPr>
          <w:rFonts w:ascii="Times New Roman" w:eastAsia="Times New Roman" w:hAnsi="Times New Roman" w:cs="Times New Roman"/>
          <w:color w:val="0000FF"/>
          <w:sz w:val="24"/>
          <w:szCs w:val="24"/>
          <w:u w:val="single"/>
        </w:rPr>
        <w:t>https://doi.org/10.1016/j.geb.2008.11.013</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39A06230" w14:textId="77777777" w:rsidR="004171C9" w:rsidRDefault="00000000">
      <w:pPr>
        <w:widowControl w:val="0"/>
        <w:pBdr>
          <w:top w:val="nil"/>
          <w:left w:val="nil"/>
          <w:bottom w:val="nil"/>
          <w:right w:val="nil"/>
          <w:between w:val="nil"/>
        </w:pBdr>
        <w:spacing w:before="6" w:line="229" w:lineRule="auto"/>
        <w:ind w:left="2" w:righ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Blendon, Robert J., et al. “Public Opinion and Trump’s Jobs and Trade Policies.” </w:t>
      </w:r>
      <w:r>
        <w:rPr>
          <w:rFonts w:ascii="Times New Roman" w:eastAsia="Times New Roman" w:hAnsi="Times New Roman" w:cs="Times New Roman"/>
          <w:i/>
          <w:color w:val="000000"/>
          <w:sz w:val="24"/>
          <w:szCs w:val="24"/>
        </w:rPr>
        <w:t>Challenge</w:t>
      </w:r>
      <w:r>
        <w:rPr>
          <w:rFonts w:ascii="Times New Roman" w:eastAsia="Times New Roman" w:hAnsi="Times New Roman" w:cs="Times New Roman"/>
          <w:color w:val="000000"/>
          <w:sz w:val="24"/>
          <w:szCs w:val="24"/>
        </w:rPr>
        <w:t xml:space="preserve">, vol. 60, no. 3, May 2017, pp. 228–44. </w:t>
      </w:r>
      <w:r>
        <w:rPr>
          <w:rFonts w:ascii="Times New Roman" w:eastAsia="Times New Roman" w:hAnsi="Times New Roman" w:cs="Times New Roman"/>
          <w:i/>
          <w:color w:val="000000"/>
          <w:sz w:val="24"/>
          <w:szCs w:val="24"/>
        </w:rPr>
        <w:t>DOI.org (</w:t>
      </w:r>
      <w:proofErr w:type="spellStart"/>
      <w:r>
        <w:rPr>
          <w:rFonts w:ascii="Times New Roman" w:eastAsia="Times New Roman" w:hAnsi="Times New Roman" w:cs="Times New Roman"/>
          <w:i/>
          <w:color w:val="000000"/>
          <w:sz w:val="24"/>
          <w:szCs w:val="24"/>
        </w:rPr>
        <w:t>Crossref</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https://doi.org/10.1080/05775132.2017.1308763. Bloomberg. “House Prepares to Drop China Investment Curbs </w:t>
      </w: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Defense Bill.” Bloomberg.Com, 29 Nov. 2023. www.bloomberg.com, </w:t>
      </w:r>
    </w:p>
    <w:p w14:paraId="58E39517" w14:textId="77777777" w:rsidR="004171C9" w:rsidRDefault="00000000">
      <w:pPr>
        <w:widowControl w:val="0"/>
        <w:pBdr>
          <w:top w:val="nil"/>
          <w:left w:val="nil"/>
          <w:bottom w:val="nil"/>
          <w:right w:val="nil"/>
          <w:between w:val="nil"/>
        </w:pBdr>
        <w:spacing w:before="6" w:line="229" w:lineRule="auto"/>
        <w:ind w:left="726" w:right="55"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u w:val="single"/>
        </w:rPr>
        <w:t>https://www.bloomberg.com/news/articles/2023-11-29/house-prepares-to-drop-china-investment curbs-from-defense-bill</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2DDB8267" w14:textId="77777777" w:rsidR="004171C9" w:rsidRDefault="00000000">
      <w:pPr>
        <w:widowControl w:val="0"/>
        <w:pBdr>
          <w:top w:val="nil"/>
          <w:left w:val="nil"/>
          <w:bottom w:val="nil"/>
          <w:right w:val="nil"/>
          <w:between w:val="nil"/>
        </w:pBdr>
        <w:spacing w:before="6" w:line="229" w:lineRule="auto"/>
        <w:ind w:left="721" w:right="1147" w:hanging="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Boak. “Joe Biden’s ‘Buy America’ Policy on Infrastructure Projects Leads to Factory Jobs in Wisconsin.” AP News, 4 Aug. 2023, </w:t>
      </w:r>
    </w:p>
    <w:p w14:paraId="5926643C" w14:textId="77777777" w:rsidR="004171C9" w:rsidRDefault="00000000">
      <w:pPr>
        <w:widowControl w:val="0"/>
        <w:pBdr>
          <w:top w:val="nil"/>
          <w:left w:val="nil"/>
          <w:bottom w:val="nil"/>
          <w:right w:val="nil"/>
          <w:between w:val="nil"/>
        </w:pBdr>
        <w:spacing w:before="6" w:line="229" w:lineRule="auto"/>
        <w:ind w:left="726" w:right="28"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u w:val="single"/>
        </w:rPr>
        <w:t>https://apnews.com/article/biden-harris-internet-raimondo-factory-jobs-546af3d3bd9520b1e055d</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u w:val="single"/>
        </w:rPr>
        <w:t>d323e8baf47</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30E04231" w14:textId="77777777" w:rsidR="004171C9" w:rsidRDefault="00000000">
      <w:pPr>
        <w:widowControl w:val="0"/>
        <w:pBdr>
          <w:top w:val="nil"/>
          <w:left w:val="nil"/>
          <w:bottom w:val="nil"/>
          <w:right w:val="nil"/>
          <w:between w:val="nil"/>
        </w:pBdr>
        <w:spacing w:before="6" w:line="229" w:lineRule="auto"/>
        <w:ind w:left="722" w:right="129"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Bogdanova, Iryna. "The WTO Panel Ruling on the National Security Exception: Has the Panel ‘</w:t>
      </w:r>
      <w:proofErr w:type="spellStart"/>
      <w:r>
        <w:rPr>
          <w:rFonts w:ascii="Times New Roman" w:eastAsia="Times New Roman" w:hAnsi="Times New Roman" w:cs="Times New Roman"/>
          <w:color w:val="000000"/>
          <w:sz w:val="24"/>
          <w:szCs w:val="24"/>
        </w:rPr>
        <w:t>Cut’the</w:t>
      </w:r>
      <w:proofErr w:type="spellEnd"/>
      <w:r>
        <w:rPr>
          <w:rFonts w:ascii="Times New Roman" w:eastAsia="Times New Roman" w:hAnsi="Times New Roman" w:cs="Times New Roman"/>
          <w:color w:val="000000"/>
          <w:sz w:val="24"/>
          <w:szCs w:val="24"/>
        </w:rPr>
        <w:t xml:space="preserve"> Baby in </w:t>
      </w:r>
      <w:proofErr w:type="gramStart"/>
      <w:r>
        <w:rPr>
          <w:rFonts w:ascii="Times New Roman" w:eastAsia="Times New Roman" w:hAnsi="Times New Roman" w:cs="Times New Roman"/>
          <w:color w:val="000000"/>
          <w:sz w:val="24"/>
          <w:szCs w:val="24"/>
        </w:rPr>
        <w:t>Half?.</w:t>
      </w:r>
      <w:proofErr w:type="gramEnd"/>
      <w:r>
        <w:rPr>
          <w:rFonts w:ascii="Times New Roman" w:eastAsia="Times New Roman" w:hAnsi="Times New Roman" w:cs="Times New Roman"/>
          <w:color w:val="000000"/>
          <w:sz w:val="24"/>
          <w:szCs w:val="24"/>
        </w:rPr>
        <w:t xml:space="preserve">" EJIL: Talk 12 (2019). </w:t>
      </w:r>
    </w:p>
    <w:p w14:paraId="265816F6" w14:textId="77777777" w:rsidR="004171C9" w:rsidRDefault="00000000">
      <w:pPr>
        <w:widowControl w:val="0"/>
        <w:pBdr>
          <w:top w:val="nil"/>
          <w:left w:val="nil"/>
          <w:bottom w:val="nil"/>
          <w:right w:val="nil"/>
          <w:between w:val="nil"/>
        </w:pBdr>
        <w:spacing w:before="6" w:line="229" w:lineRule="auto"/>
        <w:ind w:left="2" w:right="432"/>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Bruetschy</w:t>
      </w:r>
      <w:proofErr w:type="spellEnd"/>
      <w:r>
        <w:rPr>
          <w:rFonts w:ascii="Times New Roman" w:eastAsia="Times New Roman" w:hAnsi="Times New Roman" w:cs="Times New Roman"/>
          <w:color w:val="000000"/>
          <w:sz w:val="24"/>
          <w:szCs w:val="24"/>
        </w:rPr>
        <w:t xml:space="preserve">, Chantal. “The EU Regulatory Framework on Genetically Modified Organisms (GMOs).” Transgenic Research, vol. 28, no. 2, Aug. 2019, pp. 169–74. Springer Link, </w:t>
      </w:r>
    </w:p>
    <w:p w14:paraId="1C75A7F2" w14:textId="77777777" w:rsidR="004171C9" w:rsidRDefault="00000000">
      <w:pPr>
        <w:widowControl w:val="0"/>
        <w:pBdr>
          <w:top w:val="nil"/>
          <w:left w:val="nil"/>
          <w:bottom w:val="nil"/>
          <w:right w:val="nil"/>
          <w:between w:val="nil"/>
        </w:pBdr>
        <w:spacing w:before="6"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u w:val="single"/>
        </w:rPr>
        <w:t>https://doi.org/10.1007/s11248-019-00149-y</w:t>
      </w:r>
      <w:r>
        <w:rPr>
          <w:rFonts w:ascii="Times New Roman" w:eastAsia="Times New Roman" w:hAnsi="Times New Roman" w:cs="Times New Roman"/>
          <w:color w:val="000000"/>
          <w:sz w:val="24"/>
          <w:szCs w:val="24"/>
        </w:rPr>
        <w:t xml:space="preserve">. </w:t>
      </w:r>
    </w:p>
    <w:p w14:paraId="68B8BAD0" w14:textId="77777777" w:rsidR="004171C9" w:rsidRDefault="00000000">
      <w:pPr>
        <w:widowControl w:val="0"/>
        <w:pBdr>
          <w:top w:val="nil"/>
          <w:left w:val="nil"/>
          <w:bottom w:val="nil"/>
          <w:right w:val="nil"/>
          <w:between w:val="nil"/>
        </w:pBdr>
        <w:spacing w:line="229" w:lineRule="auto"/>
        <w:ind w:left="719" w:right="498" w:hanging="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Brutger, Ryan, and Alexandra Guisinger. “Labor Market Volatility, Gender, and Trade Preferences.” Journal of Experimental Political Science, vol. 9, no. 2, July 2022, pp. 189–202. Cambridge University Press, https://doi.org/10.1017/XPS.2021.9. </w:t>
      </w:r>
    </w:p>
    <w:p w14:paraId="11E3BDD8" w14:textId="77777777" w:rsidR="004171C9" w:rsidRDefault="00000000">
      <w:pPr>
        <w:widowControl w:val="0"/>
        <w:pBdr>
          <w:top w:val="nil"/>
          <w:left w:val="nil"/>
          <w:bottom w:val="nil"/>
          <w:right w:val="nil"/>
          <w:between w:val="nil"/>
        </w:pBdr>
        <w:spacing w:before="6" w:line="229" w:lineRule="auto"/>
        <w:ind w:left="719" w:right="61" w:hanging="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Bureau of Industry and Security. US Department and Commerce. Section 232 Investigations. </w:t>
      </w:r>
      <w:r>
        <w:rPr>
          <w:rFonts w:ascii="Times New Roman" w:eastAsia="Times New Roman" w:hAnsi="Times New Roman" w:cs="Times New Roman"/>
          <w:color w:val="0000FF"/>
          <w:sz w:val="24"/>
          <w:szCs w:val="24"/>
          <w:u w:val="single"/>
        </w:rPr>
        <w:t>https://www.bis.doc.gov/index.php/other-areas/office-of-technology-evaluation-ote/section-232-i</w:t>
      </w:r>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u w:val="single"/>
        </w:rPr>
        <w:t>nvestigations</w:t>
      </w:r>
      <w:proofErr w:type="spellEnd"/>
      <w:r>
        <w:rPr>
          <w:rFonts w:ascii="Times New Roman" w:eastAsia="Times New Roman" w:hAnsi="Times New Roman" w:cs="Times New Roman"/>
          <w:color w:val="0000FF"/>
          <w:sz w:val="24"/>
          <w:szCs w:val="24"/>
          <w:u w:val="single"/>
        </w:rPr>
        <w:t>. Accessed 6 Dec. 2023</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68F6B9BE" w14:textId="77777777" w:rsidR="004171C9" w:rsidRDefault="00000000">
      <w:pPr>
        <w:widowControl w:val="0"/>
        <w:pBdr>
          <w:top w:val="nil"/>
          <w:left w:val="nil"/>
          <w:bottom w:val="nil"/>
          <w:right w:val="nil"/>
          <w:between w:val="nil"/>
        </w:pBdr>
        <w:spacing w:before="6" w:line="229" w:lineRule="auto"/>
        <w:ind w:left="6" w:right="74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Cohen, Harlen Nations and Markets, Journal of International Economic Law, Volume 23, Issue 4, December 2020, Pages 793–815, https://doi.org/10.1093/jiel/jgaa032 </w:t>
      </w:r>
    </w:p>
    <w:p w14:paraId="5C40A9A7" w14:textId="77777777" w:rsidR="004171C9" w:rsidRDefault="00000000">
      <w:pPr>
        <w:widowControl w:val="0"/>
        <w:pBdr>
          <w:top w:val="nil"/>
          <w:left w:val="nil"/>
          <w:bottom w:val="nil"/>
          <w:right w:val="nil"/>
          <w:between w:val="nil"/>
        </w:pBdr>
        <w:spacing w:before="6" w:line="229" w:lineRule="auto"/>
        <w:ind w:left="722" w:right="507"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Dadush</w:t>
      </w:r>
      <w:proofErr w:type="spellEnd"/>
      <w:r>
        <w:rPr>
          <w:rFonts w:ascii="Times New Roman" w:eastAsia="Times New Roman" w:hAnsi="Times New Roman" w:cs="Times New Roman"/>
          <w:color w:val="000000"/>
          <w:sz w:val="24"/>
          <w:szCs w:val="24"/>
        </w:rPr>
        <w:t xml:space="preserve">, Uri. “Industrial Policy: A Guide for the Perplexed.” Carnegie Endowment for International Peace, </w:t>
      </w:r>
    </w:p>
    <w:p w14:paraId="37B960A2" w14:textId="77777777" w:rsidR="004171C9" w:rsidRDefault="00000000">
      <w:pPr>
        <w:widowControl w:val="0"/>
        <w:pBdr>
          <w:top w:val="nil"/>
          <w:left w:val="nil"/>
          <w:bottom w:val="nil"/>
          <w:right w:val="nil"/>
          <w:between w:val="nil"/>
        </w:pBdr>
        <w:spacing w:before="6" w:line="229" w:lineRule="auto"/>
        <w:ind w:left="720" w:right="4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https://carnegieendowment.org/2016/02/01/industrial-policy-guide-for-perplexed-pub-62660. Accessed 8 Dec. 2023 </w:t>
      </w:r>
    </w:p>
    <w:p w14:paraId="5DBCEF15" w14:textId="77777777" w:rsidR="004171C9" w:rsidRDefault="00000000">
      <w:pPr>
        <w:widowControl w:val="0"/>
        <w:pBdr>
          <w:top w:val="nil"/>
          <w:left w:val="nil"/>
          <w:bottom w:val="nil"/>
          <w:right w:val="nil"/>
          <w:between w:val="nil"/>
        </w:pBdr>
        <w:spacing w:before="6" w:line="229" w:lineRule="auto"/>
        <w:ind w:left="726" w:right="208" w:hanging="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 Christopher M. “Brexit, Trump and Trade: Back to a Late 19th Century Future?” Competition &amp; Change, vol. 24, no. 3–4, July 2020, pp. 338–57.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w:t>
      </w:r>
    </w:p>
    <w:p w14:paraId="342CD65E" w14:textId="77777777" w:rsidR="004171C9" w:rsidRDefault="00000000">
      <w:pPr>
        <w:widowControl w:val="0"/>
        <w:pBdr>
          <w:top w:val="nil"/>
          <w:left w:val="nil"/>
          <w:bottom w:val="nil"/>
          <w:right w:val="nil"/>
          <w:between w:val="nil"/>
        </w:pBdr>
        <w:spacing w:before="6" w:line="240" w:lineRule="auto"/>
        <w:ind w:left="719"/>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FF"/>
          <w:sz w:val="24"/>
          <w:szCs w:val="24"/>
          <w:u w:val="single"/>
        </w:rPr>
        <w:t>https://doi.org/10.1177/1024529420921481</w:t>
      </w:r>
      <w:r>
        <w:rPr>
          <w:rFonts w:ascii="Times New Roman" w:eastAsia="Times New Roman" w:hAnsi="Times New Roman" w:cs="Times New Roman"/>
          <w:color w:val="000000"/>
          <w:sz w:val="24"/>
          <w:szCs w:val="24"/>
          <w:u w:val="single"/>
        </w:rPr>
        <w:t>.</w:t>
      </w:r>
    </w:p>
    <w:p w14:paraId="3728908B" w14:textId="77777777" w:rsidR="004171C9" w:rsidRDefault="00000000">
      <w:pPr>
        <w:widowControl w:val="0"/>
        <w:pBdr>
          <w:top w:val="nil"/>
          <w:left w:val="nil"/>
          <w:bottom w:val="nil"/>
          <w:right w:val="nil"/>
          <w:between w:val="nil"/>
        </w:pBdr>
        <w:spacing w:line="229" w:lineRule="auto"/>
        <w:ind w:left="719" w:right="755" w:hanging="7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Essig, Joseph, et al. “The ‘Trump’ Effect: Political Elite and Support for Free Trade in </w:t>
      </w:r>
      <w:r>
        <w:rPr>
          <w:rFonts w:ascii="Times New Roman" w:eastAsia="Times New Roman" w:hAnsi="Times New Roman" w:cs="Times New Roman"/>
          <w:color w:val="000000"/>
          <w:sz w:val="24"/>
          <w:szCs w:val="24"/>
        </w:rPr>
        <w:lastRenderedPageBreak/>
        <w:t>America.” American Politics Research, vol. 49, no. 3, May 2021, pp. 328–42.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https://doi.org/10.1177/1532673X21992124. </w:t>
      </w:r>
    </w:p>
    <w:p w14:paraId="2A3DE769" w14:textId="77777777" w:rsidR="004171C9" w:rsidRDefault="00000000">
      <w:pPr>
        <w:widowControl w:val="0"/>
        <w:pBdr>
          <w:top w:val="nil"/>
          <w:left w:val="nil"/>
          <w:bottom w:val="nil"/>
          <w:right w:val="nil"/>
          <w:between w:val="nil"/>
        </w:pBdr>
        <w:spacing w:before="6" w:line="229" w:lineRule="auto"/>
        <w:ind w:left="6" w:right="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Gillespie, Patrick. “Obama Got Tough on China. It Cost U.S. Jobs and Raised Prices.” CNNMoney, 3 Jan. 2017, </w:t>
      </w:r>
      <w:r>
        <w:rPr>
          <w:rFonts w:ascii="Times New Roman" w:eastAsia="Times New Roman" w:hAnsi="Times New Roman" w:cs="Times New Roman"/>
          <w:color w:val="0000FF"/>
          <w:sz w:val="24"/>
          <w:szCs w:val="24"/>
          <w:u w:val="single"/>
        </w:rPr>
        <w:t>https://money.cnn.com/2017/01/03/news/economy/obama-china-tire-tariff/index.html</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Guisinger, Alexandra. “Determining Trade Policy: Do Voters Hold Politicians Accountable?” International Organization, vol. 63, no. 3, July 2009, pp. 533–57. Cambridge University Press, </w:t>
      </w:r>
      <w:r>
        <w:rPr>
          <w:rFonts w:ascii="Times New Roman" w:eastAsia="Times New Roman" w:hAnsi="Times New Roman" w:cs="Times New Roman"/>
          <w:color w:val="0000FF"/>
          <w:sz w:val="24"/>
          <w:szCs w:val="24"/>
          <w:u w:val="single"/>
        </w:rPr>
        <w:t>https://doi.org/10.1017/S0020818309090183</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23E3627D" w14:textId="77777777" w:rsidR="004171C9" w:rsidRDefault="00000000">
      <w:pPr>
        <w:widowControl w:val="0"/>
        <w:pBdr>
          <w:top w:val="nil"/>
          <w:left w:val="nil"/>
          <w:bottom w:val="nil"/>
          <w:right w:val="nil"/>
          <w:between w:val="nil"/>
        </w:pBdr>
        <w:spacing w:before="6" w:line="229" w:lineRule="auto"/>
        <w:ind w:left="722" w:right="78"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Feenstra RC. 2015. Advanced International Trade: Theory and Evidence. Princeton, NJ: Princeton Univ. Press </w:t>
      </w:r>
    </w:p>
    <w:p w14:paraId="654629DA" w14:textId="77777777" w:rsidR="004171C9" w:rsidRDefault="00000000">
      <w:pPr>
        <w:widowControl w:val="0"/>
        <w:pBdr>
          <w:top w:val="nil"/>
          <w:left w:val="nil"/>
          <w:bottom w:val="nil"/>
          <w:right w:val="nil"/>
          <w:between w:val="nil"/>
        </w:pBdr>
        <w:spacing w:before="6" w:line="229" w:lineRule="auto"/>
        <w:ind w:left="720" w:right="493" w:hanging="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Hiscox MJ. 2002. Commerce, coalitions, and factor mobility: evidence from congressional votes on trade legislation. Am. Political Sci. Rev. 96(3):593–608 </w:t>
      </w:r>
    </w:p>
    <w:p w14:paraId="4FC0853C" w14:textId="77777777" w:rsidR="004171C9" w:rsidRDefault="00000000">
      <w:pPr>
        <w:widowControl w:val="0"/>
        <w:pBdr>
          <w:top w:val="nil"/>
          <w:left w:val="nil"/>
          <w:bottom w:val="nil"/>
          <w:right w:val="nil"/>
          <w:between w:val="nil"/>
        </w:pBdr>
        <w:spacing w:before="6" w:line="229" w:lineRule="auto"/>
        <w:ind w:left="720" w:right="66" w:hanging="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Kertzer, Joshua D., and Ryan Brutger. “Decomposing Audience Costs: Bringing the Audience Back into Audience Cost Theory.” American Journal of Political Science, vol. 60, no. 1, Jan. 2016, pp. 234–49.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1155CC"/>
          <w:sz w:val="24"/>
          <w:szCs w:val="24"/>
          <w:u w:val="single"/>
        </w:rPr>
        <w:t>https://doi.org/10.1111/ajps.12201</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27C41DFF" w14:textId="77777777" w:rsidR="004171C9" w:rsidRDefault="00000000">
      <w:pPr>
        <w:widowControl w:val="0"/>
        <w:pBdr>
          <w:top w:val="nil"/>
          <w:left w:val="nil"/>
          <w:bottom w:val="nil"/>
          <w:right w:val="nil"/>
          <w:between w:val="nil"/>
        </w:pBdr>
        <w:spacing w:before="6" w:line="229" w:lineRule="auto"/>
        <w:ind w:left="733" w:right="215" w:hanging="7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Keser, Ceren, et al. “Partisanship, Trump Favorability, and Changes in Support for Trade.” Presidential Studies Quarterly, Oct. 2023, p. psq.12861.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w:t>
      </w:r>
    </w:p>
    <w:p w14:paraId="29BF9941" w14:textId="77777777" w:rsidR="004171C9" w:rsidRDefault="00000000">
      <w:pPr>
        <w:widowControl w:val="0"/>
        <w:pBdr>
          <w:top w:val="nil"/>
          <w:left w:val="nil"/>
          <w:bottom w:val="nil"/>
          <w:right w:val="nil"/>
          <w:between w:val="nil"/>
        </w:pBdr>
        <w:spacing w:before="6"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https://doi.org/10.1111/psq.12861. </w:t>
      </w:r>
    </w:p>
    <w:p w14:paraId="36670F62" w14:textId="77777777" w:rsidR="004171C9" w:rsidRDefault="00000000">
      <w:pPr>
        <w:widowControl w:val="0"/>
        <w:pBdr>
          <w:top w:val="nil"/>
          <w:left w:val="nil"/>
          <w:bottom w:val="nil"/>
          <w:right w:val="nil"/>
          <w:between w:val="nil"/>
        </w:pBdr>
        <w:spacing w:line="229" w:lineRule="auto"/>
        <w:ind w:left="722" w:right="272"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Kono, Daniel Y. 2006. “Optimal Obfuscation: Democracy and Trade </w:t>
      </w:r>
      <w:proofErr w:type="spellStart"/>
      <w:r>
        <w:rPr>
          <w:rFonts w:ascii="Times New Roman" w:eastAsia="Times New Roman" w:hAnsi="Times New Roman" w:cs="Times New Roman"/>
          <w:color w:val="000000"/>
          <w:sz w:val="24"/>
          <w:szCs w:val="24"/>
        </w:rPr>
        <w:t>PolicyTransparency</w:t>
      </w:r>
      <w:proofErr w:type="spellEnd"/>
      <w:r>
        <w:rPr>
          <w:rFonts w:ascii="Times New Roman" w:eastAsia="Times New Roman" w:hAnsi="Times New Roman" w:cs="Times New Roman"/>
          <w:color w:val="000000"/>
          <w:sz w:val="24"/>
          <w:szCs w:val="24"/>
        </w:rPr>
        <w:t xml:space="preserve">.” American </w:t>
      </w:r>
      <w:proofErr w:type="spellStart"/>
      <w:r>
        <w:rPr>
          <w:rFonts w:ascii="Times New Roman" w:eastAsia="Times New Roman" w:hAnsi="Times New Roman" w:cs="Times New Roman"/>
          <w:color w:val="000000"/>
          <w:sz w:val="24"/>
          <w:szCs w:val="24"/>
        </w:rPr>
        <w:t>PoliticalScienceReview</w:t>
      </w:r>
      <w:proofErr w:type="spellEnd"/>
      <w:r>
        <w:rPr>
          <w:rFonts w:ascii="Times New Roman" w:eastAsia="Times New Roman" w:hAnsi="Times New Roman" w:cs="Times New Roman"/>
          <w:color w:val="000000"/>
          <w:sz w:val="24"/>
          <w:szCs w:val="24"/>
        </w:rPr>
        <w:t xml:space="preserve"> 10(3): 369-384. </w:t>
      </w:r>
    </w:p>
    <w:p w14:paraId="2AC5E1FE" w14:textId="77777777" w:rsidR="004171C9" w:rsidRDefault="00000000">
      <w:pPr>
        <w:widowControl w:val="0"/>
        <w:pBdr>
          <w:top w:val="nil"/>
          <w:left w:val="nil"/>
          <w:bottom w:val="nil"/>
          <w:right w:val="nil"/>
          <w:between w:val="nil"/>
        </w:pBdr>
        <w:spacing w:before="6" w:line="229" w:lineRule="auto"/>
        <w:ind w:left="2"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Kono, Daniel Y. “Does Public Opinion Affect Trade Policy?” Business and Politics, vol. 10, no. 2, Aug. 2008, pp. 1–19. Cambridge University Press, https://doi.org/10.2202/1469-3569.1224. Kim IS. 2017. Political cleavages within industry: firm-level lobbying for trade liberalization. Am. Political Sci. Rev. 111(1):1–20 </w:t>
      </w:r>
    </w:p>
    <w:p w14:paraId="047B9A61" w14:textId="77777777" w:rsidR="004171C9" w:rsidRDefault="00000000">
      <w:pPr>
        <w:widowControl w:val="0"/>
        <w:pBdr>
          <w:top w:val="nil"/>
          <w:left w:val="nil"/>
          <w:bottom w:val="nil"/>
          <w:right w:val="nil"/>
          <w:between w:val="nil"/>
        </w:pBdr>
        <w:spacing w:before="6" w:line="229" w:lineRule="auto"/>
        <w:ind w:left="726" w:right="487" w:hanging="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Krugman P. 1980. Scale economies, product differentiation, and the pattern of </w:t>
      </w:r>
      <w:proofErr w:type="spellStart"/>
      <w:r>
        <w:rPr>
          <w:rFonts w:ascii="Times New Roman" w:eastAsia="Times New Roman" w:hAnsi="Times New Roman" w:cs="Times New Roman"/>
          <w:color w:val="000000"/>
          <w:sz w:val="24"/>
          <w:szCs w:val="24"/>
        </w:rPr>
        <w:t>trade.Am</w:t>
      </w:r>
      <w:proofErr w:type="spellEnd"/>
      <w:r>
        <w:rPr>
          <w:rFonts w:ascii="Times New Roman" w:eastAsia="Times New Roman" w:hAnsi="Times New Roman" w:cs="Times New Roman"/>
          <w:color w:val="000000"/>
          <w:sz w:val="24"/>
          <w:szCs w:val="24"/>
        </w:rPr>
        <w:t xml:space="preserve">. Econ. Rev. 70(5):950–59 </w:t>
      </w:r>
    </w:p>
    <w:p w14:paraId="14DE2B32" w14:textId="77777777" w:rsidR="004171C9" w:rsidRDefault="00000000">
      <w:pPr>
        <w:widowControl w:val="0"/>
        <w:pBdr>
          <w:top w:val="nil"/>
          <w:left w:val="nil"/>
          <w:bottom w:val="nil"/>
          <w:right w:val="nil"/>
          <w:between w:val="nil"/>
        </w:pBdr>
        <w:spacing w:before="6" w:line="229" w:lineRule="auto"/>
        <w:ind w:left="733" w:right="331" w:hanging="7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Friend or Foe? A Natural Experiment of the Prisoner's Dilemma. The Review of Economics and Statistics 2006; 88 (3): 463–471.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p>
    <w:p w14:paraId="2A2BDA3B" w14:textId="77777777" w:rsidR="004171C9" w:rsidRDefault="00000000">
      <w:pPr>
        <w:widowControl w:val="0"/>
        <w:pBdr>
          <w:top w:val="nil"/>
          <w:left w:val="nil"/>
          <w:bottom w:val="nil"/>
          <w:right w:val="nil"/>
          <w:between w:val="nil"/>
        </w:pBdr>
        <w:spacing w:before="6" w:line="229" w:lineRule="auto"/>
        <w:ind w:left="2" w:right="3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Mayhew, David R. Congress: The Electoral Connection. Second edition, Yale University Press, 2004. Mutz, Diana C., and Eunji Kim. “The Impact of In-Group Favoritism on Trade Preferences.” International Organization, vol. 71, no. 4, Oct. 2017, pp. 827–50. Cambridge University Press, </w:t>
      </w:r>
      <w:r>
        <w:rPr>
          <w:rFonts w:ascii="Times New Roman" w:eastAsia="Times New Roman" w:hAnsi="Times New Roman" w:cs="Times New Roman"/>
          <w:color w:val="0000FF"/>
          <w:sz w:val="24"/>
          <w:szCs w:val="24"/>
          <w:u w:val="single"/>
        </w:rPr>
        <w:t>https://doi.org/10.1017/S0020818317000327</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6F5FE4B2" w14:textId="77777777" w:rsidR="004171C9" w:rsidRDefault="00000000">
      <w:pPr>
        <w:widowControl w:val="0"/>
        <w:pBdr>
          <w:top w:val="nil"/>
          <w:left w:val="nil"/>
          <w:bottom w:val="nil"/>
          <w:right w:val="nil"/>
          <w:between w:val="nil"/>
        </w:pBdr>
        <w:spacing w:before="6" w:line="229" w:lineRule="auto"/>
        <w:ind w:left="725" w:right="222" w:hanging="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Osgood I. 2017. The breakdown of industrial opposition to trade: firms, product variety, and reciprocal liberalization. World Politics 69(1):184–231 </w:t>
      </w:r>
    </w:p>
    <w:p w14:paraId="4CD563A5" w14:textId="77777777" w:rsidR="004171C9" w:rsidRDefault="00000000">
      <w:pPr>
        <w:widowControl w:val="0"/>
        <w:pBdr>
          <w:top w:val="nil"/>
          <w:left w:val="nil"/>
          <w:bottom w:val="nil"/>
          <w:right w:val="nil"/>
          <w:between w:val="nil"/>
        </w:pBdr>
        <w:spacing w:before="6" w:line="229" w:lineRule="auto"/>
        <w:ind w:left="726" w:right="56" w:hanging="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Potter, Philip B. K., and Matthew A. Baum. “Democratic Peace, Domestic Audience Costs, and Political Communication.” Political Communication, vol. 27, no. 4, Oct. 2010, pp. 453–70. DOI.org (</w:t>
      </w:r>
      <w:proofErr w:type="spellStart"/>
      <w:r>
        <w:rPr>
          <w:rFonts w:ascii="Times New Roman" w:eastAsia="Times New Roman" w:hAnsi="Times New Roman" w:cs="Times New Roman"/>
          <w:color w:val="000000"/>
          <w:sz w:val="24"/>
          <w:szCs w:val="24"/>
        </w:rPr>
        <w:t>Crossref</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u w:val="single"/>
        </w:rPr>
        <w:t>https://doi.org/10.1080/10584609.2010.516802</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315C88D5" w14:textId="77777777" w:rsidR="004171C9" w:rsidRDefault="00000000">
      <w:pPr>
        <w:widowControl w:val="0"/>
        <w:pBdr>
          <w:top w:val="nil"/>
          <w:left w:val="nil"/>
          <w:bottom w:val="nil"/>
          <w:right w:val="nil"/>
          <w:between w:val="nil"/>
        </w:pBdr>
        <w:spacing w:before="6"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Rapoza, Kenneth. “Obama’s Half-Truth </w:t>
      </w:r>
      <w:proofErr w:type="gramStart"/>
      <w:r>
        <w:rPr>
          <w:rFonts w:ascii="Times New Roman" w:eastAsia="Times New Roman" w:hAnsi="Times New Roman" w:cs="Times New Roman"/>
          <w:color w:val="000000"/>
          <w:sz w:val="24"/>
          <w:szCs w:val="24"/>
        </w:rPr>
        <w:t>On</w:t>
      </w:r>
      <w:proofErr w:type="gramEnd"/>
      <w:r>
        <w:rPr>
          <w:rFonts w:ascii="Times New Roman" w:eastAsia="Times New Roman" w:hAnsi="Times New Roman" w:cs="Times New Roman"/>
          <w:color w:val="000000"/>
          <w:sz w:val="24"/>
          <w:szCs w:val="24"/>
        </w:rPr>
        <w:t xml:space="preserve"> China Tire Tariffs.” Forbes, </w:t>
      </w:r>
    </w:p>
    <w:p w14:paraId="45FA2FB1" w14:textId="77777777" w:rsidR="004171C9" w:rsidRDefault="00000000">
      <w:pPr>
        <w:widowControl w:val="0"/>
        <w:pBdr>
          <w:top w:val="nil"/>
          <w:left w:val="nil"/>
          <w:bottom w:val="nil"/>
          <w:right w:val="nil"/>
          <w:between w:val="nil"/>
        </w:pBdr>
        <w:spacing w:line="229" w:lineRule="auto"/>
        <w:ind w:left="720" w:righ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https://www.forbes.com/sites/kenrapoza/2012/01/25/obamas-half-truth-on-china-tire-tariffs/. Accessed 5 Dec. 2023. </w:t>
      </w:r>
    </w:p>
    <w:p w14:paraId="2A046AC0" w14:textId="77777777" w:rsidR="004171C9" w:rsidRDefault="00000000">
      <w:pPr>
        <w:widowControl w:val="0"/>
        <w:pBdr>
          <w:top w:val="nil"/>
          <w:left w:val="nil"/>
          <w:bottom w:val="nil"/>
          <w:right w:val="nil"/>
          <w:between w:val="nil"/>
        </w:pBdr>
        <w:spacing w:before="6" w:line="229" w:lineRule="auto"/>
        <w:ind w:left="726" w:right="168" w:hanging="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Rogers, Everett M., and James W. Dearing. “Agenda-Setting Research: Where Has It Been, Where Is It Going?” Communication Yearbook 11, Routledge, 1988. </w:t>
      </w:r>
    </w:p>
    <w:p w14:paraId="06800C3D" w14:textId="77777777" w:rsidR="004171C9" w:rsidRDefault="00000000">
      <w:pPr>
        <w:widowControl w:val="0"/>
        <w:pBdr>
          <w:top w:val="nil"/>
          <w:left w:val="nil"/>
          <w:bottom w:val="nil"/>
          <w:right w:val="nil"/>
          <w:between w:val="nil"/>
        </w:pBdr>
        <w:spacing w:before="6" w:line="229" w:lineRule="auto"/>
        <w:ind w:left="720" w:right="74" w:hanging="7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Scruby, Sam. What We Talk About When We Talk About NAFTA: Elite Discourse, Public Opinion, and the North American Free Trade Agreement. University of Chicago</w:t>
      </w:r>
    </w:p>
    <w:p w14:paraId="79623462" w14:textId="77777777" w:rsidR="004171C9" w:rsidRDefault="00000000">
      <w:pPr>
        <w:widowControl w:val="0"/>
        <w:pBdr>
          <w:top w:val="nil"/>
          <w:left w:val="nil"/>
          <w:bottom w:val="nil"/>
          <w:right w:val="nil"/>
          <w:between w:val="nil"/>
        </w:pBdr>
        <w:spacing w:line="229" w:lineRule="auto"/>
        <w:ind w:left="722" w:right="320" w:hanging="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Siripurapu Anshu and Noah Berman. “Is Industrial Policy Making a Comeback?” Council on Foreign Relations, https://www.cfr.org/backgrounder/industrial-policy-making-comeback. Accessed 5 Dec. 2023. </w:t>
      </w:r>
    </w:p>
    <w:p w14:paraId="47808498" w14:textId="77777777" w:rsidR="004171C9" w:rsidRDefault="00000000">
      <w:pPr>
        <w:widowControl w:val="0"/>
        <w:pBdr>
          <w:top w:val="nil"/>
          <w:left w:val="nil"/>
          <w:bottom w:val="nil"/>
          <w:right w:val="nil"/>
          <w:between w:val="nil"/>
        </w:pBdr>
        <w:spacing w:before="6" w:line="229" w:lineRule="auto"/>
        <w:ind w:left="725" w:right="46"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Tankersley, Jim. “Trump’s Washing Machine Tariffs Stung Consumers While Lifting Corporate Profits.” The New York Times, 21 Apr. 2019. NYTimes.com, </w:t>
      </w:r>
    </w:p>
    <w:p w14:paraId="286B91C3" w14:textId="77777777" w:rsidR="004171C9" w:rsidRDefault="00000000">
      <w:pPr>
        <w:widowControl w:val="0"/>
        <w:pBdr>
          <w:top w:val="nil"/>
          <w:left w:val="nil"/>
          <w:bottom w:val="nil"/>
          <w:right w:val="nil"/>
          <w:between w:val="nil"/>
        </w:pBdr>
        <w:spacing w:before="6" w:line="229" w:lineRule="auto"/>
        <w:ind w:left="5" w:right="304" w:firstLine="7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https://www.nytimes.com/2019/04/21/business/trump-tariffs-washing-machines.html. </w:t>
      </w:r>
      <w:proofErr w:type="spellStart"/>
      <w:r>
        <w:rPr>
          <w:rFonts w:ascii="Times New Roman" w:eastAsia="Times New Roman" w:hAnsi="Times New Roman" w:cs="Times New Roman"/>
          <w:color w:val="000000"/>
          <w:sz w:val="24"/>
          <w:szCs w:val="24"/>
        </w:rPr>
        <w:t>Tomz</w:t>
      </w:r>
      <w:proofErr w:type="spellEnd"/>
      <w:r>
        <w:rPr>
          <w:rFonts w:ascii="Times New Roman" w:eastAsia="Times New Roman" w:hAnsi="Times New Roman" w:cs="Times New Roman"/>
          <w:color w:val="000000"/>
          <w:sz w:val="24"/>
          <w:szCs w:val="24"/>
        </w:rPr>
        <w:t xml:space="preserve">, Michael. “Domestic Audience Costs in International Relations: An Experimental Approach.” International Organization, vol. 61, no. 4, Oct. 2007, pp. 821–40. Cambridge University Press, </w:t>
      </w:r>
      <w:r>
        <w:rPr>
          <w:rFonts w:ascii="Times New Roman" w:eastAsia="Times New Roman" w:hAnsi="Times New Roman" w:cs="Times New Roman"/>
          <w:color w:val="0000FF"/>
          <w:sz w:val="24"/>
          <w:szCs w:val="24"/>
          <w:u w:val="single"/>
        </w:rPr>
        <w:t>https://doi.org/10.1017/S0020818307070282</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41C3B7D0" w14:textId="77777777" w:rsidR="004171C9" w:rsidRDefault="00000000">
      <w:pPr>
        <w:widowControl w:val="0"/>
        <w:pBdr>
          <w:top w:val="nil"/>
          <w:left w:val="nil"/>
          <w:bottom w:val="nil"/>
          <w:right w:val="nil"/>
          <w:between w:val="nil"/>
        </w:pBdr>
        <w:spacing w:before="6" w:line="229" w:lineRule="auto"/>
        <w:ind w:right="8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Velo, Jakob “EU Readies Response to Biden’s ‘Buy American’ Pitch.” POLITICO, 4 May 2021, https://www.politico.eu/article/eu-response-joe-biden-buy-american-us/. </w:t>
      </w:r>
    </w:p>
    <w:p w14:paraId="0C6F7577" w14:textId="77777777" w:rsidR="004171C9" w:rsidRDefault="00000000">
      <w:pPr>
        <w:widowControl w:val="0"/>
        <w:pBdr>
          <w:top w:val="nil"/>
          <w:left w:val="nil"/>
          <w:bottom w:val="nil"/>
          <w:right w:val="nil"/>
          <w:between w:val="nil"/>
        </w:pBdr>
        <w:spacing w:before="6" w:line="229" w:lineRule="auto"/>
        <w:ind w:left="722" w:right="194"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Wade, Robert H. “Return of Industrial Policy?” Economic Policies of the New Thinking in Economics, Routledge, 2013. </w:t>
      </w:r>
    </w:p>
    <w:p w14:paraId="2AFA13F9" w14:textId="77777777" w:rsidR="004171C9" w:rsidRDefault="00000000">
      <w:pPr>
        <w:widowControl w:val="0"/>
        <w:pBdr>
          <w:top w:val="nil"/>
          <w:left w:val="nil"/>
          <w:bottom w:val="nil"/>
          <w:right w:val="nil"/>
          <w:between w:val="nil"/>
        </w:pBdr>
        <w:spacing w:before="6" w:line="229" w:lineRule="auto"/>
        <w:ind w:left="725" w:right="1" w:hanging="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Warwick, Ken. Beyond Industrial Policy: Emerging Issues and New Trends. OECD, 5 Apr. 2013. OECD </w:t>
      </w:r>
      <w:proofErr w:type="spellStart"/>
      <w:r>
        <w:rPr>
          <w:rFonts w:ascii="Times New Roman" w:eastAsia="Times New Roman" w:hAnsi="Times New Roman" w:cs="Times New Roman"/>
          <w:color w:val="000000"/>
          <w:sz w:val="24"/>
          <w:szCs w:val="24"/>
        </w:rPr>
        <w:t>iLibrary</w:t>
      </w:r>
      <w:proofErr w:type="spellEnd"/>
      <w:r>
        <w:rPr>
          <w:rFonts w:ascii="Times New Roman" w:eastAsia="Times New Roman" w:hAnsi="Times New Roman" w:cs="Times New Roman"/>
          <w:color w:val="000000"/>
          <w:sz w:val="24"/>
          <w:szCs w:val="24"/>
        </w:rPr>
        <w:t xml:space="preserve">, https://doi.org/10.1787/5k4869clw0xp-en. </w:t>
      </w:r>
    </w:p>
    <w:p w14:paraId="56DD04B5" w14:textId="77777777" w:rsidR="004171C9" w:rsidRDefault="00000000">
      <w:pPr>
        <w:widowControl w:val="0"/>
        <w:pBdr>
          <w:top w:val="nil"/>
          <w:left w:val="nil"/>
          <w:bottom w:val="nil"/>
          <w:right w:val="nil"/>
          <w:between w:val="nil"/>
        </w:pBdr>
        <w:spacing w:before="6" w:line="229" w:lineRule="auto"/>
        <w:ind w:left="1"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Wessel, Ramses A., and Ige F. Dekker. “Identities of States in International Organizations.” International Organizations Law Review, vol. 12, no. 2, Apr. 2015, pp. 293–318. brill.com, </w:t>
      </w:r>
    </w:p>
    <w:p w14:paraId="780A7801" w14:textId="77777777" w:rsidR="004171C9" w:rsidRDefault="00000000">
      <w:pPr>
        <w:widowControl w:val="0"/>
        <w:pBdr>
          <w:top w:val="nil"/>
          <w:left w:val="nil"/>
          <w:bottom w:val="nil"/>
          <w:right w:val="nil"/>
          <w:between w:val="nil"/>
        </w:pBdr>
        <w:spacing w:before="6"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https://doi.org/10.1163/15723747-01202002. </w:t>
      </w:r>
    </w:p>
    <w:p w14:paraId="44AABFEA" w14:textId="483AFA1B" w:rsidR="004171C9" w:rsidRDefault="00000000">
      <w:pPr>
        <w:widowControl w:val="0"/>
        <w:pBdr>
          <w:top w:val="nil"/>
          <w:left w:val="nil"/>
          <w:bottom w:val="nil"/>
          <w:right w:val="nil"/>
          <w:between w:val="nil"/>
        </w:pBdr>
        <w:spacing w:line="229" w:lineRule="auto"/>
        <w:ind w:right="431"/>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Young, Oran R. “Political Leadership and Regime Formation: On the Development of Institutions in International Society.” International Organization, vol. 45, no. 3, July 1991, pp. 281–308. Cambridge University Press, </w:t>
      </w:r>
      <w:hyperlink r:id="rId15" w:history="1">
        <w:r w:rsidR="00F20C1F" w:rsidRPr="00FA1A54">
          <w:rPr>
            <w:rStyle w:val="Hyperlink"/>
            <w:rFonts w:ascii="Times New Roman" w:eastAsia="Times New Roman" w:hAnsi="Times New Roman" w:cs="Times New Roman"/>
            <w:sz w:val="24"/>
            <w:szCs w:val="24"/>
          </w:rPr>
          <w:t>https://doi.org/10.1017/S0020818300033117</w:t>
        </w:r>
      </w:hyperlink>
      <w:r>
        <w:rPr>
          <w:rFonts w:ascii="Times New Roman" w:eastAsia="Times New Roman" w:hAnsi="Times New Roman" w:cs="Times New Roman"/>
          <w:color w:val="000000"/>
          <w:sz w:val="24"/>
          <w:szCs w:val="24"/>
          <w:u w:val="single"/>
        </w:rPr>
        <w:t>.</w:t>
      </w:r>
    </w:p>
    <w:p w14:paraId="7BE5F528" w14:textId="15F82C1E" w:rsidR="00F20C1F" w:rsidRDefault="00F20C1F">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br w:type="page"/>
      </w:r>
    </w:p>
    <w:p w14:paraId="0D6364FB" w14:textId="1331FD78" w:rsidR="00F20C1F" w:rsidRPr="00F20C1F" w:rsidRDefault="00F20C1F" w:rsidP="00F20C1F">
      <w:pPr>
        <w:widowControl w:val="0"/>
        <w:pBdr>
          <w:top w:val="nil"/>
          <w:left w:val="nil"/>
          <w:bottom w:val="nil"/>
          <w:right w:val="nil"/>
          <w:between w:val="nil"/>
        </w:pBdr>
        <w:spacing w:line="480" w:lineRule="auto"/>
        <w:ind w:right="431"/>
        <w:jc w:val="center"/>
        <w:rPr>
          <w:rFonts w:ascii="Times New Roman" w:eastAsia="Times New Roman" w:hAnsi="Times New Roman" w:cs="Times New Roman"/>
          <w:color w:val="000000"/>
          <w:sz w:val="32"/>
          <w:szCs w:val="32"/>
        </w:rPr>
      </w:pPr>
      <w:r w:rsidRPr="00F20C1F">
        <w:rPr>
          <w:rFonts w:ascii="Times New Roman" w:eastAsia="Times New Roman" w:hAnsi="Times New Roman" w:cs="Times New Roman"/>
          <w:color w:val="000000"/>
          <w:sz w:val="32"/>
          <w:szCs w:val="32"/>
        </w:rPr>
        <w:lastRenderedPageBreak/>
        <w:t>Methodological Appendix</w:t>
      </w:r>
    </w:p>
    <w:p w14:paraId="777AB2EA" w14:textId="4418DC45"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8"/>
          <w:szCs w:val="28"/>
          <w:u w:val="single"/>
        </w:rPr>
      </w:pPr>
      <w:r w:rsidRPr="00F20C1F">
        <w:rPr>
          <w:rFonts w:ascii="Times New Roman" w:eastAsia="Times New Roman" w:hAnsi="Times New Roman" w:cs="Times New Roman"/>
          <w:color w:val="000000"/>
          <w:sz w:val="28"/>
          <w:szCs w:val="28"/>
          <w:u w:val="single"/>
        </w:rPr>
        <w:t>Table of Contents</w:t>
      </w:r>
    </w:p>
    <w:p w14:paraId="663EBF34" w14:textId="4CC6AAA9" w:rsidR="00B5433A"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1. </w:t>
      </w:r>
      <w:r w:rsidR="00B5433A">
        <w:rPr>
          <w:rFonts w:ascii="Times New Roman" w:eastAsia="Times New Roman" w:hAnsi="Times New Roman" w:cs="Times New Roman"/>
          <w:color w:val="000000"/>
          <w:sz w:val="24"/>
          <w:szCs w:val="24"/>
        </w:rPr>
        <w:t>Coefficient Plots</w:t>
      </w:r>
    </w:p>
    <w:p w14:paraId="392EA050" w14:textId="4CBEE20F" w:rsidR="00F20C1F" w:rsidRPr="00F20C1F" w:rsidRDefault="00B5433A"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F20C1F" w:rsidRPr="00F20C1F">
        <w:rPr>
          <w:rFonts w:ascii="Times New Roman" w:eastAsia="Times New Roman" w:hAnsi="Times New Roman" w:cs="Times New Roman"/>
          <w:color w:val="000000"/>
          <w:sz w:val="24"/>
          <w:szCs w:val="24"/>
        </w:rPr>
        <w:t>Kernel Density Model</w:t>
      </w:r>
    </w:p>
    <w:p w14:paraId="4CC8E6B7"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Model Selection Rationale</w:t>
      </w:r>
    </w:p>
    <w:p w14:paraId="5247E986"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Model Description</w:t>
      </w:r>
    </w:p>
    <w:p w14:paraId="2BD69ADD"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Derivation of the Model</w:t>
      </w:r>
    </w:p>
    <w:p w14:paraId="62FFDA50"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Assumptions and Testing</w:t>
      </w:r>
    </w:p>
    <w:p w14:paraId="0C671A97" w14:textId="791D79E6" w:rsidR="00F20C1F" w:rsidRPr="00F20C1F" w:rsidRDefault="00B5433A"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F20C1F" w:rsidRPr="00F20C1F">
        <w:rPr>
          <w:rFonts w:ascii="Times New Roman" w:eastAsia="Times New Roman" w:hAnsi="Times New Roman" w:cs="Times New Roman"/>
          <w:color w:val="000000"/>
          <w:sz w:val="24"/>
          <w:szCs w:val="24"/>
        </w:rPr>
        <w:t>. Ordinal Logit Model</w:t>
      </w:r>
    </w:p>
    <w:p w14:paraId="6A73B911"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Model Selection Rationale</w:t>
      </w:r>
    </w:p>
    <w:p w14:paraId="748FB370"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Model Description</w:t>
      </w:r>
    </w:p>
    <w:p w14:paraId="47E3CFF7"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Derivation of the Model</w:t>
      </w:r>
    </w:p>
    <w:p w14:paraId="09AE0F60"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Assumptions and Testing</w:t>
      </w:r>
    </w:p>
    <w:p w14:paraId="759084C7" w14:textId="2623FBE7" w:rsidR="00F20C1F" w:rsidRPr="00F20C1F" w:rsidRDefault="00B5433A"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F20C1F" w:rsidRPr="00F20C1F">
        <w:rPr>
          <w:rFonts w:ascii="Times New Roman" w:eastAsia="Times New Roman" w:hAnsi="Times New Roman" w:cs="Times New Roman"/>
          <w:color w:val="000000"/>
          <w:sz w:val="24"/>
          <w:szCs w:val="24"/>
        </w:rPr>
        <w:t>. Logit Model</w:t>
      </w:r>
    </w:p>
    <w:p w14:paraId="4442BB42"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Model Selection Rationale</w:t>
      </w:r>
    </w:p>
    <w:p w14:paraId="4F169B48"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Model Description</w:t>
      </w:r>
    </w:p>
    <w:p w14:paraId="314FFDDC"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Derivation of the Model</w:t>
      </w:r>
    </w:p>
    <w:p w14:paraId="2C6F31E9" w14:textId="3F9B6168" w:rsidR="00A55834"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 Assumptions and Testing</w:t>
      </w:r>
    </w:p>
    <w:p w14:paraId="12D70BB1" w14:textId="34A935B2" w:rsidR="00A55834" w:rsidRDefault="00A55834"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Ordinal Logit Model Table of Results</w:t>
      </w:r>
    </w:p>
    <w:p w14:paraId="22F198DA" w14:textId="13CD71FB" w:rsidR="00A55834" w:rsidRPr="00F20C1F" w:rsidRDefault="00A55834"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Logit Model Table of Results</w:t>
      </w:r>
    </w:p>
    <w:p w14:paraId="5123943C"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4877A234" w14:textId="00C8F7EF" w:rsidR="00DE4D3B" w:rsidRDefault="00DE4D3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8DC4200" w14:textId="2E1083E5" w:rsidR="00F20C1F" w:rsidRDefault="00B5433A" w:rsidP="00B5433A">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Coefficient Plots</w:t>
      </w:r>
    </w:p>
    <w:p w14:paraId="0FC2B250" w14:textId="360CECEA" w:rsidR="00B5433A" w:rsidRPr="00B5433A" w:rsidRDefault="00B5433A" w:rsidP="00B5433A">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B5433A">
        <w:rPr>
          <w:rFonts w:ascii="Times New Roman" w:eastAsia="Times New Roman" w:hAnsi="Times New Roman" w:cs="Times New Roman"/>
          <w:color w:val="000000"/>
          <w:sz w:val="24"/>
          <w:szCs w:val="24"/>
        </w:rPr>
        <w:tab/>
      </w:r>
      <w:r w:rsidRPr="00B5433A">
        <w:rPr>
          <w:rFonts w:ascii="Times New Roman" w:eastAsia="Times New Roman" w:hAnsi="Times New Roman" w:cs="Times New Roman"/>
          <w:color w:val="000000"/>
          <w:sz w:val="24"/>
          <w:szCs w:val="24"/>
          <w:u w:val="single"/>
        </w:rPr>
        <w:t>Vote Outcome by Party</w:t>
      </w:r>
    </w:p>
    <w:p w14:paraId="0CECC28C" w14:textId="1DEB1ED1" w:rsidR="00B5433A" w:rsidRPr="00B5433A" w:rsidRDefault="00B5433A" w:rsidP="00B5433A">
      <w:pPr>
        <w:rPr>
          <w:rFonts w:ascii="Times New Roman" w:eastAsia="Times New Roman" w:hAnsi="Times New Roman" w:cs="Times New Roman"/>
          <w:color w:val="000000"/>
          <w:sz w:val="28"/>
          <w:szCs w:val="28"/>
        </w:rPr>
      </w:pPr>
      <w:r w:rsidRPr="00B5433A">
        <w:rPr>
          <w:rFonts w:ascii="Times New Roman" w:eastAsia="Times New Roman" w:hAnsi="Times New Roman" w:cs="Times New Roman"/>
          <w:noProof/>
          <w:color w:val="000000"/>
          <w:sz w:val="28"/>
          <w:szCs w:val="28"/>
        </w:rPr>
        <w:drawing>
          <wp:inline distT="0" distB="0" distL="0" distR="0" wp14:anchorId="5275D156" wp14:editId="0E81123A">
            <wp:extent cx="4861560" cy="3649980"/>
            <wp:effectExtent l="0" t="0" r="0" b="7620"/>
            <wp:docPr id="576856043" name="Picture 13" descr="A graph showing the results of a political pa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56043" name="Picture 13" descr="A graph showing the results of a political part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3649980"/>
                    </a:xfrm>
                    <a:prstGeom prst="rect">
                      <a:avLst/>
                    </a:prstGeom>
                    <a:noFill/>
                    <a:ln>
                      <a:noFill/>
                    </a:ln>
                  </pic:spPr>
                </pic:pic>
              </a:graphicData>
            </a:graphic>
          </wp:inline>
        </w:drawing>
      </w:r>
    </w:p>
    <w:p w14:paraId="33BE5633" w14:textId="28E98F79" w:rsidR="00B5433A" w:rsidRDefault="00B5433A">
      <w:pPr>
        <w:rPr>
          <w:rFonts w:ascii="Times New Roman" w:eastAsia="Times New Roman" w:hAnsi="Times New Roman" w:cs="Times New Roman"/>
          <w:color w:val="000000"/>
          <w:sz w:val="28"/>
          <w:szCs w:val="28"/>
          <w:u w:val="single"/>
        </w:rPr>
      </w:pPr>
    </w:p>
    <w:p w14:paraId="3999EB75" w14:textId="77777777" w:rsidR="00B5433A" w:rsidRDefault="00B5433A">
      <w:pP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br w:type="page"/>
      </w:r>
    </w:p>
    <w:p w14:paraId="1B4CC98C" w14:textId="08A4E961" w:rsidR="00F20C1F" w:rsidRPr="00F20C1F" w:rsidRDefault="00B5433A"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lastRenderedPageBreak/>
        <w:t>2</w:t>
      </w:r>
      <w:r w:rsidR="00F20C1F" w:rsidRPr="00F20C1F">
        <w:rPr>
          <w:rFonts w:ascii="Times New Roman" w:eastAsia="Times New Roman" w:hAnsi="Times New Roman" w:cs="Times New Roman"/>
          <w:color w:val="000000"/>
          <w:sz w:val="28"/>
          <w:szCs w:val="28"/>
          <w:u w:val="single"/>
        </w:rPr>
        <w:t>. Kernel Density Model</w:t>
      </w:r>
    </w:p>
    <w:p w14:paraId="6BDCBF2C" w14:textId="0C1150A1"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F20C1F">
        <w:rPr>
          <w:rFonts w:ascii="Times New Roman" w:eastAsia="Times New Roman" w:hAnsi="Times New Roman" w:cs="Times New Roman"/>
          <w:color w:val="000000"/>
          <w:sz w:val="24"/>
          <w:szCs w:val="24"/>
          <w:u w:val="single"/>
        </w:rPr>
        <w:t>Model Selection Rationale</w:t>
      </w:r>
    </w:p>
    <w:p w14:paraId="0E9EE77C" w14:textId="73282383"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The Nonparametric Maximum Likelihood Estimation (Kernel Density Estimation)</w:t>
      </w:r>
      <w:r>
        <w:rPr>
          <w:rFonts w:ascii="Times New Roman" w:eastAsia="Times New Roman" w:hAnsi="Times New Roman" w:cs="Times New Roman"/>
          <w:color w:val="000000"/>
          <w:sz w:val="24"/>
          <w:szCs w:val="24"/>
        </w:rPr>
        <w:t xml:space="preserve"> </w:t>
      </w:r>
      <w:r w:rsidRPr="00F20C1F">
        <w:rPr>
          <w:rFonts w:ascii="Times New Roman" w:eastAsia="Times New Roman" w:hAnsi="Times New Roman" w:cs="Times New Roman"/>
          <w:color w:val="000000"/>
          <w:sz w:val="24"/>
          <w:szCs w:val="24"/>
        </w:rPr>
        <w:t>was chosen to analyze the dependent variable, Support for Tariff Policies, which is continuous and expected to exhibit skewness (left-skewed). The model’s flexibility allows for estimating the probability density function without assuming a parametric distribution, making it suitable for uncovering the true underlying distribution.</w:t>
      </w:r>
    </w:p>
    <w:p w14:paraId="3E936C51" w14:textId="625A31A3"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F20C1F">
        <w:rPr>
          <w:rFonts w:ascii="Times New Roman" w:eastAsia="Times New Roman" w:hAnsi="Times New Roman" w:cs="Times New Roman"/>
          <w:color w:val="000000"/>
          <w:sz w:val="24"/>
          <w:szCs w:val="24"/>
          <w:u w:val="single"/>
        </w:rPr>
        <w:t>Model Description</w:t>
      </w:r>
    </w:p>
    <w:p w14:paraId="38AF3E36" w14:textId="7083A02B"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Kernel Density Estimation (KDE) smooths the observed data using a kernel function </w:t>
      </w:r>
      <m:oMath>
        <m:r>
          <m:rPr>
            <m:lit/>
            <m:sty m:val="p"/>
          </m:rP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K</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m:t>
            </m:r>
          </m:e>
        </m:d>
        <m:r>
          <m:rPr>
            <m:lit/>
            <m:sty m:val="p"/>
          </m:rP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and a bandwidth parameter </w:t>
      </w:r>
      <m:oMath>
        <m:r>
          <m:rPr>
            <m:lit/>
            <m:sty m:val="p"/>
          </m:rP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 xml:space="preserve"> h </m:t>
        </m:r>
        <m:r>
          <m:rPr>
            <m:lit/>
            <m:sty m:val="p"/>
          </m:rP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 xml:space="preserve">. </m:t>
        </m:r>
      </m:oMath>
      <w:r w:rsidRPr="00F20C1F">
        <w:rPr>
          <w:rFonts w:ascii="Times New Roman" w:eastAsia="Times New Roman" w:hAnsi="Times New Roman" w:cs="Times New Roman"/>
          <w:color w:val="000000"/>
          <w:sz w:val="24"/>
          <w:szCs w:val="24"/>
        </w:rPr>
        <w:t xml:space="preserve">The density at a point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x </m:t>
        </m:r>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m:t>
        </m:r>
      </m:oMath>
      <w:r w:rsidRPr="00F20C1F">
        <w:rPr>
          <w:rFonts w:ascii="Times New Roman" w:eastAsia="Times New Roman" w:hAnsi="Times New Roman" w:cs="Times New Roman"/>
          <w:color w:val="000000"/>
          <w:sz w:val="24"/>
          <w:szCs w:val="24"/>
        </w:rPr>
        <w:t>is estimated as:</w:t>
      </w:r>
    </w:p>
    <w:p w14:paraId="35F27A4E"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B247094" w14:textId="7CBACD22" w:rsidR="00F20C1F" w:rsidRPr="00F20C1F" w:rsidRDefault="00000000"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acc>
            <m:accPr>
              <m:ctrlPr>
                <w:rPr>
                  <w:rFonts w:ascii="Cambria Math" w:eastAsia="Times New Roman" w:hAnsi="Cambria Math" w:cs="Times New Roman"/>
                  <w:color w:val="000000"/>
                  <w:sz w:val="24"/>
                  <w:szCs w:val="24"/>
                </w:rPr>
              </m:ctrlPr>
            </m:accPr>
            <m:e>
              <m:r>
                <w:rPr>
                  <w:rFonts w:ascii="Cambria Math" w:eastAsia="Times New Roman" w:hAnsi="Cambria Math" w:cs="Times New Roman"/>
                  <w:color w:val="000000"/>
                  <w:sz w:val="24"/>
                  <w:szCs w:val="24"/>
                </w:rPr>
                <m:t>f</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1</m:t>
              </m:r>
              <m:ctrlPr>
                <w:rPr>
                  <w:rFonts w:ascii="Cambria Math" w:eastAsia="Times New Roman" w:hAnsi="Cambria Math" w:cs="Times New Roman"/>
                  <w:i/>
                  <w:color w:val="000000"/>
                  <w:sz w:val="24"/>
                  <w:szCs w:val="24"/>
                </w:rPr>
              </m:ctrlPr>
            </m:num>
            <m:den>
              <m:r>
                <w:rPr>
                  <w:rFonts w:ascii="Cambria Math" w:eastAsia="Times New Roman" w:hAnsi="Cambria Math" w:cs="Times New Roman"/>
                  <w:color w:val="000000"/>
                  <w:sz w:val="24"/>
                  <w:szCs w:val="24"/>
                </w:rPr>
                <m:t>nh</m:t>
              </m:r>
              <m:ctrlPr>
                <w:rPr>
                  <w:rFonts w:ascii="Cambria Math" w:eastAsia="Times New Roman" w:hAnsi="Cambria Math" w:cs="Times New Roman"/>
                  <w:i/>
                  <w:color w:val="000000"/>
                  <w:sz w:val="24"/>
                  <w:szCs w:val="24"/>
                </w:rPr>
              </m:ctrlPr>
            </m:den>
          </m:f>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r>
                <w:rPr>
                  <w:rFonts w:ascii="Cambria Math" w:eastAsia="Times New Roman" w:hAnsi="Cambria Math" w:cs="Times New Roman"/>
                  <w:color w:val="000000"/>
                  <w:sz w:val="24"/>
                  <w:szCs w:val="24"/>
                </w:rPr>
                <m:t>K</m:t>
              </m:r>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ctrlPr>
                        <w:rPr>
                          <w:rFonts w:ascii="Cambria Math" w:eastAsia="Times New Roman" w:hAnsi="Cambria Math" w:cs="Times New Roman"/>
                          <w:i/>
                          <w:color w:val="000000"/>
                          <w:sz w:val="24"/>
                          <w:szCs w:val="24"/>
                        </w:rPr>
                      </m:ctrlPr>
                    </m:num>
                    <m:den>
                      <m:r>
                        <w:rPr>
                          <w:rFonts w:ascii="Cambria Math" w:eastAsia="Times New Roman" w:hAnsi="Cambria Math" w:cs="Times New Roman"/>
                          <w:color w:val="000000"/>
                          <w:sz w:val="24"/>
                          <w:szCs w:val="24"/>
                        </w:rPr>
                        <m:t>h</m:t>
                      </m:r>
                      <m:ctrlPr>
                        <w:rPr>
                          <w:rFonts w:ascii="Cambria Math" w:eastAsia="Times New Roman" w:hAnsi="Cambria Math" w:cs="Times New Roman"/>
                          <w:i/>
                          <w:color w:val="000000"/>
                          <w:sz w:val="24"/>
                          <w:szCs w:val="24"/>
                        </w:rPr>
                      </m:ctrlPr>
                    </m:den>
                  </m:f>
                  <m:ctrlPr>
                    <w:rPr>
                      <w:rFonts w:ascii="Cambria Math" w:eastAsia="Times New Roman" w:hAnsi="Cambria Math" w:cs="Times New Roman"/>
                      <w:i/>
                      <w:color w:val="000000"/>
                      <w:sz w:val="24"/>
                      <w:szCs w:val="24"/>
                    </w:rPr>
                  </m:ctrlPr>
                </m:e>
              </m:d>
              <m:ctrlPr>
                <w:rPr>
                  <w:rFonts w:ascii="Cambria Math" w:eastAsia="Times New Roman" w:hAnsi="Cambria Math" w:cs="Times New Roman"/>
                  <w:i/>
                  <w:color w:val="000000"/>
                  <w:sz w:val="24"/>
                  <w:szCs w:val="24"/>
                </w:rPr>
              </m:ctrlPr>
            </m:e>
          </m:nary>
          <m:r>
            <w:rPr>
              <w:rFonts w:ascii="Cambria Math" w:eastAsia="Times New Roman" w:hAnsi="Cambria Math" w:cs="Times New Roman"/>
              <w:color w:val="000000"/>
              <w:sz w:val="24"/>
              <w:szCs w:val="24"/>
            </w:rPr>
            <m:t>,</m:t>
          </m:r>
        </m:oMath>
      </m:oMathPara>
    </w:p>
    <w:p w14:paraId="5657E063"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04482683"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where:</w:t>
      </w:r>
    </w:p>
    <w:p w14:paraId="5EFA1C52" w14:textId="57C10DD3"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ml:space="preserve"> n:</m:t>
        </m:r>
      </m:oMath>
      <w:r w:rsidRPr="00F20C1F">
        <w:rPr>
          <w:rFonts w:ascii="Times New Roman" w:eastAsia="Times New Roman" w:hAnsi="Times New Roman" w:cs="Times New Roman"/>
          <w:color w:val="000000"/>
          <w:sz w:val="24"/>
          <w:szCs w:val="24"/>
        </w:rPr>
        <w:t xml:space="preserve"> Sample size,</w:t>
      </w:r>
    </w:p>
    <w:p w14:paraId="3C1D607D" w14:textId="5B2A5DAD"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x_i):</m:t>
        </m:r>
      </m:oMath>
      <w:r w:rsidRPr="00F20C1F">
        <w:rPr>
          <w:rFonts w:ascii="Times New Roman" w:eastAsia="Times New Roman" w:hAnsi="Times New Roman" w:cs="Times New Roman"/>
          <w:color w:val="000000"/>
          <w:sz w:val="24"/>
          <w:szCs w:val="24"/>
        </w:rPr>
        <w:t xml:space="preserve"> Observed data points,</w:t>
      </w:r>
    </w:p>
    <w:p w14:paraId="4E0B6810" w14:textId="5E052A9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h ):</m:t>
        </m:r>
      </m:oMath>
      <w:r w:rsidRPr="00F20C1F">
        <w:rPr>
          <w:rFonts w:ascii="Times New Roman" w:eastAsia="Times New Roman" w:hAnsi="Times New Roman" w:cs="Times New Roman"/>
          <w:color w:val="000000"/>
          <w:sz w:val="24"/>
          <w:szCs w:val="24"/>
        </w:rPr>
        <w:t xml:space="preserve"> Bandwidth controlling the level of smoothness.</w:t>
      </w:r>
    </w:p>
    <w:p w14:paraId="26A400AF"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CBB0F5D" w14:textId="14FB1E60"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Common choices for the kernel include Gaussian, </w:t>
      </w:r>
      <w:proofErr w:type="spellStart"/>
      <w:r w:rsidRPr="00F20C1F">
        <w:rPr>
          <w:rFonts w:ascii="Times New Roman" w:eastAsia="Times New Roman" w:hAnsi="Times New Roman" w:cs="Times New Roman"/>
          <w:color w:val="000000"/>
          <w:sz w:val="24"/>
          <w:szCs w:val="24"/>
        </w:rPr>
        <w:t>Epanechnikov</w:t>
      </w:r>
      <w:proofErr w:type="spellEnd"/>
      <w:r w:rsidRPr="00F20C1F">
        <w:rPr>
          <w:rFonts w:ascii="Times New Roman" w:eastAsia="Times New Roman" w:hAnsi="Times New Roman" w:cs="Times New Roman"/>
          <w:color w:val="000000"/>
          <w:sz w:val="24"/>
          <w:szCs w:val="24"/>
        </w:rPr>
        <w:t>, and Uniform.</w:t>
      </w:r>
      <w:r w:rsidR="00DE4D3B">
        <w:rPr>
          <w:rFonts w:ascii="Times New Roman" w:eastAsia="Times New Roman" w:hAnsi="Times New Roman" w:cs="Times New Roman"/>
          <w:color w:val="000000"/>
          <w:sz w:val="24"/>
          <w:szCs w:val="24"/>
        </w:rPr>
        <w:t xml:space="preserve"> I </w:t>
      </w:r>
      <w:proofErr w:type="gramStart"/>
      <w:r w:rsidR="00DE4D3B">
        <w:rPr>
          <w:rFonts w:ascii="Times New Roman" w:eastAsia="Times New Roman" w:hAnsi="Times New Roman" w:cs="Times New Roman"/>
          <w:color w:val="000000"/>
          <w:sz w:val="24"/>
          <w:szCs w:val="24"/>
        </w:rPr>
        <w:t>choose</w:t>
      </w:r>
      <w:proofErr w:type="gramEnd"/>
      <w:r w:rsidR="00DE4D3B">
        <w:rPr>
          <w:rFonts w:ascii="Times New Roman" w:eastAsia="Times New Roman" w:hAnsi="Times New Roman" w:cs="Times New Roman"/>
          <w:color w:val="000000"/>
          <w:sz w:val="24"/>
          <w:szCs w:val="24"/>
        </w:rPr>
        <w:t xml:space="preserve"> Gaussian because that </w:t>
      </w:r>
      <w:proofErr w:type="gramStart"/>
      <w:r w:rsidR="00DE4D3B">
        <w:rPr>
          <w:rFonts w:ascii="Times New Roman" w:eastAsia="Times New Roman" w:hAnsi="Times New Roman" w:cs="Times New Roman"/>
          <w:color w:val="000000"/>
          <w:sz w:val="24"/>
          <w:szCs w:val="24"/>
        </w:rPr>
        <w:t>what</w:t>
      </w:r>
      <w:proofErr w:type="gramEnd"/>
      <w:r w:rsidR="00DE4D3B">
        <w:rPr>
          <w:rFonts w:ascii="Times New Roman" w:eastAsia="Times New Roman" w:hAnsi="Times New Roman" w:cs="Times New Roman"/>
          <w:color w:val="000000"/>
          <w:sz w:val="24"/>
          <w:szCs w:val="24"/>
        </w:rPr>
        <w:t xml:space="preserve"> most of the </w:t>
      </w:r>
      <w:proofErr w:type="gramStart"/>
      <w:r w:rsidR="00DE4D3B">
        <w:rPr>
          <w:rFonts w:ascii="Times New Roman" w:eastAsia="Times New Roman" w:hAnsi="Times New Roman" w:cs="Times New Roman"/>
          <w:color w:val="000000"/>
          <w:sz w:val="24"/>
          <w:szCs w:val="24"/>
        </w:rPr>
        <w:t>filed</w:t>
      </w:r>
      <w:proofErr w:type="gramEnd"/>
      <w:r w:rsidR="00DE4D3B">
        <w:rPr>
          <w:rFonts w:ascii="Times New Roman" w:eastAsia="Times New Roman" w:hAnsi="Times New Roman" w:cs="Times New Roman"/>
          <w:color w:val="000000"/>
          <w:sz w:val="24"/>
          <w:szCs w:val="24"/>
        </w:rPr>
        <w:t xml:space="preserve"> uses.</w:t>
      </w:r>
    </w:p>
    <w:p w14:paraId="2D47B702" w14:textId="073FD4AD"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F20C1F">
        <w:rPr>
          <w:rFonts w:ascii="Times New Roman" w:eastAsia="Times New Roman" w:hAnsi="Times New Roman" w:cs="Times New Roman"/>
          <w:color w:val="000000"/>
          <w:sz w:val="24"/>
          <w:szCs w:val="24"/>
          <w:u w:val="single"/>
        </w:rPr>
        <w:t>Derivation of the Model</w:t>
      </w:r>
    </w:p>
    <w:p w14:paraId="334481B9"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The likelihood function for kernel density estimation is constructed by considering the </w:t>
      </w:r>
      <w:r w:rsidRPr="00F20C1F">
        <w:rPr>
          <w:rFonts w:ascii="Times New Roman" w:eastAsia="Times New Roman" w:hAnsi="Times New Roman" w:cs="Times New Roman"/>
          <w:color w:val="000000"/>
          <w:sz w:val="24"/>
          <w:szCs w:val="24"/>
        </w:rPr>
        <w:lastRenderedPageBreak/>
        <w:t>product of densities at each observed point:</w:t>
      </w:r>
    </w:p>
    <w:p w14:paraId="6631604F"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18F8541" w14:textId="772E4211"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f</m:t>
              </m:r>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ctrlPr>
                <w:rPr>
                  <w:rFonts w:ascii="Cambria Math" w:eastAsia="Times New Roman" w:hAnsi="Cambria Math" w:cs="Times New Roman"/>
                  <w:i/>
                  <w:color w:val="000000"/>
                  <w:sz w:val="24"/>
                  <w:szCs w:val="24"/>
                </w:rPr>
              </m:ctrlPr>
            </m:e>
          </m:nary>
          <m:r>
            <w:rPr>
              <w:rFonts w:ascii="Cambria Math" w:eastAsia="Times New Roman" w:hAnsi="Cambria Math" w:cs="Times New Roman"/>
              <w:color w:val="000000"/>
              <w:sz w:val="24"/>
              <w:szCs w:val="24"/>
            </w:rPr>
            <m:t>.</m:t>
          </m:r>
        </m:oMath>
      </m:oMathPara>
    </w:p>
    <w:p w14:paraId="17B45D81"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Substituting the kernel density estimator </w:t>
      </w:r>
      <w:proofErr w:type="gramStart"/>
      <w:r w:rsidRPr="00F20C1F">
        <w:rPr>
          <w:rFonts w:ascii="Times New Roman" w:eastAsia="Times New Roman" w:hAnsi="Times New Roman" w:cs="Times New Roman"/>
          <w:color w:val="000000"/>
          <w:sz w:val="24"/>
          <w:szCs w:val="24"/>
        </w:rPr>
        <w:t>\( \</w:t>
      </w:r>
      <w:proofErr w:type="gramEnd"/>
      <w:r w:rsidRPr="00F20C1F">
        <w:rPr>
          <w:rFonts w:ascii="Times New Roman" w:eastAsia="Times New Roman" w:hAnsi="Times New Roman" w:cs="Times New Roman"/>
          <w:color w:val="000000"/>
          <w:sz w:val="24"/>
          <w:szCs w:val="24"/>
        </w:rPr>
        <w:t>hat{f}(</w:t>
      </w:r>
      <w:proofErr w:type="spellStart"/>
      <w:r w:rsidRPr="00F20C1F">
        <w:rPr>
          <w:rFonts w:ascii="Times New Roman" w:eastAsia="Times New Roman" w:hAnsi="Times New Roman" w:cs="Times New Roman"/>
          <w:color w:val="000000"/>
          <w:sz w:val="24"/>
          <w:szCs w:val="24"/>
        </w:rPr>
        <w:t>x_i</w:t>
      </w:r>
      <w:proofErr w:type="spellEnd"/>
      <w:r w:rsidRPr="00F20C1F">
        <w:rPr>
          <w:rFonts w:ascii="Times New Roman" w:eastAsia="Times New Roman" w:hAnsi="Times New Roman" w:cs="Times New Roman"/>
          <w:color w:val="000000"/>
          <w:sz w:val="24"/>
          <w:szCs w:val="24"/>
        </w:rPr>
        <w:t>) \):</w:t>
      </w:r>
    </w:p>
    <w:p w14:paraId="7D73ECC2"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62E5892A" w14:textId="2C843D76"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acc>
                <m:accPr>
                  <m:ctrlPr>
                    <w:rPr>
                      <w:rFonts w:ascii="Cambria Math" w:eastAsia="Times New Roman" w:hAnsi="Cambria Math" w:cs="Times New Roman"/>
                      <w:color w:val="000000"/>
                      <w:sz w:val="24"/>
                      <w:szCs w:val="24"/>
                    </w:rPr>
                  </m:ctrlPr>
                </m:accPr>
                <m:e>
                  <m:r>
                    <w:rPr>
                      <w:rFonts w:ascii="Cambria Math" w:eastAsia="Times New Roman" w:hAnsi="Cambria Math" w:cs="Times New Roman"/>
                      <w:color w:val="000000"/>
                      <w:sz w:val="24"/>
                      <w:szCs w:val="24"/>
                    </w:rPr>
                    <m:t>f</m:t>
                  </m:r>
                </m:e>
              </m:acc>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1</m:t>
                  </m:r>
                  <m:ctrlPr>
                    <w:rPr>
                      <w:rFonts w:ascii="Cambria Math" w:eastAsia="Times New Roman" w:hAnsi="Cambria Math" w:cs="Times New Roman"/>
                      <w:i/>
                      <w:color w:val="000000"/>
                      <w:sz w:val="24"/>
                      <w:szCs w:val="24"/>
                    </w:rPr>
                  </m:ctrlPr>
                </m:num>
                <m:den>
                  <m:r>
                    <w:rPr>
                      <w:rFonts w:ascii="Cambria Math" w:eastAsia="Times New Roman" w:hAnsi="Cambria Math" w:cs="Times New Roman"/>
                      <w:color w:val="000000"/>
                      <w:sz w:val="24"/>
                      <w:szCs w:val="24"/>
                    </w:rPr>
                    <m:t>nh</m:t>
                  </m:r>
                  <m:ctrlPr>
                    <w:rPr>
                      <w:rFonts w:ascii="Cambria Math" w:eastAsia="Times New Roman" w:hAnsi="Cambria Math" w:cs="Times New Roman"/>
                      <w:i/>
                      <w:color w:val="000000"/>
                      <w:sz w:val="24"/>
                      <w:szCs w:val="24"/>
                    </w:rPr>
                  </m:ctrlPr>
                </m:den>
              </m:f>
              <m:ctrlPr>
                <w:rPr>
                  <w:rFonts w:ascii="Cambria Math" w:eastAsia="Times New Roman" w:hAnsi="Cambria Math" w:cs="Times New Roman"/>
                  <w:i/>
                  <w:color w:val="000000"/>
                  <w:sz w:val="24"/>
                  <w:szCs w:val="24"/>
                </w:rPr>
              </m:ctrlPr>
            </m:e>
          </m:nary>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j=1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r>
                <w:rPr>
                  <w:rFonts w:ascii="Cambria Math" w:eastAsia="Times New Roman" w:hAnsi="Cambria Math" w:cs="Times New Roman"/>
                  <w:color w:val="000000"/>
                  <w:sz w:val="24"/>
                  <w:szCs w:val="24"/>
                </w:rPr>
                <m:t>K</m:t>
              </m:r>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j</m:t>
                          </m:r>
                        </m:sub>
                      </m:sSub>
                      <m:ctrlPr>
                        <w:rPr>
                          <w:rFonts w:ascii="Cambria Math" w:eastAsia="Times New Roman" w:hAnsi="Cambria Math" w:cs="Times New Roman"/>
                          <w:i/>
                          <w:color w:val="000000"/>
                          <w:sz w:val="24"/>
                          <w:szCs w:val="24"/>
                        </w:rPr>
                      </m:ctrlPr>
                    </m:num>
                    <m:den>
                      <m:r>
                        <w:rPr>
                          <w:rFonts w:ascii="Cambria Math" w:eastAsia="Times New Roman" w:hAnsi="Cambria Math" w:cs="Times New Roman"/>
                          <w:color w:val="000000"/>
                          <w:sz w:val="24"/>
                          <w:szCs w:val="24"/>
                        </w:rPr>
                        <m:t>h</m:t>
                      </m:r>
                      <m:ctrlPr>
                        <w:rPr>
                          <w:rFonts w:ascii="Cambria Math" w:eastAsia="Times New Roman" w:hAnsi="Cambria Math" w:cs="Times New Roman"/>
                          <w:i/>
                          <w:color w:val="000000"/>
                          <w:sz w:val="24"/>
                          <w:szCs w:val="24"/>
                        </w:rPr>
                      </m:ctrlPr>
                    </m:den>
                  </m:f>
                  <m:ctrlPr>
                    <w:rPr>
                      <w:rFonts w:ascii="Cambria Math" w:eastAsia="Times New Roman" w:hAnsi="Cambria Math" w:cs="Times New Roman"/>
                      <w:i/>
                      <w:color w:val="000000"/>
                      <w:sz w:val="24"/>
                      <w:szCs w:val="24"/>
                    </w:rPr>
                  </m:ctrlPr>
                </m:e>
              </m:d>
              <m:ctrlPr>
                <w:rPr>
                  <w:rFonts w:ascii="Cambria Math" w:eastAsia="Times New Roman" w:hAnsi="Cambria Math" w:cs="Times New Roman"/>
                  <w:i/>
                  <w:color w:val="000000"/>
                  <w:sz w:val="24"/>
                  <w:szCs w:val="24"/>
                </w:rPr>
              </m:ctrlPr>
            </m:e>
          </m:nary>
          <m:r>
            <w:rPr>
              <w:rFonts w:ascii="Cambria Math" w:eastAsia="Times New Roman" w:hAnsi="Cambria Math" w:cs="Times New Roman"/>
              <w:color w:val="000000"/>
              <w:sz w:val="24"/>
              <w:szCs w:val="24"/>
            </w:rPr>
            <m:t>.</m:t>
          </m:r>
        </m:oMath>
      </m:oMathPara>
    </w:p>
    <w:p w14:paraId="1D7020C8"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1416E247" w14:textId="7E16F48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Maximizing this likelihood function with respect to the bandwidth </w:t>
      </w:r>
      <m:oMath>
        <m:r>
          <w:rPr>
            <w:rFonts w:ascii="Cambria Math" w:eastAsia="Times New Roman" w:hAnsi="Cambria Math" w:cs="Times New Roman"/>
            <w:color w:val="000000"/>
            <w:sz w:val="24"/>
            <w:szCs w:val="24"/>
          </w:rPr>
          <m:t>h</m:t>
        </m:r>
      </m:oMath>
      <w:r w:rsidRPr="00F20C1F">
        <w:rPr>
          <w:rFonts w:ascii="Times New Roman" w:eastAsia="Times New Roman" w:hAnsi="Times New Roman" w:cs="Times New Roman"/>
          <w:color w:val="000000"/>
          <w:sz w:val="24"/>
          <w:szCs w:val="24"/>
        </w:rPr>
        <w:t xml:space="preserve"> ensures optimal smoothing of the density estimate.</w:t>
      </w:r>
    </w:p>
    <w:p w14:paraId="4CF36C79" w14:textId="4DB6EFB6"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F20C1F">
        <w:rPr>
          <w:rFonts w:ascii="Times New Roman" w:eastAsia="Times New Roman" w:hAnsi="Times New Roman" w:cs="Times New Roman"/>
          <w:color w:val="000000"/>
          <w:sz w:val="24"/>
          <w:szCs w:val="24"/>
          <w:u w:val="single"/>
        </w:rPr>
        <w:t>Assumptions and Testing</w:t>
      </w:r>
    </w:p>
    <w:p w14:paraId="31953E04" w14:textId="1769505C"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F20C1F">
        <w:rPr>
          <w:rFonts w:ascii="Times New Roman" w:eastAsia="Times New Roman" w:hAnsi="Times New Roman" w:cs="Times New Roman"/>
          <w:b/>
          <w:bCs/>
          <w:color w:val="000000"/>
          <w:sz w:val="24"/>
          <w:szCs w:val="24"/>
        </w:rPr>
        <w:t>Continuity</w:t>
      </w:r>
      <w:r w:rsidRPr="00F20C1F">
        <w:rPr>
          <w:rFonts w:ascii="Times New Roman" w:eastAsia="Times New Roman" w:hAnsi="Times New Roman" w:cs="Times New Roman"/>
          <w:color w:val="000000"/>
          <w:sz w:val="24"/>
          <w:szCs w:val="24"/>
        </w:rPr>
        <w:t>: KDE assumes the variable of interest is continuous.</w:t>
      </w:r>
    </w:p>
    <w:p w14:paraId="4578F40C" w14:textId="3458E26B"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F20C1F">
        <w:rPr>
          <w:rFonts w:ascii="Times New Roman" w:eastAsia="Times New Roman" w:hAnsi="Times New Roman" w:cs="Times New Roman"/>
          <w:b/>
          <w:bCs/>
          <w:color w:val="000000"/>
          <w:sz w:val="24"/>
          <w:szCs w:val="24"/>
        </w:rPr>
        <w:t>Independence</w:t>
      </w:r>
      <w:r w:rsidRPr="00F20C1F">
        <w:rPr>
          <w:rFonts w:ascii="Times New Roman" w:eastAsia="Times New Roman" w:hAnsi="Times New Roman" w:cs="Times New Roman"/>
          <w:color w:val="000000"/>
          <w:sz w:val="24"/>
          <w:szCs w:val="24"/>
        </w:rPr>
        <w:t>: Observations must be independent and identically distributed (</w:t>
      </w:r>
      <w:proofErr w:type="spellStart"/>
      <w:r w:rsidRPr="00F20C1F">
        <w:rPr>
          <w:rFonts w:ascii="Times New Roman" w:eastAsia="Times New Roman" w:hAnsi="Times New Roman" w:cs="Times New Roman"/>
          <w:color w:val="000000"/>
          <w:sz w:val="24"/>
          <w:szCs w:val="24"/>
        </w:rPr>
        <w:t>i.i.d.</w:t>
      </w:r>
      <w:proofErr w:type="spellEnd"/>
      <w:r w:rsidRPr="00F20C1F">
        <w:rPr>
          <w:rFonts w:ascii="Times New Roman" w:eastAsia="Times New Roman" w:hAnsi="Times New Roman" w:cs="Times New Roman"/>
          <w:color w:val="000000"/>
          <w:sz w:val="24"/>
          <w:szCs w:val="24"/>
        </w:rPr>
        <w:t>).</w:t>
      </w:r>
    </w:p>
    <w:p w14:paraId="4C374CF8" w14:textId="5B41B0F1"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F20C1F">
        <w:rPr>
          <w:rFonts w:ascii="Times New Roman" w:eastAsia="Times New Roman" w:hAnsi="Times New Roman" w:cs="Times New Roman"/>
          <w:b/>
          <w:bCs/>
          <w:color w:val="000000"/>
          <w:sz w:val="24"/>
          <w:szCs w:val="24"/>
        </w:rPr>
        <w:t>Bandwidth Selection</w:t>
      </w:r>
      <w:r w:rsidRPr="00F20C1F">
        <w:rPr>
          <w:rFonts w:ascii="Times New Roman" w:eastAsia="Times New Roman" w:hAnsi="Times New Roman" w:cs="Times New Roman"/>
          <w:color w:val="000000"/>
          <w:sz w:val="24"/>
          <w:szCs w:val="24"/>
        </w:rPr>
        <w:t>: Appropriate tests (e.g., cross-validation) were conducted to select the optimal bandwidth, ensuring a balance between bias and variance. The null hypothesis that the selected bandwidth minimizes error was rejected.</w:t>
      </w:r>
    </w:p>
    <w:p w14:paraId="0090B36B"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0B4A1E1A"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5BC4DD7D" w14:textId="77777777" w:rsidR="00F20C1F" w:rsidRDefault="00F20C1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13291F8" w14:textId="5190ACF9"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8"/>
          <w:szCs w:val="28"/>
        </w:rPr>
      </w:pPr>
      <w:r w:rsidRPr="00F20C1F">
        <w:rPr>
          <w:rFonts w:ascii="Times New Roman" w:eastAsia="Times New Roman" w:hAnsi="Times New Roman" w:cs="Times New Roman"/>
          <w:color w:val="000000"/>
          <w:sz w:val="28"/>
          <w:szCs w:val="28"/>
        </w:rPr>
        <w:lastRenderedPageBreak/>
        <w:t>2. Ordinal Logit Model</w:t>
      </w:r>
    </w:p>
    <w:p w14:paraId="6C16C636" w14:textId="36489FA1"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F20C1F">
        <w:rPr>
          <w:rFonts w:ascii="Times New Roman" w:eastAsia="Times New Roman" w:hAnsi="Times New Roman" w:cs="Times New Roman"/>
          <w:color w:val="000000"/>
          <w:sz w:val="24"/>
          <w:szCs w:val="24"/>
          <w:u w:val="single"/>
        </w:rPr>
        <w:t>Model Selection Rationale</w:t>
      </w:r>
    </w:p>
    <w:p w14:paraId="40BEEDC5" w14:textId="72C7075A"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The Ordinal Logit Model was employed to examine a Likert-scale dependent variable, such as Attitudes toward Trade Policies. This model is ideal because the responses are ordinal, and it can handle data with most responses clustered in the middle of the scale.</w:t>
      </w:r>
    </w:p>
    <w:p w14:paraId="5E852198" w14:textId="1B20AECB"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F20C1F">
        <w:rPr>
          <w:rFonts w:ascii="Times New Roman" w:eastAsia="Times New Roman" w:hAnsi="Times New Roman" w:cs="Times New Roman"/>
          <w:color w:val="000000"/>
          <w:sz w:val="24"/>
          <w:szCs w:val="24"/>
          <w:u w:val="single"/>
        </w:rPr>
        <w:t>Model Description</w:t>
      </w:r>
    </w:p>
    <w:p w14:paraId="3466AB8C" w14:textId="7FC4A18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The ordinal logit model assumes a latent variable </w:t>
      </w:r>
      <w:bookmarkStart w:id="0" w:name="_Hlk185063951"/>
      <w:r w:rsidR="007142B3">
        <w:rPr>
          <w:rFonts w:ascii="Times New Roman" w:eastAsia="Times New Roman" w:hAnsi="Times New Roman" w:cs="Times New Roman"/>
          <w:color w:val="000000"/>
          <w:sz w:val="24"/>
          <w:szCs w:val="24"/>
        </w:rPr>
        <w:t>y</w:t>
      </w:r>
      <w:r w:rsidR="007142B3">
        <w:rPr>
          <w:rFonts w:ascii="Times New Roman" w:eastAsia="Times New Roman" w:hAnsi="Times New Roman" w:cs="Times New Roman"/>
          <w:color w:val="000000"/>
          <w:sz w:val="24"/>
          <w:szCs w:val="24"/>
          <w:vertAlign w:val="superscript"/>
        </w:rPr>
        <w:t>*</w:t>
      </w:r>
      <w:r w:rsidR="007142B3">
        <w:rPr>
          <w:rFonts w:ascii="Times New Roman" w:eastAsia="Times New Roman" w:hAnsi="Times New Roman" w:cs="Times New Roman"/>
          <w:color w:val="000000"/>
          <w:sz w:val="24"/>
          <w:szCs w:val="24"/>
        </w:rPr>
        <w:t xml:space="preserve"> </w:t>
      </w:r>
      <w:bookmarkEnd w:id="0"/>
      <w:r w:rsidRPr="00F20C1F">
        <w:rPr>
          <w:rFonts w:ascii="Times New Roman" w:eastAsia="Times New Roman" w:hAnsi="Times New Roman" w:cs="Times New Roman"/>
          <w:color w:val="000000"/>
          <w:sz w:val="24"/>
          <w:szCs w:val="24"/>
        </w:rPr>
        <w:t xml:space="preserve">which is linearly related to the predictors </w:t>
      </w:r>
      <w:r w:rsidR="007142B3">
        <w:rPr>
          <w:rFonts w:ascii="Times New Roman" w:eastAsia="Times New Roman" w:hAnsi="Times New Roman" w:cs="Times New Roman"/>
          <w:color w:val="000000"/>
          <w:sz w:val="24"/>
          <w:szCs w:val="24"/>
        </w:rPr>
        <w:t>x:</w:t>
      </w:r>
    </w:p>
    <w:p w14:paraId="61CFDFD7"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53AF6E64" w14:textId="4B31D5CC" w:rsidR="00F20C1F" w:rsidRPr="00F20C1F" w:rsidRDefault="007142B3" w:rsidP="007142B3">
      <w:pPr>
        <w:widowControl w:val="0"/>
        <w:pBdr>
          <w:top w:val="nil"/>
          <w:left w:val="nil"/>
          <w:bottom w:val="nil"/>
          <w:right w:val="nil"/>
          <w:between w:val="nil"/>
        </w:pBdr>
        <w:spacing w:line="480" w:lineRule="auto"/>
        <w:ind w:left="2160" w:right="431"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w:t>
      </w:r>
      <w:r w:rsidR="00F20C1F" w:rsidRPr="00F20C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r>
          <w:rPr>
            <w:rFonts w:ascii="Cambria Math" w:eastAsia="Times New Roman" w:hAnsi="Cambria Math" w:cs="Times New Roman"/>
            <w:color w:val="000000"/>
            <w:sz w:val="24"/>
            <w:szCs w:val="24"/>
          </w:rPr>
          <m:t>x+</m:t>
        </m:r>
        <m:r>
          <m:rPr>
            <m:sty m:val="p"/>
          </m:rPr>
          <w:rPr>
            <w:rFonts w:ascii="Cambria Math" w:eastAsia="Times New Roman" w:hAnsi="Cambria Math" w:cs="Times New Roman"/>
            <w:color w:val="000000"/>
            <w:sz w:val="24"/>
            <w:szCs w:val="24"/>
          </w:rPr>
          <m:t>ϵ</m:t>
        </m:r>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 ϵ∼</m:t>
        </m:r>
        <m:r>
          <m:rPr>
            <m:nor/>
          </m:rPr>
          <w:rPr>
            <w:rFonts w:ascii="Cambria Math" w:eastAsia="Times New Roman" w:hAnsi="Cambria Math" w:cs="Times New Roman"/>
            <w:color w:val="000000"/>
            <w:sz w:val="24"/>
            <w:szCs w:val="24"/>
          </w:rPr>
          <m:t>logistic</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0,1</m:t>
            </m:r>
          </m:e>
        </m:d>
        <m:r>
          <w:rPr>
            <w:rFonts w:ascii="Cambria Math" w:eastAsia="Times New Roman" w:hAnsi="Cambria Math" w:cs="Times New Roman"/>
            <w:color w:val="000000"/>
            <w:sz w:val="24"/>
            <w:szCs w:val="24"/>
          </w:rPr>
          <m:t>.</m:t>
        </m:r>
      </m:oMath>
    </w:p>
    <w:p w14:paraId="6188580D"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46A6C383" w14:textId="2DEBA410"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The observed outcome </w:t>
      </w:r>
      <w:r w:rsidR="007142B3">
        <w:rPr>
          <w:rFonts w:ascii="Times New Roman" w:eastAsia="Times New Roman" w:hAnsi="Times New Roman" w:cs="Times New Roman"/>
          <w:color w:val="000000"/>
          <w:sz w:val="24"/>
          <w:szCs w:val="24"/>
        </w:rPr>
        <w:t>y</w:t>
      </w:r>
      <w:r w:rsidRPr="00F20C1F">
        <w:rPr>
          <w:rFonts w:ascii="Times New Roman" w:eastAsia="Times New Roman" w:hAnsi="Times New Roman" w:cs="Times New Roman"/>
          <w:color w:val="000000"/>
          <w:sz w:val="24"/>
          <w:szCs w:val="24"/>
        </w:rPr>
        <w:t xml:space="preserve"> is determined by thresholds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m</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j</m:t>
            </m:r>
          </m:sub>
        </m:sSub>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with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J </m:t>
        </m:r>
        <m:r>
          <m:rPr>
            <m:lit/>
          </m:rP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categories:</w:t>
      </w:r>
    </w:p>
    <w:p w14:paraId="06A75BCC" w14:textId="1AEFE182" w:rsidR="00F20C1F" w:rsidRPr="00F20C1F" w:rsidRDefault="007142B3" w:rsidP="007142B3">
      <w:pPr>
        <w:widowControl w:val="0"/>
        <w:pBdr>
          <w:top w:val="nil"/>
          <w:left w:val="nil"/>
          <w:bottom w:val="nil"/>
          <w:right w:val="nil"/>
          <w:between w:val="nil"/>
        </w:pBdr>
        <w:spacing w:line="480" w:lineRule="auto"/>
        <w:ind w:right="431"/>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FAAF896" wp14:editId="39A6A68C">
            <wp:extent cx="2552921" cy="1379340"/>
            <wp:effectExtent l="0" t="0" r="0" b="0"/>
            <wp:docPr id="188516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60042" name="Picture 1885160042"/>
                    <pic:cNvPicPr/>
                  </pic:nvPicPr>
                  <pic:blipFill>
                    <a:blip r:embed="rId17">
                      <a:extLst>
                        <a:ext uri="{28A0092B-C50C-407E-A947-70E740481C1C}">
                          <a14:useLocalDpi xmlns:a14="http://schemas.microsoft.com/office/drawing/2010/main" val="0"/>
                        </a:ext>
                      </a:extLst>
                    </a:blip>
                    <a:stretch>
                      <a:fillRect/>
                    </a:stretch>
                  </pic:blipFill>
                  <pic:spPr>
                    <a:xfrm>
                      <a:off x="0" y="0"/>
                      <a:ext cx="2552921" cy="1379340"/>
                    </a:xfrm>
                    <a:prstGeom prst="rect">
                      <a:avLst/>
                    </a:prstGeom>
                  </pic:spPr>
                </pic:pic>
              </a:graphicData>
            </a:graphic>
          </wp:inline>
        </w:drawing>
      </w:r>
    </w:p>
    <w:p w14:paraId="2885D118"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30B33ED1" w14:textId="26BD1621"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The likelihood function for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n </m:t>
        </m:r>
        <m:r>
          <m:rPr>
            <m:lit/>
          </m:rP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observations is given by:</w:t>
      </w:r>
    </w:p>
    <w:p w14:paraId="677D9B22"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41EDE8C9" w14:textId="52B247CF" w:rsidR="00F20C1F" w:rsidRPr="00F20C1F" w:rsidRDefault="007142B3"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β</m:t>
              </m:r>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μ</m:t>
              </m:r>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ctrlPr>
                <w:rPr>
                  <w:rFonts w:ascii="Cambria Math" w:eastAsia="Times New Roman" w:hAnsi="Cambria Math" w:cs="Times New Roman"/>
                  <w:i/>
                  <w:color w:val="000000"/>
                  <w:sz w:val="24"/>
                  <w:szCs w:val="24"/>
                </w:rPr>
              </m:ctrlPr>
            </m:e>
          </m:nary>
          <m:r>
            <w:rPr>
              <w:rFonts w:ascii="Cambria Math" w:eastAsia="Times New Roman" w:hAnsi="Cambria Math" w:cs="Times New Roman"/>
              <w:color w:val="000000"/>
              <w:sz w:val="24"/>
              <w:szCs w:val="24"/>
            </w:rPr>
            <m:t>,</m:t>
          </m:r>
        </m:oMath>
      </m:oMathPara>
    </w:p>
    <w:p w14:paraId="593A3A47"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3FE1F5BE" w14:textId="5BF391B4"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where:</w:t>
      </w:r>
    </w:p>
    <w:p w14:paraId="5A9D3FB5" w14:textId="74B245B3" w:rsidR="00F20C1F" w:rsidRPr="00F20C1F" w:rsidRDefault="007142B3"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w:lastRenderedPageBreak/>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Λ</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Λ</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j-1</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oMath>
      </m:oMathPara>
    </w:p>
    <w:p w14:paraId="08BB4060" w14:textId="175F9E2F"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and </w:t>
      </w:r>
      <m:oMath>
        <m:r>
          <m:rPr>
            <m:lit/>
          </m:rP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Λ</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r>
          <m:rPr>
            <m:lit/>
          </m:rP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is the cumulative distribution function (CDF) of the logistic distribution:</w:t>
      </w:r>
    </w:p>
    <w:p w14:paraId="12A162DE"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3256DF48" w14:textId="0CFEF97A" w:rsidR="00F20C1F" w:rsidRPr="00F20C1F" w:rsidRDefault="007142B3"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Λ</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1</m:t>
              </m:r>
              <m:ctrlPr>
                <w:rPr>
                  <w:rFonts w:ascii="Cambria Math" w:eastAsia="Times New Roman" w:hAnsi="Cambria Math" w:cs="Times New Roman"/>
                  <w:i/>
                  <w:color w:val="000000"/>
                  <w:sz w:val="24"/>
                  <w:szCs w:val="24"/>
                </w:rPr>
              </m:ctrlPr>
            </m:num>
            <m:den>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exp</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e>
              </m:func>
              <m:ctrlPr>
                <w:rPr>
                  <w:rFonts w:ascii="Cambria Math" w:eastAsia="Times New Roman" w:hAnsi="Cambria Math" w:cs="Times New Roman"/>
                  <w:i/>
                  <w:color w:val="000000"/>
                  <w:sz w:val="24"/>
                  <w:szCs w:val="24"/>
                </w:rPr>
              </m:ctrlPr>
            </m:den>
          </m:f>
          <m:r>
            <w:rPr>
              <w:rFonts w:ascii="Cambria Math" w:eastAsia="Times New Roman" w:hAnsi="Cambria Math" w:cs="Times New Roman"/>
              <w:color w:val="000000"/>
              <w:sz w:val="24"/>
              <w:szCs w:val="24"/>
            </w:rPr>
            <m:t>.</m:t>
          </m:r>
        </m:oMath>
      </m:oMathPara>
    </w:p>
    <w:p w14:paraId="7AF682CB"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5E04A3B3" w14:textId="5A5CC6DA" w:rsidR="00F20C1F" w:rsidRPr="007142B3"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7142B3">
        <w:rPr>
          <w:rFonts w:ascii="Times New Roman" w:eastAsia="Times New Roman" w:hAnsi="Times New Roman" w:cs="Times New Roman"/>
          <w:color w:val="000000"/>
          <w:sz w:val="24"/>
          <w:szCs w:val="24"/>
          <w:u w:val="single"/>
        </w:rPr>
        <w:t>Derivation of the Model</w:t>
      </w:r>
    </w:p>
    <w:p w14:paraId="7308F0E7"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The log-likelihood function is:</w:t>
      </w:r>
    </w:p>
    <w:p w14:paraId="390EB6D1"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D37A237" w14:textId="109A3452" w:rsidR="00F20C1F" w:rsidRPr="00F20C1F" w:rsidRDefault="00000000"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ln</m:t>
              </m:r>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L</m:t>
              </m:r>
            </m:e>
          </m:func>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β</m:t>
              </m:r>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μ</m:t>
              </m:r>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r>
                <w:rPr>
                  <w:rFonts w:ascii="Cambria Math" w:eastAsia="Times New Roman" w:hAnsi="Cambria Math" w:cs="Times New Roman"/>
                  <w:color w:val="000000"/>
                  <w:sz w:val="24"/>
                  <w:szCs w:val="24"/>
                </w:rPr>
                <m:t>i</m:t>
              </m:r>
              <m:ctrlPr>
                <w:rPr>
                  <w:rFonts w:ascii="Cambria Math" w:eastAsia="Times New Roman" w:hAnsi="Cambria Math" w:cs="Times New Roman"/>
                  <w:i/>
                  <w:color w:val="000000"/>
                  <w:sz w:val="24"/>
                  <w:szCs w:val="24"/>
                </w:rPr>
              </m:ctrlPr>
            </m:e>
          </m:nary>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ln</m:t>
              </m:r>
            </m:fName>
            <m:e>
              <m:d>
                <m:dPr>
                  <m:begChr m:val="["/>
                  <m:endChr m:val="]"/>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Λ</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Λ</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j-1</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ctrlPr>
                    <w:rPr>
                      <w:rFonts w:ascii="Cambria Math" w:eastAsia="Times New Roman" w:hAnsi="Cambria Math" w:cs="Times New Roman"/>
                      <w:i/>
                      <w:color w:val="000000"/>
                      <w:sz w:val="24"/>
                      <w:szCs w:val="24"/>
                    </w:rPr>
                  </m:ctrlPr>
                </m:e>
              </m:d>
            </m:e>
          </m:func>
          <m:r>
            <w:rPr>
              <w:rFonts w:ascii="Cambria Math" w:eastAsia="Times New Roman" w:hAnsi="Cambria Math" w:cs="Times New Roman"/>
              <w:color w:val="000000"/>
              <w:sz w:val="24"/>
              <w:szCs w:val="24"/>
            </w:rPr>
            <m:t>.</m:t>
          </m:r>
        </m:oMath>
      </m:oMathPara>
    </w:p>
    <w:p w14:paraId="58536B53"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134923AD" w14:textId="6E298DDD"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Maximization of the log-likelihood function is performed to estimate the parameters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β</m:t>
        </m:r>
        <m:r>
          <m:rPr>
            <m:lit/>
          </m:rP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ml:space="preserve">and </m:t>
        </m:r>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μ</m:t>
        </m:r>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oMath>
    </w:p>
    <w:p w14:paraId="77EA5320"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383E410" w14:textId="3D80822E" w:rsidR="00F20C1F" w:rsidRPr="007142B3"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7142B3">
        <w:rPr>
          <w:rFonts w:ascii="Times New Roman" w:eastAsia="Times New Roman" w:hAnsi="Times New Roman" w:cs="Times New Roman"/>
          <w:color w:val="000000"/>
          <w:sz w:val="24"/>
          <w:szCs w:val="24"/>
          <w:u w:val="single"/>
        </w:rPr>
        <w:t>Assumptions and Testing</w:t>
      </w:r>
    </w:p>
    <w:p w14:paraId="25D13A51" w14:textId="343E00B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7142B3">
        <w:rPr>
          <w:rFonts w:ascii="Times New Roman" w:eastAsia="Times New Roman" w:hAnsi="Times New Roman" w:cs="Times New Roman"/>
          <w:b/>
          <w:bCs/>
          <w:color w:val="000000"/>
          <w:sz w:val="24"/>
          <w:szCs w:val="24"/>
        </w:rPr>
        <w:t>Proportional Odds</w:t>
      </w:r>
      <w:r w:rsidRPr="00F20C1F">
        <w:rPr>
          <w:rFonts w:ascii="Times New Roman" w:eastAsia="Times New Roman" w:hAnsi="Times New Roman" w:cs="Times New Roman"/>
          <w:color w:val="000000"/>
          <w:sz w:val="24"/>
          <w:szCs w:val="24"/>
        </w:rPr>
        <w:t>: The coefficients across threshold equations are assumed to be constant (parallel regression assumption). This was tested using the Brant test, rejecting the null hypothesis of proportional odds violation.</w:t>
      </w:r>
    </w:p>
    <w:p w14:paraId="66B6FCAE" w14:textId="6F769422"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7142B3">
        <w:rPr>
          <w:rFonts w:ascii="Times New Roman" w:eastAsia="Times New Roman" w:hAnsi="Times New Roman" w:cs="Times New Roman"/>
          <w:b/>
          <w:bCs/>
          <w:color w:val="000000"/>
          <w:sz w:val="24"/>
          <w:szCs w:val="24"/>
        </w:rPr>
        <w:t>Independence of Errors</w:t>
      </w:r>
      <w:r w:rsidRPr="00F20C1F">
        <w:rPr>
          <w:rFonts w:ascii="Times New Roman" w:eastAsia="Times New Roman" w:hAnsi="Times New Roman" w:cs="Times New Roman"/>
          <w:color w:val="000000"/>
          <w:sz w:val="24"/>
          <w:szCs w:val="24"/>
        </w:rPr>
        <w:t xml:space="preserve">: Residuals are assumed to follow a logistic distribution with mean 0 and variance </w:t>
      </w:r>
      <m:oMath>
        <m:r>
          <m:rPr>
            <m:lit/>
          </m:rP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π</m:t>
            </m:r>
          </m:e>
          <m:sup>
            <m:r>
              <w:rPr>
                <w:rFonts w:ascii="Cambria Math" w:eastAsia="Times New Roman" w:hAnsi="Cambria Math" w:cs="Times New Roman"/>
                <w:color w:val="000000"/>
                <w:sz w:val="24"/>
                <w:szCs w:val="24"/>
              </w:rPr>
              <m:t>2</m:t>
            </m:r>
          </m:sup>
        </m:sSup>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3</m:t>
        </m:r>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oMath>
    </w:p>
    <w:p w14:paraId="3392DD40" w14:textId="77777777" w:rsidR="004605B5" w:rsidRDefault="00F20C1F" w:rsidP="004605B5">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7142B3">
        <w:rPr>
          <w:rFonts w:ascii="Times New Roman" w:eastAsia="Times New Roman" w:hAnsi="Times New Roman" w:cs="Times New Roman"/>
          <w:b/>
          <w:bCs/>
          <w:color w:val="000000"/>
          <w:sz w:val="24"/>
          <w:szCs w:val="24"/>
        </w:rPr>
        <w:t>Model Fit</w:t>
      </w:r>
      <w:r w:rsidRPr="00F20C1F">
        <w:rPr>
          <w:rFonts w:ascii="Times New Roman" w:eastAsia="Times New Roman" w:hAnsi="Times New Roman" w:cs="Times New Roman"/>
          <w:color w:val="000000"/>
          <w:sz w:val="24"/>
          <w:szCs w:val="24"/>
        </w:rPr>
        <w:t>: Likelihood ratio tests and goodness-of-fit metrics indicated the model was appropriate.</w:t>
      </w:r>
    </w:p>
    <w:p w14:paraId="134DEEDC" w14:textId="77777777" w:rsidR="004605B5" w:rsidRDefault="004605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532363C" w14:textId="243EABB4" w:rsidR="00F20C1F" w:rsidRPr="004605B5" w:rsidRDefault="00F20C1F" w:rsidP="004605B5">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EA66F7">
        <w:rPr>
          <w:rFonts w:ascii="Times New Roman" w:eastAsia="Times New Roman" w:hAnsi="Times New Roman" w:cs="Times New Roman"/>
          <w:color w:val="000000"/>
          <w:sz w:val="28"/>
          <w:szCs w:val="28"/>
          <w:u w:val="single"/>
        </w:rPr>
        <w:lastRenderedPageBreak/>
        <w:t>3. Logit Model</w:t>
      </w:r>
    </w:p>
    <w:p w14:paraId="01C14EF3" w14:textId="75B22E5F" w:rsidR="00F20C1F" w:rsidRPr="00EA66F7"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EA66F7">
        <w:rPr>
          <w:rFonts w:ascii="Times New Roman" w:eastAsia="Times New Roman" w:hAnsi="Times New Roman" w:cs="Times New Roman"/>
          <w:color w:val="000000"/>
          <w:sz w:val="24"/>
          <w:szCs w:val="24"/>
          <w:u w:val="single"/>
        </w:rPr>
        <w:t>Model Selection Rationale</w:t>
      </w:r>
    </w:p>
    <w:p w14:paraId="6FFE7087" w14:textId="7AC7BB5D"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The Logit Model was used to analyze Vote Choice as the dependent variable because it is binary. This model provides an interpretable framework for estimating the likelihood of a positive outcome.</w:t>
      </w:r>
    </w:p>
    <w:p w14:paraId="3C3E3A1D" w14:textId="133A68C6" w:rsidR="00F20C1F" w:rsidRPr="0053092B"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53092B">
        <w:rPr>
          <w:rFonts w:ascii="Times New Roman" w:eastAsia="Times New Roman" w:hAnsi="Times New Roman" w:cs="Times New Roman"/>
          <w:color w:val="000000"/>
          <w:sz w:val="24"/>
          <w:szCs w:val="24"/>
          <w:u w:val="single"/>
        </w:rPr>
        <w:t>Model Description</w:t>
      </w:r>
    </w:p>
    <w:p w14:paraId="3A4845F3" w14:textId="1DEF82E6"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The binary logit model specifies the probability of a positive outcome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d>
        <m:r>
          <w:rPr>
            <w:rFonts w:ascii="Cambria Math" w:eastAsia="Times New Roman" w:hAnsi="Cambria Math" w:cs="Times New Roman"/>
            <w:color w:val="000000"/>
            <w:sz w:val="24"/>
            <w:szCs w:val="24"/>
          </w:rPr>
          <m:t xml:space="preserve"> </m:t>
        </m:r>
      </m:oMath>
      <w:r w:rsidRPr="00F20C1F">
        <w:rPr>
          <w:rFonts w:ascii="Times New Roman" w:eastAsia="Times New Roman" w:hAnsi="Times New Roman" w:cs="Times New Roman"/>
          <w:color w:val="000000"/>
          <w:sz w:val="24"/>
          <w:szCs w:val="24"/>
        </w:rPr>
        <w:t>as:</w:t>
      </w:r>
    </w:p>
    <w:p w14:paraId="01B045D6"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6273CBF3" w14:textId="4600747D"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0F6425BD" w14:textId="55AB343E" w:rsidR="00F20C1F" w:rsidRPr="00F20C1F" w:rsidRDefault="0053092B"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exp</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r>
                        <w:rPr>
                          <w:rFonts w:ascii="Cambria Math" w:eastAsia="Times New Roman" w:hAnsi="Cambria Math" w:cs="Times New Roman"/>
                          <w:color w:val="000000"/>
                          <w:sz w:val="24"/>
                          <w:szCs w:val="24"/>
                        </w:rPr>
                        <m:t>x</m:t>
                      </m:r>
                    </m:e>
                  </m:d>
                </m:e>
              </m:func>
              <m:ctrlPr>
                <w:rPr>
                  <w:rFonts w:ascii="Cambria Math" w:eastAsia="Times New Roman" w:hAnsi="Cambria Math" w:cs="Times New Roman"/>
                  <w:i/>
                  <w:color w:val="000000"/>
                  <w:sz w:val="24"/>
                  <w:szCs w:val="24"/>
                </w:rPr>
              </m:ctrlPr>
            </m:num>
            <m:den>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exp</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r>
                        <w:rPr>
                          <w:rFonts w:ascii="Cambria Math" w:eastAsia="Times New Roman" w:hAnsi="Cambria Math" w:cs="Times New Roman"/>
                          <w:color w:val="000000"/>
                          <w:sz w:val="24"/>
                          <w:szCs w:val="24"/>
                        </w:rPr>
                        <m:t>x</m:t>
                      </m:r>
                    </m:e>
                  </m:d>
                </m:e>
              </m:func>
              <m:ctrlPr>
                <w:rPr>
                  <w:rFonts w:ascii="Cambria Math" w:eastAsia="Times New Roman" w:hAnsi="Cambria Math" w:cs="Times New Roman"/>
                  <w:i/>
                  <w:color w:val="000000"/>
                  <w:sz w:val="24"/>
                  <w:szCs w:val="24"/>
                </w:rPr>
              </m:ctrlPr>
            </m:den>
          </m:f>
          <m:r>
            <w:rPr>
              <w:rFonts w:ascii="Cambria Math" w:eastAsia="Times New Roman" w:hAnsi="Cambria Math" w:cs="Times New Roman"/>
              <w:color w:val="000000"/>
              <w:sz w:val="24"/>
              <w:szCs w:val="24"/>
            </w:rPr>
            <m:t>,</m:t>
          </m:r>
        </m:oMath>
      </m:oMathPara>
    </w:p>
    <w:p w14:paraId="318FB737"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174754C" w14:textId="05ADD6F6"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where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x </m:t>
        </m:r>
        <m:r>
          <m:rPr>
            <m:lit/>
          </m:rP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includes treatment and control variables. The complementary probability is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y=0</m:t>
            </m:r>
          </m:e>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=1-P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e>
            <m:r>
              <w:rPr>
                <w:rFonts w:ascii="Cambria Math" w:eastAsia="Times New Roman" w:hAnsi="Cambria Math" w:cs="Times New Roman"/>
                <w:color w:val="000000"/>
                <w:sz w:val="24"/>
                <w:szCs w:val="24"/>
              </w:rPr>
              <m:t>x</m:t>
            </m:r>
          </m:e>
        </m:d>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oMath>
    </w:p>
    <w:p w14:paraId="1BC4C6EB"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670FE4D5" w14:textId="7D6D926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The likelihood function for </w:t>
      </w:r>
      <m:oMath>
        <m:r>
          <m:rPr>
            <m:lit/>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n </m:t>
        </m:r>
        <m:r>
          <m:rPr>
            <m:lit/>
          </m:rPr>
          <w:rPr>
            <w:rFonts w:ascii="Cambria Math" w:eastAsia="Times New Roman" w:hAnsi="Cambria Math" w:cs="Times New Roman"/>
            <w:color w:val="000000"/>
            <w:sz w:val="24"/>
            <w:szCs w:val="24"/>
          </w:rPr>
          <m:t>)</m:t>
        </m:r>
      </m:oMath>
      <w:r w:rsidRPr="00F20C1F">
        <w:rPr>
          <w:rFonts w:ascii="Times New Roman" w:eastAsia="Times New Roman" w:hAnsi="Times New Roman" w:cs="Times New Roman"/>
          <w:color w:val="000000"/>
          <w:sz w:val="24"/>
          <w:szCs w:val="24"/>
        </w:rPr>
        <w:t xml:space="preserve"> observations is:</w:t>
      </w:r>
    </w:p>
    <w:p w14:paraId="67CAB9CF"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31732048" w14:textId="4CC94CC1" w:rsidR="00F20C1F" w:rsidRPr="00F20C1F" w:rsidRDefault="0053092B"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β</m:t>
              </m:r>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d>
                <m:dPr>
                  <m:begChr m:val="["/>
                  <m:endChr m:val="]"/>
                  <m:ctrlPr>
                    <w:rPr>
                      <w:rFonts w:ascii="Cambria Math" w:eastAsia="Times New Roman" w:hAnsi="Cambria Math" w:cs="Times New Roman"/>
                      <w:color w:val="000000"/>
                      <w:sz w:val="24"/>
                      <w:szCs w:val="24"/>
                    </w:rPr>
                  </m:ctrlPr>
                </m:dPr>
                <m:e>
                  <m:r>
                    <w:rPr>
                      <w:rFonts w:ascii="Cambria Math" w:eastAsia="Times New Roman" w:hAnsi="Cambria Math" w:cs="Times New Roman"/>
                      <w:color w:val="000000"/>
                      <w:sz w:val="24"/>
                      <w:szCs w:val="24"/>
                    </w:rPr>
                    <m:t>P</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=1</m:t>
                          </m:r>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e>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sup>
                  </m:sSup>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=1</m:t>
                              </m:r>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e>
                      </m:d>
                      <m:ctrlPr>
                        <w:rPr>
                          <w:rFonts w:ascii="Cambria Math" w:eastAsia="Times New Roman" w:hAnsi="Cambria Math" w:cs="Times New Roman"/>
                          <w:color w:val="000000"/>
                          <w:sz w:val="24"/>
                          <w:szCs w:val="24"/>
                        </w:rPr>
                      </m:ctrlPr>
                    </m:e>
                    <m:sup>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sup>
                  </m:sSup>
                  <m:ctrlPr>
                    <w:rPr>
                      <w:rFonts w:ascii="Cambria Math" w:eastAsia="Times New Roman" w:hAnsi="Cambria Math" w:cs="Times New Roman"/>
                      <w:i/>
                      <w:color w:val="000000"/>
                      <w:sz w:val="24"/>
                      <w:szCs w:val="24"/>
                    </w:rPr>
                  </m:ctrlPr>
                </m:e>
              </m:d>
              <m:ctrlPr>
                <w:rPr>
                  <w:rFonts w:ascii="Cambria Math" w:eastAsia="Times New Roman" w:hAnsi="Cambria Math" w:cs="Times New Roman"/>
                  <w:i/>
                  <w:color w:val="000000"/>
                  <w:sz w:val="24"/>
                  <w:szCs w:val="24"/>
                </w:rPr>
              </m:ctrlPr>
            </m:e>
          </m:nary>
          <m:r>
            <w:rPr>
              <w:rFonts w:ascii="Cambria Math" w:eastAsia="Times New Roman" w:hAnsi="Cambria Math" w:cs="Times New Roman"/>
              <w:color w:val="000000"/>
              <w:sz w:val="24"/>
              <w:szCs w:val="24"/>
            </w:rPr>
            <m:t>.</m:t>
          </m:r>
        </m:oMath>
      </m:oMathPara>
    </w:p>
    <w:p w14:paraId="1E449E27" w14:textId="784F3F40" w:rsidR="00F20C1F" w:rsidRPr="0053092B"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53092B">
        <w:rPr>
          <w:rFonts w:ascii="Times New Roman" w:eastAsia="Times New Roman" w:hAnsi="Times New Roman" w:cs="Times New Roman"/>
          <w:color w:val="000000"/>
          <w:sz w:val="24"/>
          <w:szCs w:val="24"/>
          <w:u w:val="single"/>
        </w:rPr>
        <w:t>Derivation of the Model</w:t>
      </w:r>
    </w:p>
    <w:p w14:paraId="497401E7"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The log-likelihood function is:</w:t>
      </w:r>
    </w:p>
    <w:p w14:paraId="0CE8D7D4" w14:textId="7F6745C5" w:rsidR="00F20C1F" w:rsidRPr="00F20C1F" w:rsidRDefault="00000000"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ln</m:t>
              </m:r>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L</m:t>
              </m:r>
            </m:e>
          </m:func>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β</m:t>
              </m:r>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d>
                <m:dPr>
                  <m:begChr m:val="["/>
                  <m:endChr m:val="]"/>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ln</m:t>
                      </m:r>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P</m:t>
                      </m:r>
                    </m:e>
                  </m:func>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=1</m:t>
                      </m:r>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e>
                  </m:d>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ln</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=1</m:t>
                              </m:r>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e>
                      </m:d>
                    </m:e>
                  </m:func>
                  <m:ctrlPr>
                    <w:rPr>
                      <w:rFonts w:ascii="Cambria Math" w:eastAsia="Times New Roman" w:hAnsi="Cambria Math" w:cs="Times New Roman"/>
                      <w:i/>
                      <w:color w:val="000000"/>
                      <w:sz w:val="24"/>
                      <w:szCs w:val="24"/>
                    </w:rPr>
                  </m:ctrlPr>
                </m:e>
              </m:d>
              <m:ctrlPr>
                <w:rPr>
                  <w:rFonts w:ascii="Cambria Math" w:eastAsia="Times New Roman" w:hAnsi="Cambria Math" w:cs="Times New Roman"/>
                  <w:i/>
                  <w:color w:val="000000"/>
                  <w:sz w:val="24"/>
                  <w:szCs w:val="24"/>
                </w:rPr>
              </m:ctrlPr>
            </m:e>
          </m:nary>
          <m:r>
            <w:rPr>
              <w:rFonts w:ascii="Cambria Math" w:eastAsia="Times New Roman" w:hAnsi="Cambria Math" w:cs="Times New Roman"/>
              <w:color w:val="000000"/>
              <w:sz w:val="24"/>
              <w:szCs w:val="24"/>
            </w:rPr>
            <m:t>.</m:t>
          </m:r>
        </m:oMath>
      </m:oMathPara>
    </w:p>
    <w:p w14:paraId="086F05C2"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263C8F50"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lastRenderedPageBreak/>
        <w:t>Substituting the probability function:</w:t>
      </w:r>
    </w:p>
    <w:p w14:paraId="7C52AD80"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5FED9C1" w14:textId="22D1A6FA" w:rsidR="00F20C1F" w:rsidRPr="00F20C1F" w:rsidRDefault="00000000"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m:oMathPara>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ln</m:t>
              </m:r>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L</m:t>
              </m:r>
            </m:e>
          </m:func>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β</m:t>
              </m:r>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i=1</m:t>
              </m:r>
              <m:ctrlPr>
                <w:rPr>
                  <w:rFonts w:ascii="Cambria Math" w:eastAsia="Times New Roman" w:hAnsi="Cambria Math" w:cs="Times New Roman"/>
                  <w:i/>
                  <w:color w:val="000000"/>
                  <w:sz w:val="24"/>
                  <w:szCs w:val="24"/>
                </w:rPr>
              </m:ctrlPr>
            </m:sub>
            <m:sup>
              <m:r>
                <w:rPr>
                  <w:rFonts w:ascii="Cambria Math" w:eastAsia="Times New Roman" w:hAnsi="Cambria Math" w:cs="Times New Roman"/>
                  <w:color w:val="000000"/>
                  <w:sz w:val="24"/>
                  <w:szCs w:val="24"/>
                </w:rPr>
                <m:t>n</m:t>
              </m:r>
              <m:ctrlPr>
                <w:rPr>
                  <w:rFonts w:ascii="Cambria Math" w:eastAsia="Times New Roman" w:hAnsi="Cambria Math" w:cs="Times New Roman"/>
                  <w:i/>
                  <w:color w:val="000000"/>
                  <w:sz w:val="24"/>
                  <w:szCs w:val="24"/>
                </w:rPr>
              </m:ctrlPr>
            </m:sup>
            <m:e>
              <m:d>
                <m:dPr>
                  <m:begChr m:val="["/>
                  <m:endChr m:val="]"/>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ln</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exp</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β</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e>
                          </m:func>
                        </m:e>
                      </m:d>
                    </m:e>
                  </m:func>
                  <m:ctrlPr>
                    <w:rPr>
                      <w:rFonts w:ascii="Cambria Math" w:eastAsia="Times New Roman" w:hAnsi="Cambria Math" w:cs="Times New Roman"/>
                      <w:i/>
                      <w:color w:val="000000"/>
                      <w:sz w:val="24"/>
                      <w:szCs w:val="24"/>
                    </w:rPr>
                  </m:ctrlPr>
                </m:e>
              </m:d>
              <m:ctrlPr>
                <w:rPr>
                  <w:rFonts w:ascii="Cambria Math" w:eastAsia="Times New Roman" w:hAnsi="Cambria Math" w:cs="Times New Roman"/>
                  <w:i/>
                  <w:color w:val="000000"/>
                  <w:sz w:val="24"/>
                  <w:szCs w:val="24"/>
                </w:rPr>
              </m:ctrlPr>
            </m:e>
          </m:nary>
          <m:r>
            <w:rPr>
              <w:rFonts w:ascii="Cambria Math" w:eastAsia="Times New Roman" w:hAnsi="Cambria Math" w:cs="Times New Roman"/>
              <w:color w:val="000000"/>
              <w:sz w:val="24"/>
              <w:szCs w:val="24"/>
            </w:rPr>
            <m:t>.</m:t>
          </m:r>
        </m:oMath>
      </m:oMathPara>
    </w:p>
    <w:p w14:paraId="65AEA67A"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78358643"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Maximization of the log-likelihood function yields estimates for the parameter vector </w:t>
      </w:r>
      <w:proofErr w:type="gramStart"/>
      <w:r w:rsidRPr="00F20C1F">
        <w:rPr>
          <w:rFonts w:ascii="Times New Roman" w:eastAsia="Times New Roman" w:hAnsi="Times New Roman" w:cs="Times New Roman"/>
          <w:color w:val="000000"/>
          <w:sz w:val="24"/>
          <w:szCs w:val="24"/>
        </w:rPr>
        <w:t>\( \</w:t>
      </w:r>
      <w:proofErr w:type="gramEnd"/>
      <w:r w:rsidRPr="00F20C1F">
        <w:rPr>
          <w:rFonts w:ascii="Times New Roman" w:eastAsia="Times New Roman" w:hAnsi="Times New Roman" w:cs="Times New Roman"/>
          <w:color w:val="000000"/>
          <w:sz w:val="24"/>
          <w:szCs w:val="24"/>
        </w:rPr>
        <w:t>beta \).</w:t>
      </w:r>
    </w:p>
    <w:p w14:paraId="386CA06B"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3A52E7E3" w14:textId="67C7E0FE" w:rsidR="00F20C1F" w:rsidRPr="0053092B"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sidRPr="0053092B">
        <w:rPr>
          <w:rFonts w:ascii="Times New Roman" w:eastAsia="Times New Roman" w:hAnsi="Times New Roman" w:cs="Times New Roman"/>
          <w:color w:val="000000"/>
          <w:sz w:val="24"/>
          <w:szCs w:val="24"/>
          <w:u w:val="single"/>
        </w:rPr>
        <w:t>Assumptions and Testing</w:t>
      </w:r>
    </w:p>
    <w:p w14:paraId="1996C017" w14:textId="46D3D759"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53092B">
        <w:rPr>
          <w:rFonts w:ascii="Times New Roman" w:eastAsia="Times New Roman" w:hAnsi="Times New Roman" w:cs="Times New Roman"/>
          <w:b/>
          <w:bCs/>
          <w:color w:val="000000"/>
          <w:sz w:val="24"/>
          <w:szCs w:val="24"/>
        </w:rPr>
        <w:t>Binary Nature</w:t>
      </w:r>
      <w:r w:rsidRPr="00F20C1F">
        <w:rPr>
          <w:rFonts w:ascii="Times New Roman" w:eastAsia="Times New Roman" w:hAnsi="Times New Roman" w:cs="Times New Roman"/>
          <w:color w:val="000000"/>
          <w:sz w:val="24"/>
          <w:szCs w:val="24"/>
        </w:rPr>
        <w:t>: The dependent variable must be binary (0 or 1).</w:t>
      </w:r>
    </w:p>
    <w:p w14:paraId="4753F6EA" w14:textId="248455DC"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53092B">
        <w:rPr>
          <w:rFonts w:ascii="Times New Roman" w:eastAsia="Times New Roman" w:hAnsi="Times New Roman" w:cs="Times New Roman"/>
          <w:b/>
          <w:bCs/>
          <w:color w:val="000000"/>
          <w:sz w:val="24"/>
          <w:szCs w:val="24"/>
        </w:rPr>
        <w:t>Independence of Observations</w:t>
      </w:r>
      <w:r w:rsidRPr="00F20C1F">
        <w:rPr>
          <w:rFonts w:ascii="Times New Roman" w:eastAsia="Times New Roman" w:hAnsi="Times New Roman" w:cs="Times New Roman"/>
          <w:color w:val="000000"/>
          <w:sz w:val="24"/>
          <w:szCs w:val="24"/>
        </w:rPr>
        <w:t xml:space="preserve">: Assumes </w:t>
      </w:r>
      <w:proofErr w:type="spellStart"/>
      <w:r w:rsidRPr="00F20C1F">
        <w:rPr>
          <w:rFonts w:ascii="Times New Roman" w:eastAsia="Times New Roman" w:hAnsi="Times New Roman" w:cs="Times New Roman"/>
          <w:color w:val="000000"/>
          <w:sz w:val="24"/>
          <w:szCs w:val="24"/>
        </w:rPr>
        <w:t>i.i.d.</w:t>
      </w:r>
      <w:proofErr w:type="spellEnd"/>
      <w:r w:rsidRPr="00F20C1F">
        <w:rPr>
          <w:rFonts w:ascii="Times New Roman" w:eastAsia="Times New Roman" w:hAnsi="Times New Roman" w:cs="Times New Roman"/>
          <w:color w:val="000000"/>
          <w:sz w:val="24"/>
          <w:szCs w:val="24"/>
        </w:rPr>
        <w:t xml:space="preserve"> data points.</w:t>
      </w:r>
    </w:p>
    <w:p w14:paraId="7B345090" w14:textId="093DEDA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53092B">
        <w:rPr>
          <w:rFonts w:ascii="Times New Roman" w:eastAsia="Times New Roman" w:hAnsi="Times New Roman" w:cs="Times New Roman"/>
          <w:b/>
          <w:bCs/>
          <w:color w:val="000000"/>
          <w:sz w:val="24"/>
          <w:szCs w:val="24"/>
        </w:rPr>
        <w:t>Model Fit</w:t>
      </w:r>
      <w:r w:rsidRPr="00F20C1F">
        <w:rPr>
          <w:rFonts w:ascii="Times New Roman" w:eastAsia="Times New Roman" w:hAnsi="Times New Roman" w:cs="Times New Roman"/>
          <w:color w:val="000000"/>
          <w:sz w:val="24"/>
          <w:szCs w:val="24"/>
        </w:rPr>
        <w:t>: Likelihood ratio and Wald tests confirmed the significance of predictors. The null hypothesis of no effect was rejected.</w:t>
      </w:r>
    </w:p>
    <w:p w14:paraId="2103912F" w14:textId="3EBEAE3C"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r w:rsidRPr="00F20C1F">
        <w:rPr>
          <w:rFonts w:ascii="Times New Roman" w:eastAsia="Times New Roman" w:hAnsi="Times New Roman" w:cs="Times New Roman"/>
          <w:color w:val="000000"/>
          <w:sz w:val="24"/>
          <w:szCs w:val="24"/>
        </w:rPr>
        <w:t xml:space="preserve">- </w:t>
      </w:r>
      <w:r w:rsidRPr="00232F31">
        <w:rPr>
          <w:rFonts w:ascii="Times New Roman" w:eastAsia="Times New Roman" w:hAnsi="Times New Roman" w:cs="Times New Roman"/>
          <w:b/>
          <w:bCs/>
          <w:color w:val="000000"/>
          <w:sz w:val="24"/>
          <w:szCs w:val="24"/>
        </w:rPr>
        <w:t>Linearity in Log-Odds</w:t>
      </w:r>
      <w:r w:rsidRPr="00F20C1F">
        <w:rPr>
          <w:rFonts w:ascii="Times New Roman" w:eastAsia="Times New Roman" w:hAnsi="Times New Roman" w:cs="Times New Roman"/>
          <w:color w:val="000000"/>
          <w:sz w:val="24"/>
          <w:szCs w:val="24"/>
        </w:rPr>
        <w:t>: Assumes predictors have a linear relationship with the log-odds.</w:t>
      </w:r>
    </w:p>
    <w:p w14:paraId="20E58F11" w14:textId="77777777" w:rsidR="00F20C1F" w:rsidRPr="00F20C1F" w:rsidRDefault="00F20C1F"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rPr>
      </w:pPr>
    </w:p>
    <w:p w14:paraId="6CEEC14D" w14:textId="77777777" w:rsidR="000D128D" w:rsidRDefault="000D128D">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br w:type="page"/>
      </w:r>
    </w:p>
    <w:p w14:paraId="6CC132DE" w14:textId="6AC399C3" w:rsidR="00F20C1F" w:rsidRDefault="000D128D"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4. Kernel Density Model Table of Results</w:t>
      </w:r>
    </w:p>
    <w:p w14:paraId="37B000AD" w14:textId="6644081F" w:rsidR="000D128D" w:rsidRDefault="00DF77CC" w:rsidP="00DF77CC">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4</w:t>
      </w:r>
      <w:r w:rsidR="000D128D">
        <w:rPr>
          <w:rFonts w:ascii="Times New Roman" w:eastAsia="Times New Roman" w:hAnsi="Times New Roman" w:cs="Times New Roman"/>
          <w:color w:val="000000"/>
          <w:sz w:val="24"/>
          <w:szCs w:val="24"/>
          <w:u w:val="single"/>
        </w:rPr>
        <w:t>. Ordinal Logit Model of Results</w:t>
      </w:r>
    </w:p>
    <w:p w14:paraId="32E3DDE0" w14:textId="37B47614" w:rsidR="000D128D" w:rsidRDefault="00B47279" w:rsidP="00B47279">
      <w:pPr>
        <w:jc w:val="center"/>
        <w:rPr>
          <w:rFonts w:ascii="Times New Roman" w:eastAsia="Times New Roman" w:hAnsi="Times New Roman" w:cs="Times New Roman"/>
          <w:color w:val="000000"/>
          <w:sz w:val="24"/>
          <w:szCs w:val="24"/>
          <w:u w:val="single"/>
        </w:rPr>
      </w:pPr>
      <w:r w:rsidRPr="00B47279">
        <w:rPr>
          <w:rFonts w:ascii="Times New Roman" w:eastAsia="Times New Roman" w:hAnsi="Times New Roman" w:cs="Times New Roman"/>
          <w:noProof/>
          <w:color w:val="000000"/>
          <w:sz w:val="24"/>
          <w:szCs w:val="24"/>
        </w:rPr>
        <w:drawing>
          <wp:inline distT="0" distB="0" distL="0" distR="0" wp14:anchorId="2122A533" wp14:editId="4A9152A3">
            <wp:extent cx="2957945" cy="7363977"/>
            <wp:effectExtent l="0" t="0" r="0" b="8890"/>
            <wp:docPr id="592062707"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62707" name="Picture 28"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6840" cy="7386121"/>
                    </a:xfrm>
                    <a:prstGeom prst="rect">
                      <a:avLst/>
                    </a:prstGeom>
                  </pic:spPr>
                </pic:pic>
              </a:graphicData>
            </a:graphic>
          </wp:inline>
        </w:drawing>
      </w:r>
    </w:p>
    <w:p w14:paraId="569967EC" w14:textId="078877FC" w:rsidR="00251E78" w:rsidRDefault="00251E78" w:rsidP="00B47279">
      <w:pPr>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noProof/>
          <w:color w:val="000000"/>
          <w:sz w:val="24"/>
          <w:szCs w:val="24"/>
          <w:u w:val="single"/>
        </w:rPr>
        <w:lastRenderedPageBreak/>
        <w:drawing>
          <wp:inline distT="0" distB="0" distL="0" distR="0" wp14:anchorId="196FB027" wp14:editId="48EE90A6">
            <wp:extent cx="3734124" cy="8222693"/>
            <wp:effectExtent l="0" t="0" r="0" b="6985"/>
            <wp:docPr id="45788329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83292" name="Picture 457883292"/>
                    <pic:cNvPicPr/>
                  </pic:nvPicPr>
                  <pic:blipFill>
                    <a:blip r:embed="rId19">
                      <a:extLst>
                        <a:ext uri="{28A0092B-C50C-407E-A947-70E740481C1C}">
                          <a14:useLocalDpi xmlns:a14="http://schemas.microsoft.com/office/drawing/2010/main" val="0"/>
                        </a:ext>
                      </a:extLst>
                    </a:blip>
                    <a:stretch>
                      <a:fillRect/>
                    </a:stretch>
                  </pic:blipFill>
                  <pic:spPr>
                    <a:xfrm>
                      <a:off x="0" y="0"/>
                      <a:ext cx="3734124" cy="8222693"/>
                    </a:xfrm>
                    <a:prstGeom prst="rect">
                      <a:avLst/>
                    </a:prstGeom>
                  </pic:spPr>
                </pic:pic>
              </a:graphicData>
            </a:graphic>
          </wp:inline>
        </w:drawing>
      </w:r>
    </w:p>
    <w:p w14:paraId="29BC3ECB" w14:textId="60EB8D98" w:rsidR="000D128D" w:rsidRDefault="00DF77CC" w:rsidP="00DF77CC">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5</w:t>
      </w:r>
      <w:r w:rsidR="000D128D">
        <w:rPr>
          <w:rFonts w:ascii="Times New Roman" w:eastAsia="Times New Roman" w:hAnsi="Times New Roman" w:cs="Times New Roman"/>
          <w:color w:val="000000"/>
          <w:sz w:val="24"/>
          <w:szCs w:val="24"/>
          <w:u w:val="single"/>
        </w:rPr>
        <w:t>. Logit Model of Results</w:t>
      </w:r>
    </w:p>
    <w:p w14:paraId="0C41EDF4" w14:textId="6A7D7D0F" w:rsidR="000D128D" w:rsidRPr="000D128D" w:rsidRDefault="000D128D" w:rsidP="00F20C1F">
      <w:pPr>
        <w:widowControl w:val="0"/>
        <w:pBdr>
          <w:top w:val="nil"/>
          <w:left w:val="nil"/>
          <w:bottom w:val="nil"/>
          <w:right w:val="nil"/>
          <w:between w:val="nil"/>
        </w:pBdr>
        <w:spacing w:line="480" w:lineRule="auto"/>
        <w:ind w:right="431"/>
        <w:rPr>
          <w:rFonts w:ascii="Times New Roman" w:eastAsia="Times New Roman" w:hAnsi="Times New Roman" w:cs="Times New Roman"/>
          <w:color w:val="000000"/>
          <w:sz w:val="24"/>
          <w:szCs w:val="24"/>
          <w:u w:val="single"/>
        </w:rPr>
      </w:pPr>
      <w:r>
        <w:rPr>
          <w:rFonts w:ascii="Times New Roman" w:eastAsia="Times New Roman" w:hAnsi="Times New Roman" w:cs="Times New Roman"/>
          <w:noProof/>
          <w:color w:val="000000"/>
          <w:sz w:val="24"/>
          <w:szCs w:val="24"/>
          <w:u w:val="single"/>
        </w:rPr>
        <w:drawing>
          <wp:inline distT="0" distB="0" distL="0" distR="0" wp14:anchorId="6B33A461" wp14:editId="639C032C">
            <wp:extent cx="3939881" cy="6378493"/>
            <wp:effectExtent l="0" t="0" r="3810" b="3810"/>
            <wp:docPr id="11807851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85141" name="Picture 1180785141"/>
                    <pic:cNvPicPr/>
                  </pic:nvPicPr>
                  <pic:blipFill>
                    <a:blip r:embed="rId20">
                      <a:extLst>
                        <a:ext uri="{28A0092B-C50C-407E-A947-70E740481C1C}">
                          <a14:useLocalDpi xmlns:a14="http://schemas.microsoft.com/office/drawing/2010/main" val="0"/>
                        </a:ext>
                      </a:extLst>
                    </a:blip>
                    <a:stretch>
                      <a:fillRect/>
                    </a:stretch>
                  </pic:blipFill>
                  <pic:spPr>
                    <a:xfrm>
                      <a:off x="0" y="0"/>
                      <a:ext cx="3939881" cy="6378493"/>
                    </a:xfrm>
                    <a:prstGeom prst="rect">
                      <a:avLst/>
                    </a:prstGeom>
                  </pic:spPr>
                </pic:pic>
              </a:graphicData>
            </a:graphic>
          </wp:inline>
        </w:drawing>
      </w:r>
    </w:p>
    <w:sectPr w:rsidR="000D128D" w:rsidRPr="000D128D" w:rsidSect="00E9086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44A13" w14:textId="77777777" w:rsidR="00D77184" w:rsidRDefault="00D77184" w:rsidP="00887213">
      <w:pPr>
        <w:spacing w:line="240" w:lineRule="auto"/>
      </w:pPr>
      <w:r>
        <w:separator/>
      </w:r>
    </w:p>
  </w:endnote>
  <w:endnote w:type="continuationSeparator" w:id="0">
    <w:p w14:paraId="4E24CE7E" w14:textId="77777777" w:rsidR="00D77184" w:rsidRDefault="00D77184" w:rsidP="00887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62C50" w14:textId="77777777" w:rsidR="00D77184" w:rsidRDefault="00D77184" w:rsidP="00887213">
      <w:pPr>
        <w:spacing w:line="240" w:lineRule="auto"/>
      </w:pPr>
      <w:r>
        <w:separator/>
      </w:r>
    </w:p>
  </w:footnote>
  <w:footnote w:type="continuationSeparator" w:id="0">
    <w:p w14:paraId="6F2ABEC3" w14:textId="77777777" w:rsidR="00D77184" w:rsidRDefault="00D77184" w:rsidP="0088721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1C9"/>
    <w:rsid w:val="00015176"/>
    <w:rsid w:val="00030E20"/>
    <w:rsid w:val="000543CA"/>
    <w:rsid w:val="00071E85"/>
    <w:rsid w:val="000A3606"/>
    <w:rsid w:val="000B1635"/>
    <w:rsid w:val="000D128D"/>
    <w:rsid w:val="001142EB"/>
    <w:rsid w:val="001D2DE3"/>
    <w:rsid w:val="001E0CDA"/>
    <w:rsid w:val="00222001"/>
    <w:rsid w:val="00232F31"/>
    <w:rsid w:val="00251E78"/>
    <w:rsid w:val="00270886"/>
    <w:rsid w:val="00274767"/>
    <w:rsid w:val="002E68A7"/>
    <w:rsid w:val="0030349A"/>
    <w:rsid w:val="00331080"/>
    <w:rsid w:val="0036186F"/>
    <w:rsid w:val="0040395B"/>
    <w:rsid w:val="004171C9"/>
    <w:rsid w:val="00422AE8"/>
    <w:rsid w:val="004605B5"/>
    <w:rsid w:val="00481777"/>
    <w:rsid w:val="00484812"/>
    <w:rsid w:val="004D2F40"/>
    <w:rsid w:val="004E2EB7"/>
    <w:rsid w:val="0053092B"/>
    <w:rsid w:val="005F6EF9"/>
    <w:rsid w:val="006511F3"/>
    <w:rsid w:val="00656082"/>
    <w:rsid w:val="00662EFA"/>
    <w:rsid w:val="00677BEC"/>
    <w:rsid w:val="006E07F8"/>
    <w:rsid w:val="007142B3"/>
    <w:rsid w:val="00792DA0"/>
    <w:rsid w:val="007B3FEB"/>
    <w:rsid w:val="007B5000"/>
    <w:rsid w:val="007F146D"/>
    <w:rsid w:val="00807862"/>
    <w:rsid w:val="00816A4D"/>
    <w:rsid w:val="00887213"/>
    <w:rsid w:val="008D1F49"/>
    <w:rsid w:val="00957183"/>
    <w:rsid w:val="00A32B05"/>
    <w:rsid w:val="00A55834"/>
    <w:rsid w:val="00A76164"/>
    <w:rsid w:val="00B1133F"/>
    <w:rsid w:val="00B15479"/>
    <w:rsid w:val="00B2754C"/>
    <w:rsid w:val="00B47279"/>
    <w:rsid w:val="00B5433A"/>
    <w:rsid w:val="00BE1853"/>
    <w:rsid w:val="00C042BF"/>
    <w:rsid w:val="00C36588"/>
    <w:rsid w:val="00C5463B"/>
    <w:rsid w:val="00CD2662"/>
    <w:rsid w:val="00CD480A"/>
    <w:rsid w:val="00D0415B"/>
    <w:rsid w:val="00D463D1"/>
    <w:rsid w:val="00D77184"/>
    <w:rsid w:val="00D87A2E"/>
    <w:rsid w:val="00D902B8"/>
    <w:rsid w:val="00DA6664"/>
    <w:rsid w:val="00DE4D3B"/>
    <w:rsid w:val="00DF77CC"/>
    <w:rsid w:val="00E01665"/>
    <w:rsid w:val="00E150C4"/>
    <w:rsid w:val="00E635D3"/>
    <w:rsid w:val="00E90861"/>
    <w:rsid w:val="00EA66F7"/>
    <w:rsid w:val="00EB7762"/>
    <w:rsid w:val="00F10270"/>
    <w:rsid w:val="00F2059A"/>
    <w:rsid w:val="00F20C1F"/>
    <w:rsid w:val="00F30A33"/>
    <w:rsid w:val="00FA442D"/>
    <w:rsid w:val="00FA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068ED"/>
  <w15:docId w15:val="{C5B65949-6923-4E06-AE0D-EFF9D856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B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20C1F"/>
    <w:rPr>
      <w:color w:val="0000FF" w:themeColor="hyperlink"/>
      <w:u w:val="single"/>
    </w:rPr>
  </w:style>
  <w:style w:type="character" w:styleId="UnresolvedMention">
    <w:name w:val="Unresolved Mention"/>
    <w:basedOn w:val="DefaultParagraphFont"/>
    <w:uiPriority w:val="99"/>
    <w:semiHidden/>
    <w:unhideWhenUsed/>
    <w:rsid w:val="00F20C1F"/>
    <w:rPr>
      <w:color w:val="605E5C"/>
      <w:shd w:val="clear" w:color="auto" w:fill="E1DFDD"/>
    </w:rPr>
  </w:style>
  <w:style w:type="character" w:styleId="PlaceholderText">
    <w:name w:val="Placeholder Text"/>
    <w:basedOn w:val="DefaultParagraphFont"/>
    <w:uiPriority w:val="99"/>
    <w:semiHidden/>
    <w:rsid w:val="00F20C1F"/>
    <w:rPr>
      <w:color w:val="666666"/>
    </w:rPr>
  </w:style>
  <w:style w:type="paragraph" w:styleId="Header">
    <w:name w:val="header"/>
    <w:basedOn w:val="Normal"/>
    <w:link w:val="HeaderChar"/>
    <w:uiPriority w:val="99"/>
    <w:unhideWhenUsed/>
    <w:rsid w:val="00887213"/>
    <w:pPr>
      <w:tabs>
        <w:tab w:val="center" w:pos="4680"/>
        <w:tab w:val="right" w:pos="9360"/>
      </w:tabs>
      <w:spacing w:line="240" w:lineRule="auto"/>
    </w:pPr>
  </w:style>
  <w:style w:type="character" w:customStyle="1" w:styleId="HeaderChar">
    <w:name w:val="Header Char"/>
    <w:basedOn w:val="DefaultParagraphFont"/>
    <w:link w:val="Header"/>
    <w:uiPriority w:val="99"/>
    <w:rsid w:val="00887213"/>
  </w:style>
  <w:style w:type="paragraph" w:styleId="Footer">
    <w:name w:val="footer"/>
    <w:basedOn w:val="Normal"/>
    <w:link w:val="FooterChar"/>
    <w:uiPriority w:val="99"/>
    <w:unhideWhenUsed/>
    <w:rsid w:val="00887213"/>
    <w:pPr>
      <w:tabs>
        <w:tab w:val="center" w:pos="4680"/>
        <w:tab w:val="right" w:pos="9360"/>
      </w:tabs>
      <w:spacing w:line="240" w:lineRule="auto"/>
    </w:pPr>
  </w:style>
  <w:style w:type="character" w:customStyle="1" w:styleId="FooterChar">
    <w:name w:val="Footer Char"/>
    <w:basedOn w:val="DefaultParagraphFont"/>
    <w:link w:val="Footer"/>
    <w:uiPriority w:val="99"/>
    <w:rsid w:val="00887213"/>
  </w:style>
  <w:style w:type="paragraph" w:styleId="FootnoteText">
    <w:name w:val="footnote text"/>
    <w:basedOn w:val="Normal"/>
    <w:link w:val="FootnoteTextChar"/>
    <w:uiPriority w:val="99"/>
    <w:semiHidden/>
    <w:unhideWhenUsed/>
    <w:rsid w:val="00887213"/>
    <w:pPr>
      <w:spacing w:line="240" w:lineRule="auto"/>
    </w:pPr>
    <w:rPr>
      <w:sz w:val="20"/>
      <w:szCs w:val="20"/>
    </w:rPr>
  </w:style>
  <w:style w:type="character" w:customStyle="1" w:styleId="FootnoteTextChar">
    <w:name w:val="Footnote Text Char"/>
    <w:basedOn w:val="DefaultParagraphFont"/>
    <w:link w:val="FootnoteText"/>
    <w:uiPriority w:val="99"/>
    <w:semiHidden/>
    <w:rsid w:val="00887213"/>
    <w:rPr>
      <w:sz w:val="20"/>
      <w:szCs w:val="20"/>
    </w:rPr>
  </w:style>
  <w:style w:type="character" w:styleId="FootnoteReference">
    <w:name w:val="footnote reference"/>
    <w:basedOn w:val="DefaultParagraphFont"/>
    <w:uiPriority w:val="99"/>
    <w:semiHidden/>
    <w:unhideWhenUsed/>
    <w:rsid w:val="00887213"/>
    <w:rPr>
      <w:vertAlign w:val="superscript"/>
    </w:rPr>
  </w:style>
  <w:style w:type="paragraph" w:styleId="EndnoteText">
    <w:name w:val="endnote text"/>
    <w:basedOn w:val="Normal"/>
    <w:link w:val="EndnoteTextChar"/>
    <w:uiPriority w:val="99"/>
    <w:semiHidden/>
    <w:unhideWhenUsed/>
    <w:rsid w:val="00887213"/>
    <w:pPr>
      <w:spacing w:line="240" w:lineRule="auto"/>
    </w:pPr>
    <w:rPr>
      <w:sz w:val="20"/>
      <w:szCs w:val="20"/>
    </w:rPr>
  </w:style>
  <w:style w:type="character" w:customStyle="1" w:styleId="EndnoteTextChar">
    <w:name w:val="Endnote Text Char"/>
    <w:basedOn w:val="DefaultParagraphFont"/>
    <w:link w:val="EndnoteText"/>
    <w:uiPriority w:val="99"/>
    <w:semiHidden/>
    <w:rsid w:val="00887213"/>
    <w:rPr>
      <w:sz w:val="20"/>
      <w:szCs w:val="20"/>
    </w:rPr>
  </w:style>
  <w:style w:type="character" w:styleId="EndnoteReference">
    <w:name w:val="endnote reference"/>
    <w:basedOn w:val="DefaultParagraphFont"/>
    <w:uiPriority w:val="99"/>
    <w:semiHidden/>
    <w:unhideWhenUsed/>
    <w:rsid w:val="008872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7287">
      <w:bodyDiv w:val="1"/>
      <w:marLeft w:val="0"/>
      <w:marRight w:val="0"/>
      <w:marTop w:val="0"/>
      <w:marBottom w:val="0"/>
      <w:divBdr>
        <w:top w:val="none" w:sz="0" w:space="0" w:color="auto"/>
        <w:left w:val="none" w:sz="0" w:space="0" w:color="auto"/>
        <w:bottom w:val="none" w:sz="0" w:space="0" w:color="auto"/>
        <w:right w:val="none" w:sz="0" w:space="0" w:color="auto"/>
      </w:divBdr>
    </w:div>
    <w:div w:id="129132797">
      <w:bodyDiv w:val="1"/>
      <w:marLeft w:val="0"/>
      <w:marRight w:val="0"/>
      <w:marTop w:val="0"/>
      <w:marBottom w:val="0"/>
      <w:divBdr>
        <w:top w:val="none" w:sz="0" w:space="0" w:color="auto"/>
        <w:left w:val="none" w:sz="0" w:space="0" w:color="auto"/>
        <w:bottom w:val="none" w:sz="0" w:space="0" w:color="auto"/>
        <w:right w:val="none" w:sz="0" w:space="0" w:color="auto"/>
      </w:divBdr>
    </w:div>
    <w:div w:id="210266794">
      <w:bodyDiv w:val="1"/>
      <w:marLeft w:val="0"/>
      <w:marRight w:val="0"/>
      <w:marTop w:val="0"/>
      <w:marBottom w:val="0"/>
      <w:divBdr>
        <w:top w:val="none" w:sz="0" w:space="0" w:color="auto"/>
        <w:left w:val="none" w:sz="0" w:space="0" w:color="auto"/>
        <w:bottom w:val="none" w:sz="0" w:space="0" w:color="auto"/>
        <w:right w:val="none" w:sz="0" w:space="0" w:color="auto"/>
      </w:divBdr>
    </w:div>
    <w:div w:id="236213828">
      <w:bodyDiv w:val="1"/>
      <w:marLeft w:val="0"/>
      <w:marRight w:val="0"/>
      <w:marTop w:val="0"/>
      <w:marBottom w:val="0"/>
      <w:divBdr>
        <w:top w:val="none" w:sz="0" w:space="0" w:color="auto"/>
        <w:left w:val="none" w:sz="0" w:space="0" w:color="auto"/>
        <w:bottom w:val="none" w:sz="0" w:space="0" w:color="auto"/>
        <w:right w:val="none" w:sz="0" w:space="0" w:color="auto"/>
      </w:divBdr>
      <w:divsChild>
        <w:div w:id="1909730554">
          <w:marLeft w:val="0"/>
          <w:marRight w:val="0"/>
          <w:marTop w:val="0"/>
          <w:marBottom w:val="0"/>
          <w:divBdr>
            <w:top w:val="none" w:sz="0" w:space="0" w:color="auto"/>
            <w:left w:val="none" w:sz="0" w:space="0" w:color="auto"/>
            <w:bottom w:val="none" w:sz="0" w:space="0" w:color="auto"/>
            <w:right w:val="none" w:sz="0" w:space="0" w:color="auto"/>
          </w:divBdr>
          <w:divsChild>
            <w:div w:id="2027704909">
              <w:marLeft w:val="0"/>
              <w:marRight w:val="0"/>
              <w:marTop w:val="0"/>
              <w:marBottom w:val="0"/>
              <w:divBdr>
                <w:top w:val="none" w:sz="0" w:space="0" w:color="auto"/>
                <w:left w:val="none" w:sz="0" w:space="0" w:color="auto"/>
                <w:bottom w:val="none" w:sz="0" w:space="0" w:color="auto"/>
                <w:right w:val="none" w:sz="0" w:space="0" w:color="auto"/>
              </w:divBdr>
              <w:divsChild>
                <w:div w:id="599601635">
                  <w:marLeft w:val="0"/>
                  <w:marRight w:val="0"/>
                  <w:marTop w:val="0"/>
                  <w:marBottom w:val="0"/>
                  <w:divBdr>
                    <w:top w:val="none" w:sz="0" w:space="0" w:color="auto"/>
                    <w:left w:val="none" w:sz="0" w:space="0" w:color="auto"/>
                    <w:bottom w:val="none" w:sz="0" w:space="0" w:color="auto"/>
                    <w:right w:val="none" w:sz="0" w:space="0" w:color="auto"/>
                  </w:divBdr>
                  <w:divsChild>
                    <w:div w:id="3480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7428">
          <w:marLeft w:val="0"/>
          <w:marRight w:val="0"/>
          <w:marTop w:val="0"/>
          <w:marBottom w:val="0"/>
          <w:divBdr>
            <w:top w:val="none" w:sz="0" w:space="0" w:color="auto"/>
            <w:left w:val="none" w:sz="0" w:space="0" w:color="auto"/>
            <w:bottom w:val="none" w:sz="0" w:space="0" w:color="auto"/>
            <w:right w:val="none" w:sz="0" w:space="0" w:color="auto"/>
          </w:divBdr>
          <w:divsChild>
            <w:div w:id="1209686905">
              <w:marLeft w:val="0"/>
              <w:marRight w:val="0"/>
              <w:marTop w:val="0"/>
              <w:marBottom w:val="0"/>
              <w:divBdr>
                <w:top w:val="none" w:sz="0" w:space="0" w:color="auto"/>
                <w:left w:val="none" w:sz="0" w:space="0" w:color="auto"/>
                <w:bottom w:val="none" w:sz="0" w:space="0" w:color="auto"/>
                <w:right w:val="none" w:sz="0" w:space="0" w:color="auto"/>
              </w:divBdr>
              <w:divsChild>
                <w:div w:id="1588222864">
                  <w:marLeft w:val="0"/>
                  <w:marRight w:val="0"/>
                  <w:marTop w:val="0"/>
                  <w:marBottom w:val="0"/>
                  <w:divBdr>
                    <w:top w:val="none" w:sz="0" w:space="0" w:color="auto"/>
                    <w:left w:val="none" w:sz="0" w:space="0" w:color="auto"/>
                    <w:bottom w:val="none" w:sz="0" w:space="0" w:color="auto"/>
                    <w:right w:val="none" w:sz="0" w:space="0" w:color="auto"/>
                  </w:divBdr>
                  <w:divsChild>
                    <w:div w:id="20409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6017">
      <w:bodyDiv w:val="1"/>
      <w:marLeft w:val="0"/>
      <w:marRight w:val="0"/>
      <w:marTop w:val="0"/>
      <w:marBottom w:val="0"/>
      <w:divBdr>
        <w:top w:val="none" w:sz="0" w:space="0" w:color="auto"/>
        <w:left w:val="none" w:sz="0" w:space="0" w:color="auto"/>
        <w:bottom w:val="none" w:sz="0" w:space="0" w:color="auto"/>
        <w:right w:val="none" w:sz="0" w:space="0" w:color="auto"/>
      </w:divBdr>
    </w:div>
    <w:div w:id="425542220">
      <w:bodyDiv w:val="1"/>
      <w:marLeft w:val="0"/>
      <w:marRight w:val="0"/>
      <w:marTop w:val="0"/>
      <w:marBottom w:val="0"/>
      <w:divBdr>
        <w:top w:val="none" w:sz="0" w:space="0" w:color="auto"/>
        <w:left w:val="none" w:sz="0" w:space="0" w:color="auto"/>
        <w:bottom w:val="none" w:sz="0" w:space="0" w:color="auto"/>
        <w:right w:val="none" w:sz="0" w:space="0" w:color="auto"/>
      </w:divBdr>
    </w:div>
    <w:div w:id="435684406">
      <w:bodyDiv w:val="1"/>
      <w:marLeft w:val="0"/>
      <w:marRight w:val="0"/>
      <w:marTop w:val="0"/>
      <w:marBottom w:val="0"/>
      <w:divBdr>
        <w:top w:val="none" w:sz="0" w:space="0" w:color="auto"/>
        <w:left w:val="none" w:sz="0" w:space="0" w:color="auto"/>
        <w:bottom w:val="none" w:sz="0" w:space="0" w:color="auto"/>
        <w:right w:val="none" w:sz="0" w:space="0" w:color="auto"/>
      </w:divBdr>
    </w:div>
    <w:div w:id="445319454">
      <w:bodyDiv w:val="1"/>
      <w:marLeft w:val="0"/>
      <w:marRight w:val="0"/>
      <w:marTop w:val="0"/>
      <w:marBottom w:val="0"/>
      <w:divBdr>
        <w:top w:val="none" w:sz="0" w:space="0" w:color="auto"/>
        <w:left w:val="none" w:sz="0" w:space="0" w:color="auto"/>
        <w:bottom w:val="none" w:sz="0" w:space="0" w:color="auto"/>
        <w:right w:val="none" w:sz="0" w:space="0" w:color="auto"/>
      </w:divBdr>
    </w:div>
    <w:div w:id="492255145">
      <w:bodyDiv w:val="1"/>
      <w:marLeft w:val="0"/>
      <w:marRight w:val="0"/>
      <w:marTop w:val="0"/>
      <w:marBottom w:val="0"/>
      <w:divBdr>
        <w:top w:val="none" w:sz="0" w:space="0" w:color="auto"/>
        <w:left w:val="none" w:sz="0" w:space="0" w:color="auto"/>
        <w:bottom w:val="none" w:sz="0" w:space="0" w:color="auto"/>
        <w:right w:val="none" w:sz="0" w:space="0" w:color="auto"/>
      </w:divBdr>
      <w:divsChild>
        <w:div w:id="1676614718">
          <w:marLeft w:val="0"/>
          <w:marRight w:val="0"/>
          <w:marTop w:val="0"/>
          <w:marBottom w:val="0"/>
          <w:divBdr>
            <w:top w:val="none" w:sz="0" w:space="0" w:color="auto"/>
            <w:left w:val="none" w:sz="0" w:space="0" w:color="auto"/>
            <w:bottom w:val="none" w:sz="0" w:space="0" w:color="auto"/>
            <w:right w:val="none" w:sz="0" w:space="0" w:color="auto"/>
          </w:divBdr>
          <w:divsChild>
            <w:div w:id="1406415621">
              <w:marLeft w:val="0"/>
              <w:marRight w:val="0"/>
              <w:marTop w:val="0"/>
              <w:marBottom w:val="0"/>
              <w:divBdr>
                <w:top w:val="none" w:sz="0" w:space="0" w:color="auto"/>
                <w:left w:val="none" w:sz="0" w:space="0" w:color="auto"/>
                <w:bottom w:val="none" w:sz="0" w:space="0" w:color="auto"/>
                <w:right w:val="none" w:sz="0" w:space="0" w:color="auto"/>
              </w:divBdr>
              <w:divsChild>
                <w:div w:id="1911117332">
                  <w:marLeft w:val="0"/>
                  <w:marRight w:val="0"/>
                  <w:marTop w:val="0"/>
                  <w:marBottom w:val="0"/>
                  <w:divBdr>
                    <w:top w:val="none" w:sz="0" w:space="0" w:color="auto"/>
                    <w:left w:val="none" w:sz="0" w:space="0" w:color="auto"/>
                    <w:bottom w:val="none" w:sz="0" w:space="0" w:color="auto"/>
                    <w:right w:val="none" w:sz="0" w:space="0" w:color="auto"/>
                  </w:divBdr>
                  <w:divsChild>
                    <w:div w:id="843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8596">
          <w:marLeft w:val="0"/>
          <w:marRight w:val="0"/>
          <w:marTop w:val="0"/>
          <w:marBottom w:val="0"/>
          <w:divBdr>
            <w:top w:val="none" w:sz="0" w:space="0" w:color="auto"/>
            <w:left w:val="none" w:sz="0" w:space="0" w:color="auto"/>
            <w:bottom w:val="none" w:sz="0" w:space="0" w:color="auto"/>
            <w:right w:val="none" w:sz="0" w:space="0" w:color="auto"/>
          </w:divBdr>
          <w:divsChild>
            <w:div w:id="1620844130">
              <w:marLeft w:val="0"/>
              <w:marRight w:val="0"/>
              <w:marTop w:val="0"/>
              <w:marBottom w:val="0"/>
              <w:divBdr>
                <w:top w:val="none" w:sz="0" w:space="0" w:color="auto"/>
                <w:left w:val="none" w:sz="0" w:space="0" w:color="auto"/>
                <w:bottom w:val="none" w:sz="0" w:space="0" w:color="auto"/>
                <w:right w:val="none" w:sz="0" w:space="0" w:color="auto"/>
              </w:divBdr>
              <w:divsChild>
                <w:div w:id="1383679220">
                  <w:marLeft w:val="0"/>
                  <w:marRight w:val="0"/>
                  <w:marTop w:val="0"/>
                  <w:marBottom w:val="0"/>
                  <w:divBdr>
                    <w:top w:val="none" w:sz="0" w:space="0" w:color="auto"/>
                    <w:left w:val="none" w:sz="0" w:space="0" w:color="auto"/>
                    <w:bottom w:val="none" w:sz="0" w:space="0" w:color="auto"/>
                    <w:right w:val="none" w:sz="0" w:space="0" w:color="auto"/>
                  </w:divBdr>
                  <w:divsChild>
                    <w:div w:id="2822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11">
      <w:bodyDiv w:val="1"/>
      <w:marLeft w:val="0"/>
      <w:marRight w:val="0"/>
      <w:marTop w:val="0"/>
      <w:marBottom w:val="0"/>
      <w:divBdr>
        <w:top w:val="none" w:sz="0" w:space="0" w:color="auto"/>
        <w:left w:val="none" w:sz="0" w:space="0" w:color="auto"/>
        <w:bottom w:val="none" w:sz="0" w:space="0" w:color="auto"/>
        <w:right w:val="none" w:sz="0" w:space="0" w:color="auto"/>
      </w:divBdr>
    </w:div>
    <w:div w:id="842087510">
      <w:bodyDiv w:val="1"/>
      <w:marLeft w:val="0"/>
      <w:marRight w:val="0"/>
      <w:marTop w:val="0"/>
      <w:marBottom w:val="0"/>
      <w:divBdr>
        <w:top w:val="none" w:sz="0" w:space="0" w:color="auto"/>
        <w:left w:val="none" w:sz="0" w:space="0" w:color="auto"/>
        <w:bottom w:val="none" w:sz="0" w:space="0" w:color="auto"/>
        <w:right w:val="none" w:sz="0" w:space="0" w:color="auto"/>
      </w:divBdr>
    </w:div>
    <w:div w:id="965887510">
      <w:bodyDiv w:val="1"/>
      <w:marLeft w:val="0"/>
      <w:marRight w:val="0"/>
      <w:marTop w:val="0"/>
      <w:marBottom w:val="0"/>
      <w:divBdr>
        <w:top w:val="none" w:sz="0" w:space="0" w:color="auto"/>
        <w:left w:val="none" w:sz="0" w:space="0" w:color="auto"/>
        <w:bottom w:val="none" w:sz="0" w:space="0" w:color="auto"/>
        <w:right w:val="none" w:sz="0" w:space="0" w:color="auto"/>
      </w:divBdr>
    </w:div>
    <w:div w:id="1492063441">
      <w:bodyDiv w:val="1"/>
      <w:marLeft w:val="0"/>
      <w:marRight w:val="0"/>
      <w:marTop w:val="0"/>
      <w:marBottom w:val="0"/>
      <w:divBdr>
        <w:top w:val="none" w:sz="0" w:space="0" w:color="auto"/>
        <w:left w:val="none" w:sz="0" w:space="0" w:color="auto"/>
        <w:bottom w:val="none" w:sz="0" w:space="0" w:color="auto"/>
        <w:right w:val="none" w:sz="0" w:space="0" w:color="auto"/>
      </w:divBdr>
    </w:div>
    <w:div w:id="1688827194">
      <w:bodyDiv w:val="1"/>
      <w:marLeft w:val="0"/>
      <w:marRight w:val="0"/>
      <w:marTop w:val="0"/>
      <w:marBottom w:val="0"/>
      <w:divBdr>
        <w:top w:val="none" w:sz="0" w:space="0" w:color="auto"/>
        <w:left w:val="none" w:sz="0" w:space="0" w:color="auto"/>
        <w:bottom w:val="none" w:sz="0" w:space="0" w:color="auto"/>
        <w:right w:val="none" w:sz="0" w:space="0" w:color="auto"/>
      </w:divBdr>
    </w:div>
    <w:div w:id="1709795444">
      <w:bodyDiv w:val="1"/>
      <w:marLeft w:val="0"/>
      <w:marRight w:val="0"/>
      <w:marTop w:val="0"/>
      <w:marBottom w:val="0"/>
      <w:divBdr>
        <w:top w:val="none" w:sz="0" w:space="0" w:color="auto"/>
        <w:left w:val="none" w:sz="0" w:space="0" w:color="auto"/>
        <w:bottom w:val="none" w:sz="0" w:space="0" w:color="auto"/>
        <w:right w:val="none" w:sz="0" w:space="0" w:color="auto"/>
      </w:divBdr>
    </w:div>
    <w:div w:id="1757482961">
      <w:bodyDiv w:val="1"/>
      <w:marLeft w:val="0"/>
      <w:marRight w:val="0"/>
      <w:marTop w:val="0"/>
      <w:marBottom w:val="0"/>
      <w:divBdr>
        <w:top w:val="none" w:sz="0" w:space="0" w:color="auto"/>
        <w:left w:val="none" w:sz="0" w:space="0" w:color="auto"/>
        <w:bottom w:val="none" w:sz="0" w:space="0" w:color="auto"/>
        <w:right w:val="none" w:sz="0" w:space="0" w:color="auto"/>
      </w:divBdr>
    </w:div>
    <w:div w:id="1792089957">
      <w:bodyDiv w:val="1"/>
      <w:marLeft w:val="0"/>
      <w:marRight w:val="0"/>
      <w:marTop w:val="0"/>
      <w:marBottom w:val="0"/>
      <w:divBdr>
        <w:top w:val="none" w:sz="0" w:space="0" w:color="auto"/>
        <w:left w:val="none" w:sz="0" w:space="0" w:color="auto"/>
        <w:bottom w:val="none" w:sz="0" w:space="0" w:color="auto"/>
        <w:right w:val="none" w:sz="0" w:space="0" w:color="auto"/>
      </w:divBdr>
    </w:div>
    <w:div w:id="2068871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7/S0020818300033117" TargetMode="External"/><Relationship Id="rId10" Type="http://schemas.openxmlformats.org/officeDocument/2006/relationships/image" Target="media/image4.png"/><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8E82-2F0D-44A3-96A0-14784EDE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40</Pages>
  <Words>6152</Words>
  <Characters>35071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Diether, Elle</cp:lastModifiedBy>
  <cp:revision>15</cp:revision>
  <cp:lastPrinted>2025-02-07T07:39:00Z</cp:lastPrinted>
  <dcterms:created xsi:type="dcterms:W3CDTF">2025-05-06T01:41:00Z</dcterms:created>
  <dcterms:modified xsi:type="dcterms:W3CDTF">2025-05-06T03:31:00Z</dcterms:modified>
</cp:coreProperties>
</file>