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fase-6-análise-exploratória-de-dados"/>
    <w:p>
      <w:pPr>
        <w:pStyle w:val="Heading1"/>
      </w:pPr>
      <w:r>
        <w:t xml:space="preserve">📊 Fase 6 — Análise Exploratória de Dados</w:t>
      </w:r>
    </w:p>
    <w:p>
      <w:pPr>
        <w:pStyle w:val="FirstParagraph"/>
      </w:pPr>
      <w:r>
        <w:t xml:space="preserve">Nesta fase criei um notebook Jupyter para explorar visualmente os dados e entender padrões nas inconsistências detectadas pelas regras de auditoria.</w:t>
      </w:r>
    </w:p>
    <w:p>
      <w:pPr>
        <w:pStyle w:val="BodyText"/>
      </w:pPr>
      <w:r>
        <w:t xml:space="preserve">A análise exploratória (EDA — Exploratory Data Analysis) é fundamental antes de partir para modelos de machine learning, porque ajuda a entender o que está acontecendo nos dados.</w:t>
      </w:r>
    </w:p>
    <w:p>
      <w:r>
        <w:pict>
          <v:rect style="width:0;height:1.5pt" o:hralign="center" o:hrstd="t" o:hr="t"/>
        </w:pict>
      </w:r>
    </w:p>
    <w:bookmarkStart w:id="20" w:name="objetivo-da-fase"/>
    <w:p>
      <w:pPr>
        <w:pStyle w:val="Heading2"/>
      </w:pPr>
      <w:r>
        <w:t xml:space="preserve">🎯 Objetivo da Fase</w:t>
      </w:r>
    </w:p>
    <w:p>
      <w:pPr>
        <w:numPr>
          <w:ilvl w:val="0"/>
          <w:numId w:val="1001"/>
        </w:numPr>
        <w:pStyle w:val="Compact"/>
      </w:pPr>
      <w:r>
        <w:t xml:space="preserve">Visualizar a distribuição dos dados nas tabelas</w:t>
      </w:r>
    </w:p>
    <w:p>
      <w:pPr>
        <w:numPr>
          <w:ilvl w:val="0"/>
          <w:numId w:val="1001"/>
        </w:numPr>
        <w:pStyle w:val="Compact"/>
      </w:pPr>
      <w:r>
        <w:t xml:space="preserve">Analisar padrões nas divergências de pagamento</w:t>
      </w:r>
    </w:p>
    <w:p>
      <w:pPr>
        <w:numPr>
          <w:ilvl w:val="0"/>
          <w:numId w:val="1001"/>
        </w:numPr>
        <w:pStyle w:val="Compact"/>
      </w:pPr>
      <w:r>
        <w:t xml:space="preserve">Entender o comportamento das conciliações</w:t>
      </w:r>
    </w:p>
    <w:p>
      <w:pPr>
        <w:numPr>
          <w:ilvl w:val="0"/>
          <w:numId w:val="1001"/>
        </w:numPr>
        <w:pStyle w:val="Compact"/>
      </w:pPr>
      <w:r>
        <w:t xml:space="preserve">Identificar empresas com mais problemas</w:t>
      </w:r>
    </w:p>
    <w:p>
      <w:pPr>
        <w:numPr>
          <w:ilvl w:val="0"/>
          <w:numId w:val="1001"/>
        </w:numPr>
        <w:pStyle w:val="Compact"/>
      </w:pPr>
      <w:r>
        <w:t xml:space="preserve">Observar tendências ao longo do tempo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2"/>
      </w:pPr>
      <w:r>
        <w:t xml:space="preserve">🔧 Tecnologias Utilizadas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Jupyter Notebook</w:t>
      </w:r>
      <w:r>
        <w:t xml:space="preserve"> </w:t>
      </w:r>
      <w:r>
        <w:t xml:space="preserve">— ambiente interativo para análise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— manipulação de dados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Matplotlib</w:t>
      </w:r>
      <w:r>
        <w:t xml:space="preserve"> </w:t>
      </w:r>
      <w:r>
        <w:t xml:space="preserve">— visualizações básicas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Seaborn</w:t>
      </w:r>
      <w:r>
        <w:t xml:space="preserve"> </w:t>
      </w:r>
      <w:r>
        <w:t xml:space="preserve">— visualizações estatísticas mais bonitas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SQLAlchemy</w:t>
      </w:r>
      <w:r>
        <w:t xml:space="preserve"> </w:t>
      </w:r>
      <w:r>
        <w:t xml:space="preserve">— conexão com MySQL</w:t>
      </w:r>
    </w:p>
    <w:p>
      <w:r>
        <w:pict>
          <v:rect style="width:0;height:1.5pt" o:hralign="center" o:hrstd="t" o:hr="t"/>
        </w:pict>
      </w:r>
    </w:p>
    <w:bookmarkEnd w:id="21"/>
    <w:bookmarkStart w:id="28" w:name="análises-realizadas"/>
    <w:p>
      <w:pPr>
        <w:pStyle w:val="Heading2"/>
      </w:pPr>
      <w:r>
        <w:t xml:space="preserve">📈 Análises Realizadas</w:t>
      </w:r>
    </w:p>
    <w:bookmarkStart w:id="22" w:name="visão-geral-dos-dados"/>
    <w:p>
      <w:pPr>
        <w:pStyle w:val="Heading3"/>
      </w:pPr>
      <w:r>
        <w:t xml:space="preserve">1. Visão Geral dos Dados</w:t>
      </w:r>
    </w:p>
    <w:p>
      <w:pPr>
        <w:pStyle w:val="FirstParagraph"/>
      </w:pPr>
      <w:r>
        <w:t xml:space="preserve">Contagem de registros em cada tabela e visualização em gráfico de barras horizontais.</w:t>
      </w:r>
    </w:p>
    <w:p>
      <w:pPr>
        <w:pStyle w:val="BodyText"/>
      </w:pPr>
      <w:r>
        <w:rPr>
          <w:bCs/>
          <w:b/>
        </w:rPr>
        <w:t xml:space="preserve">Resultado:</w:t>
      </w:r>
      <w:r>
        <w:t xml:space="preserve"> </w:t>
      </w:r>
      <w:r>
        <w:t xml:space="preserve">- 10 empresas</w:t>
      </w:r>
      <w:r>
        <w:t xml:space="preserve"> </w:t>
      </w:r>
      <w:r>
        <w:t xml:space="preserve">- 500 movimentações bancárias</w:t>
      </w:r>
      <w:r>
        <w:t xml:space="preserve"> </w:t>
      </w:r>
      <w:r>
        <w:t xml:space="preserve">- 289 documentos fiscais (300 originais − 11 duplicatas separadas no ETL)</w:t>
      </w:r>
      <w:r>
        <w:t xml:space="preserve"> </w:t>
      </w:r>
      <w:r>
        <w:t xml:space="preserve">- 400 contas financeiras</w:t>
      </w:r>
      <w:r>
        <w:t xml:space="preserve"> </w:t>
      </w:r>
      <w:r>
        <w:t xml:space="preserve">- 112 conciliações</w:t>
      </w:r>
    </w:p>
    <w:p>
      <w:r>
        <w:pict>
          <v:rect style="width:0;height:1.5pt" o:hralign="center" o:hrstd="t" o:hr="t"/>
        </w:pict>
      </w:r>
    </w:p>
    <w:bookmarkEnd w:id="22"/>
    <w:bookmarkStart w:id="23" w:name="divergências-de-pagamento"/>
    <w:p>
      <w:pPr>
        <w:pStyle w:val="Heading3"/>
      </w:pPr>
      <w:r>
        <w:t xml:space="preserve">2. Divergências de Pagamento</w:t>
      </w:r>
    </w:p>
    <w:p>
      <w:pPr>
        <w:pStyle w:val="FirstParagraph"/>
      </w:pPr>
      <w:r>
        <w:t xml:space="preserve">Análise detalhada das 23 contas onde o</w:t>
      </w:r>
      <w:r>
        <w:t xml:space="preserve"> </w:t>
      </w:r>
      <w:r>
        <w:rPr>
          <w:rStyle w:val="VerbatimChar"/>
        </w:rPr>
        <w:t xml:space="preserve">valor_pago</w:t>
      </w:r>
      <w:r>
        <w:t xml:space="preserve"> </w:t>
      </w:r>
      <w:r>
        <w:t xml:space="preserve">é diferente do</w:t>
      </w:r>
      <w:r>
        <w:t xml:space="preserve"> </w:t>
      </w:r>
      <w:r>
        <w:rPr>
          <w:rStyle w:val="VerbatimChar"/>
        </w:rPr>
        <w:t xml:space="preserve">valor_original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Gráficos gerados:</w:t>
      </w:r>
      <w:r>
        <w:t xml:space="preserve"> </w:t>
      </w:r>
      <w:r>
        <w:t xml:space="preserve">- Histograma da diferença absoluta em R$</w:t>
      </w:r>
      <w:r>
        <w:t xml:space="preserve"> </w:t>
      </w:r>
      <w:r>
        <w:t xml:space="preserve">- Histograma do percentual de diferença</w:t>
      </w:r>
      <w:r>
        <w:t xml:space="preserve"> </w:t>
      </w:r>
      <w:r>
        <w:t xml:space="preserve">- Distribuição por tipo de título (A Receber vs A Pagar)</w:t>
      </w:r>
    </w:p>
    <w:p>
      <w:pPr>
        <w:pStyle w:val="BodyText"/>
      </w:pPr>
      <w:r>
        <w:rPr>
          <w:bCs/>
          <w:b/>
        </w:rPr>
        <w:t xml:space="preserve">Descobertas:</w:t>
      </w:r>
      <w:r>
        <w:t xml:space="preserve"> </w:t>
      </w:r>
      <w:r>
        <w:t xml:space="preserve">- A maioria das divergências está entre 5% e 15% do valor original</w:t>
      </w:r>
      <w:r>
        <w:t xml:space="preserve"> </w:t>
      </w:r>
      <w:r>
        <w:t xml:space="preserve">- Tanto títulos a receber quanto a pagar apresentam divergências</w:t>
      </w:r>
      <w:r>
        <w:t xml:space="preserve"> </w:t>
      </w:r>
      <w:r>
        <w:t xml:space="preserve">- O total acumulado em divergências é significativo</w:t>
      </w:r>
    </w:p>
    <w:p>
      <w:r>
        <w:pict>
          <v:rect style="width:0;height:1.5pt" o:hralign="center" o:hrstd="t" o:hr="t"/>
        </w:pict>
      </w:r>
    </w:p>
    <w:bookmarkEnd w:id="23"/>
    <w:bookmarkStart w:id="24" w:name="conciliações"/>
    <w:p>
      <w:pPr>
        <w:pStyle w:val="Heading3"/>
      </w:pPr>
      <w:r>
        <w:t xml:space="preserve">3. Conciliações</w:t>
      </w:r>
    </w:p>
    <w:p>
      <w:pPr>
        <w:pStyle w:val="FirstParagraph"/>
      </w:pPr>
      <w:r>
        <w:t xml:space="preserve">Análise do status das conciliações e movimentações não conciliadas.</w:t>
      </w:r>
    </w:p>
    <w:p>
      <w:pPr>
        <w:pStyle w:val="BodyText"/>
      </w:pPr>
      <w:r>
        <w:rPr>
          <w:bCs/>
          <w:b/>
        </w:rPr>
        <w:t xml:space="preserve">Gráficos gerados:</w:t>
      </w:r>
      <w:r>
        <w:t xml:space="preserve"> </w:t>
      </w:r>
      <w:r>
        <w:t xml:space="preserve">- Pizza do status (Consistente vs Inconsistente)</w:t>
      </w:r>
      <w:r>
        <w:t xml:space="preserve"> </w:t>
      </w:r>
      <w:r>
        <w:t xml:space="preserve">- Distribuição de movimentações não conciliadas por tipo</w:t>
      </w:r>
    </w:p>
    <w:p>
      <w:pPr>
        <w:pStyle w:val="BodyText"/>
      </w:pPr>
      <w:r>
        <w:rPr>
          <w:bCs/>
          <w:b/>
        </w:rPr>
        <w:t xml:space="preserve">Descobertas:</w:t>
      </w:r>
      <w:r>
        <w:t xml:space="preserve"> </w:t>
      </w:r>
      <w:r>
        <w:t xml:space="preserve">- ~12% das conciliações estão marcadas como</w:t>
      </w:r>
      <w:r>
        <w:t xml:space="preserve"> </w:t>
      </w:r>
      <w:r>
        <w:t xml:space="preserve">“</w:t>
      </w:r>
      <w:r>
        <w:t xml:space="preserve">Inconsistente</w:t>
      </w:r>
      <w:r>
        <w:t xml:space="preserve">”</w:t>
      </w:r>
      <w:r>
        <w:t xml:space="preserve"> </w:t>
      </w:r>
      <w:r>
        <w:t xml:space="preserve">- ~78% das movimentações bancárias ainda não foram conciliadas</w:t>
      </w:r>
      <w:r>
        <w:t xml:space="preserve"> </w:t>
      </w:r>
      <w:r>
        <w:t xml:space="preserve">- A maioria das movimentações sem conciliação é de entrada</w:t>
      </w:r>
    </w:p>
    <w:p>
      <w:r>
        <w:pict>
          <v:rect style="width:0;height:1.5pt" o:hralign="center" o:hrstd="t" o:hr="t"/>
        </w:pict>
      </w:r>
    </w:p>
    <w:bookmarkEnd w:id="24"/>
    <w:bookmarkStart w:id="25" w:name="análise-por-empresa"/>
    <w:p>
      <w:pPr>
        <w:pStyle w:val="Heading3"/>
      </w:pPr>
      <w:r>
        <w:t xml:space="preserve">4. Análise por Empresa</w:t>
      </w:r>
    </w:p>
    <w:p>
      <w:pPr>
        <w:pStyle w:val="FirstParagraph"/>
      </w:pPr>
      <w:r>
        <w:t xml:space="preserve">Identificação de quais empresas concentram mais divergências.</w:t>
      </w:r>
    </w:p>
    <w:p>
      <w:pPr>
        <w:pStyle w:val="BodyText"/>
      </w:pPr>
      <w:r>
        <w:rPr>
          <w:bCs/>
          <w:b/>
        </w:rPr>
        <w:t xml:space="preserve">Gráfico gerado:</w:t>
      </w:r>
      <w:r>
        <w:t xml:space="preserve"> </w:t>
      </w:r>
      <w:r>
        <w:t xml:space="preserve">- Barras com quantidade de divergências por empresa</w:t>
      </w:r>
    </w:p>
    <w:p>
      <w:pPr>
        <w:pStyle w:val="BodyText"/>
      </w:pPr>
      <w:r>
        <w:rPr>
          <w:bCs/>
          <w:b/>
        </w:rPr>
        <w:t xml:space="preserve">Descobertas:</w:t>
      </w:r>
      <w:r>
        <w:t xml:space="preserve"> </w:t>
      </w:r>
      <w:r>
        <w:t xml:space="preserve">- As divergências estão distribuídas entre várias empresas</w:t>
      </w:r>
      <w:r>
        <w:t xml:space="preserve"> </w:t>
      </w:r>
      <w:r>
        <w:t xml:space="preserve">- Algumas empresas concentram mais problemas e precisam de atenção especial</w:t>
      </w:r>
    </w:p>
    <w:p>
      <w:r>
        <w:pict>
          <v:rect style="width:0;height:1.5pt" o:hralign="center" o:hrstd="t" o:hr="t"/>
        </w:pict>
      </w:r>
    </w:p>
    <w:bookmarkEnd w:id="25"/>
    <w:bookmarkStart w:id="26" w:name="análise-temporal"/>
    <w:p>
      <w:pPr>
        <w:pStyle w:val="Heading3"/>
      </w:pPr>
      <w:r>
        <w:t xml:space="preserve">5. Análise Temporal</w:t>
      </w:r>
    </w:p>
    <w:p>
      <w:pPr>
        <w:pStyle w:val="FirstParagraph"/>
      </w:pPr>
      <w:r>
        <w:t xml:space="preserve">Visualização de movimentações bancárias ao longo do tempo (por mês).</w:t>
      </w:r>
    </w:p>
    <w:p>
      <w:pPr>
        <w:pStyle w:val="BodyText"/>
      </w:pPr>
      <w:r>
        <w:rPr>
          <w:bCs/>
          <w:b/>
        </w:rPr>
        <w:t xml:space="preserve">Gráfico gerado:</w:t>
      </w:r>
      <w:r>
        <w:t xml:space="preserve"> </w:t>
      </w:r>
      <w:r>
        <w:t xml:space="preserve">- Barras agrupadas mostrando entradas e saídas por mês</w:t>
      </w:r>
    </w:p>
    <w:p>
      <w:pPr>
        <w:pStyle w:val="BodyText"/>
      </w:pPr>
      <w:r>
        <w:rPr>
          <w:bCs/>
          <w:b/>
        </w:rPr>
        <w:t xml:space="preserve">Descobertas:</w:t>
      </w:r>
      <w:r>
        <w:t xml:space="preserve"> </w:t>
      </w:r>
      <w:r>
        <w:t xml:space="preserve">- O volume de movimentações varia ao longo do ano</w:t>
      </w:r>
      <w:r>
        <w:t xml:space="preserve"> </w:t>
      </w:r>
      <w:r>
        <w:t xml:space="preserve">- Entrada e saída seguem padrões relativamente equilibrados</w:t>
      </w:r>
    </w:p>
    <w:p>
      <w:r>
        <w:pict>
          <v:rect style="width:0;height:1.5pt" o:hralign="center" o:hrstd="t" o:hr="t"/>
        </w:pict>
      </w:r>
    </w:p>
    <w:bookmarkEnd w:id="26"/>
    <w:bookmarkStart w:id="27" w:name="documentos-fiscais"/>
    <w:p>
      <w:pPr>
        <w:pStyle w:val="Heading3"/>
      </w:pPr>
      <w:r>
        <w:t xml:space="preserve">6. Documentos Fiscais</w:t>
      </w:r>
    </w:p>
    <w:p>
      <w:pPr>
        <w:pStyle w:val="FirstParagraph"/>
      </w:pPr>
      <w:r>
        <w:t xml:space="preserve">Distribuição dos documentos por tipo (NF-e, NFS-e, CT-e, NFC-e) e status (Ativa, Cancelada, Inutilizada).</w:t>
      </w:r>
    </w:p>
    <w:p>
      <w:pPr>
        <w:pStyle w:val="BodyText"/>
      </w:pPr>
      <w:r>
        <w:rPr>
          <w:bCs/>
          <w:b/>
        </w:rPr>
        <w:t xml:space="preserve">Gráfico gerado:</w:t>
      </w:r>
      <w:r>
        <w:t xml:space="preserve"> </w:t>
      </w:r>
      <w:r>
        <w:t xml:space="preserve">- Barras empilhadas mostrando quantidade por tipo e status</w:t>
      </w:r>
    </w:p>
    <w:p>
      <w:pPr>
        <w:pStyle w:val="BodyText"/>
      </w:pPr>
      <w:r>
        <w:rPr>
          <w:bCs/>
          <w:b/>
        </w:rPr>
        <w:t xml:space="preserve">Descobertas:</w:t>
      </w:r>
      <w:r>
        <w:t xml:space="preserve"> </w:t>
      </w:r>
      <w:r>
        <w:t xml:space="preserve">- ~10% dos documentos estão cancelados ou inutilizados</w:t>
      </w:r>
      <w:r>
        <w:t xml:space="preserve"> </w:t>
      </w:r>
      <w:r>
        <w:t xml:space="preserve">- A distribuição entre os tipos de documento parece balanceada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omo-executar-o-notebook"/>
    <w:p>
      <w:pPr>
        <w:pStyle w:val="Heading2"/>
      </w:pPr>
      <w:r>
        <w:t xml:space="preserve">🚀 Como Executar o Notebook</w:t>
      </w:r>
    </w:p>
    <w:bookmarkStart w:id="29" w:name="instalar-dependências-adicionais"/>
    <w:p>
      <w:pPr>
        <w:pStyle w:val="Heading3"/>
      </w:pPr>
      <w:r>
        <w:t xml:space="preserve">1. Instalar dependências adicionais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matplotlib seaborn jupyter</w:t>
      </w:r>
    </w:p>
    <w:bookmarkEnd w:id="29"/>
    <w:bookmarkStart w:id="30" w:name="subir-o-jupyter"/>
    <w:p>
      <w:pPr>
        <w:pStyle w:val="Heading3"/>
      </w:pPr>
      <w:r>
        <w:t xml:space="preserve">2. Subir o Jupyter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fiscalaudit-ai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notebook</w:t>
      </w:r>
    </w:p>
    <w:p>
      <w:pPr>
        <w:pStyle w:val="FirstParagraph"/>
      </w:pPr>
      <w:r>
        <w:t xml:space="preserve">Isso abrirá o Jupyter no navegador.</w:t>
      </w:r>
    </w:p>
    <w:bookmarkEnd w:id="30"/>
    <w:bookmarkStart w:id="31" w:name="abrir-o-notebook"/>
    <w:p>
      <w:pPr>
        <w:pStyle w:val="Heading3"/>
      </w:pPr>
      <w:r>
        <w:t xml:space="preserve">3. Abrir o notebook</w:t>
      </w:r>
    </w:p>
    <w:p>
      <w:pPr>
        <w:pStyle w:val="FirstParagraph"/>
      </w:pPr>
      <w:r>
        <w:t xml:space="preserve">Navegue até</w:t>
      </w:r>
      <w:r>
        <w:t xml:space="preserve"> </w:t>
      </w:r>
      <w:r>
        <w:rPr>
          <w:rStyle w:val="VerbatimChar"/>
        </w:rPr>
        <w:t xml:space="preserve">notebooks/analise_exploratoria.ipynb</w:t>
      </w:r>
      <w:r>
        <w:t xml:space="preserve"> </w:t>
      </w:r>
      <w:r>
        <w:t xml:space="preserve">e execute as células sequencialmente (Shift + Enter).</w:t>
      </w:r>
    </w:p>
    <w:p>
      <w:pPr>
        <w:pStyle w:val="BodyText"/>
      </w:pPr>
      <w:r>
        <w:rPr>
          <w:bCs/>
          <w:b/>
        </w:rPr>
        <w:t xml:space="preserve">Importante: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precisa estar configurado para o notebook conectar no banco.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rincipais-conclusões"/>
    <w:p>
      <w:pPr>
        <w:pStyle w:val="Heading2"/>
      </w:pPr>
      <w:r>
        <w:t xml:space="preserve">📌 Principais Conclusões</w:t>
      </w:r>
    </w:p>
    <w:bookmarkStart w:id="33" w:name="volume-de-dados"/>
    <w:p>
      <w:pPr>
        <w:pStyle w:val="Heading3"/>
      </w:pPr>
      <w:r>
        <w:t xml:space="preserve">Volume de Dados</w:t>
      </w:r>
    </w:p>
    <w:p>
      <w:pPr>
        <w:numPr>
          <w:ilvl w:val="0"/>
          <w:numId w:val="1003"/>
        </w:numPr>
        <w:pStyle w:val="Compact"/>
      </w:pPr>
      <w:r>
        <w:t xml:space="preserve">Base com 10 empresas, 1.401 registros totais distribuídos nas 7 tabelas</w:t>
      </w:r>
    </w:p>
    <w:p>
      <w:pPr>
        <w:numPr>
          <w:ilvl w:val="0"/>
          <w:numId w:val="1003"/>
        </w:numPr>
        <w:pStyle w:val="Compact"/>
      </w:pPr>
      <w:r>
        <w:t xml:space="preserve">Volume suficiente para análise e modelagem</w:t>
      </w:r>
    </w:p>
    <w:bookmarkEnd w:id="33"/>
    <w:bookmarkStart w:id="34" w:name="qualidade-dos-dados"/>
    <w:p>
      <w:pPr>
        <w:pStyle w:val="Heading3"/>
      </w:pPr>
      <w:r>
        <w:t xml:space="preserve">Qualidade dos Dados</w:t>
      </w:r>
    </w:p>
    <w:p>
      <w:pPr>
        <w:numPr>
          <w:ilvl w:val="0"/>
          <w:numId w:val="1004"/>
        </w:numPr>
        <w:pStyle w:val="Compact"/>
      </w:pPr>
      <w:r>
        <w:t xml:space="preserve">As inconsistências propositais da Fase 3 foram confirmadas:</w:t>
      </w:r>
    </w:p>
    <w:p>
      <w:pPr>
        <w:numPr>
          <w:ilvl w:val="1"/>
          <w:numId w:val="1005"/>
        </w:numPr>
        <w:pStyle w:val="Compact"/>
      </w:pPr>
      <w:r>
        <w:t xml:space="preserve">23 divergências de pagamento (~10% das contas pagas)</w:t>
      </w:r>
    </w:p>
    <w:p>
      <w:pPr>
        <w:numPr>
          <w:ilvl w:val="1"/>
          <w:numId w:val="1005"/>
        </w:numPr>
        <w:pStyle w:val="Compact"/>
      </w:pPr>
      <w:r>
        <w:t xml:space="preserve">13 conciliações inconsistentes (~12%)</w:t>
      </w:r>
    </w:p>
    <w:p>
      <w:pPr>
        <w:numPr>
          <w:ilvl w:val="1"/>
          <w:numId w:val="1005"/>
        </w:numPr>
        <w:pStyle w:val="Compact"/>
      </w:pPr>
      <w:r>
        <w:t xml:space="preserve">388 movimentações sem conciliação (~78%)</w:t>
      </w:r>
    </w:p>
    <w:bookmarkEnd w:id="34"/>
    <w:bookmarkStart w:id="35" w:name="padrões-identificados"/>
    <w:p>
      <w:pPr>
        <w:pStyle w:val="Heading3"/>
      </w:pPr>
      <w:r>
        <w:t xml:space="preserve">Padrões Identificados</w:t>
      </w:r>
    </w:p>
    <w:p>
      <w:pPr>
        <w:numPr>
          <w:ilvl w:val="0"/>
          <w:numId w:val="1006"/>
        </w:numPr>
        <w:pStyle w:val="Compact"/>
      </w:pPr>
      <w:r>
        <w:t xml:space="preserve">Divergências concentradas na faixa de 5-15%</w:t>
      </w:r>
    </w:p>
    <w:p>
      <w:pPr>
        <w:numPr>
          <w:ilvl w:val="0"/>
          <w:numId w:val="1006"/>
        </w:numPr>
        <w:pStyle w:val="Compact"/>
      </w:pPr>
      <w:r>
        <w:t xml:space="preserve">Algumas empresas concentram mais problemas</w:t>
      </w:r>
    </w:p>
    <w:p>
      <w:pPr>
        <w:numPr>
          <w:ilvl w:val="0"/>
          <w:numId w:val="1006"/>
        </w:numPr>
        <w:pStyle w:val="Compact"/>
      </w:pPr>
      <w:r>
        <w:t xml:space="preserve">Movimentações não conciliadas são oportunidade de melhoria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próximos-passos"/>
    <w:p>
      <w:pPr>
        <w:pStyle w:val="Heading2"/>
      </w:pPr>
      <w:r>
        <w:t xml:space="preserve">🔍 Próximos Passos</w:t>
      </w:r>
    </w:p>
    <w:p>
      <w:pPr>
        <w:pStyle w:val="FirstParagraph"/>
      </w:pPr>
      <w:r>
        <w:t xml:space="preserve">Com a análise exploratória concluída, as próximas etapas naturais são: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Fase 7</w:t>
      </w:r>
      <w:r>
        <w:t xml:space="preserve"> </w:t>
      </w:r>
      <w:r>
        <w:t xml:space="preserve">— Treinar modelo de Machine Learning para detectar anomalias além das regras fixas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Fase 8</w:t>
      </w:r>
      <w:r>
        <w:t xml:space="preserve"> </w:t>
      </w:r>
      <w:r>
        <w:t xml:space="preserve">— IA Generativa para gerar relatórios em linguagem natural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Fase 9</w:t>
      </w:r>
      <w:r>
        <w:t xml:space="preserve"> </w:t>
      </w:r>
      <w:r>
        <w:t xml:space="preserve">— Dashboard interativo com Streamlit para visualizar tudo de forma amigável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2026-09-04T16:04:00Z</dcterms:created>
  <dcterms:modified xsi:type="dcterms:W3CDTF">2026-09-04T16:04:00Z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