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a855d251f30b57aea77ff0ae7d5782b0d417"/>
    <w:p>
      <w:pPr>
        <w:pStyle w:val="Heading1"/>
      </w:pPr>
      <w:r>
        <w:t xml:space="preserve">An Agent-Based Model of Gender Differences in Short-Term Mating Behaviors as a Result of Mating Preferences</w:t>
      </w:r>
    </w:p>
    <w:p>
      <w:pPr>
        <w:pStyle w:val="FirstParagraph"/>
      </w:pPr>
      <w:r>
        <w:t xml:space="preserve">Yurun Ying</w:t>
      </w:r>
      <w:r>
        <w:rPr>
          <w:vertAlign w:val="superscript"/>
        </w:rPr>
        <w:t xml:space="preserve">1</w:t>
      </w:r>
      <w:r>
        <w:t xml:space="preserve">, Jan Antfolk</w:t>
      </w:r>
      <w:r>
        <w:rPr>
          <w:vertAlign w:val="superscript"/>
        </w:rPr>
        <w:t xml:space="preserve">2</w:t>
      </w:r>
      <w:r>
        <w:t xml:space="preserve">, Pekka Santtila</w:t>
      </w:r>
      <w:r>
        <w:rPr>
          <w:vertAlign w:val="superscript"/>
        </w:rPr>
        <w:t xml:space="preserve">1,3,</w:t>
      </w:r>
      <m:oMath>
        <m:r>
          <m:rPr>
            <m:sty m:val="p"/>
          </m:rPr>
          <m:t>†</m:t>
        </m:r>
      </m:oMath>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Faculty of Arts, Psychology and Theology, Åbo Akademi University</w:t>
      </w:r>
    </w:p>
    <w:p>
      <w:pPr>
        <w:pStyle w:val="BodyText"/>
      </w:pPr>
      <w:r>
        <w:rPr>
          <w:vertAlign w:val="superscript"/>
        </w:rPr>
        <w:t xml:space="preserve">3</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r>
        <w:t xml:space="preserve"> </w:t>
      </w:r>
      <w:hyperlink r:id="rId20">
        <w:r>
          <w:rPr>
            <w:rStyle w:val="Hyperlink"/>
          </w:rPr>
          <w:t xml:space="preserve">pekka.santtila@nyu.edu</w:t>
        </w:r>
      </w:hyperlink>
    </w:p>
    <w:p>
      <w:r>
        <w:br w:type="page"/>
      </w:r>
    </w:p>
    <w:bookmarkEnd w:id="21"/>
    <w:bookmarkStart w:id="22" w:name="abstract"/>
    <w:p>
      <w:pPr>
        <w:pStyle w:val="Heading1"/>
      </w:pPr>
      <w:r>
        <w:t xml:space="preserve">Abstract</w:t>
      </w:r>
    </w:p>
    <w:p>
      <w:pPr>
        <w:pStyle w:val="FirstParagraph"/>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heterosexual and homosexual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only when heterosexual men and women who successfully participated in the mating pool (i.e., those with a non-zero number of short-term mating experiences) were considered. Moreover, when men (vs. women) had stronger preferences for short-term mating, gay men had a higher average number of both experiences and mates compared to both lesbian women and heterosexual men. These results suggest that theoretically speaking, even when gender differences in mating preferences exist, those in short-term mating behaviors only occur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2"/>
    <w:bookmarkStart w:id="26" w:name="introduction"/>
    <w:p>
      <w:pPr>
        <w:pStyle w:val="Heading1"/>
      </w:pPr>
      <w:r>
        <w:t xml:space="preserve">Introduction</w:t>
      </w:r>
    </w:p>
    <w:p>
      <w:pPr>
        <w:pStyle w:val="FirstParagraph"/>
      </w:pPr>
      <w:r>
        <w:t xml:space="preserve">Gender differences in sexual behaviors, especially short-term mating behaviors, are well-documented in human sexuality research. For example, research has found that heterosexual men, as compared to heterosexual women, report to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Likewise, when a man has a new short-term mate, so does his partner.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strategy theory</w:t>
      </w:r>
      <w:r>
        <w:t xml:space="preserve"> </w:t>
      </w:r>
      <w:r>
        <w:t xml:space="preserve">(Buss &amp; Schmitt, 1993; Buss &amp; Schmitt, 2019)</w:t>
      </w:r>
      <w:r>
        <w:t xml:space="preserve">, which is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bookmarkStart w:id="23"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strategy theory</w:t>
      </w:r>
      <w:r>
        <w:t xml:space="preserve"> </w:t>
      </w:r>
      <w:r>
        <w:t xml:space="preserve">(Buss &amp; Schmitt, 1993; Buss &amp; Schmitt, 2019)</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the minimum percentile ranks of the desirability of a potential short-term sexual partner accepted by men were lower than those accepted by women, in terms of both the overall desirability and the desirability of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 between gay men and lesbian women, suggesting that these differences are based on individuals’ gender rather than their sexual orientation.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3"/>
    <w:bookmarkStart w:id="24" w:name="X9be0fcabdf7b9387d3ecdd374de3a6118b04f2d"/>
    <w:p>
      <w:pPr>
        <w:pStyle w:val="Heading2"/>
      </w:pPr>
      <w:r>
        <w:t xml:space="preserve">Constraints on men’s preferences for short-term mating</w:t>
      </w:r>
    </w:p>
    <w:p>
      <w:pPr>
        <w:pStyle w:val="FirstParagraph"/>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exception of sexual violence – can only translate into behaviors when there are women willing to have sex with them. When a new short-term mating encounter occurs, it counts towards both men’s total number of short-term mating encounters as well as women’s, and both men and women have new short-term mates. Therefore, the total number of short-term mating experiences and short-term mates must be equal between heterosexual men and women at the population level. In a closed population with equal sex ratio, it follows that the average number of experiences and mates should also be equal between men and women. Following this line of reasoning, we would expect to observe no gender difference in short-term mating behaviors among heterosexual individuals even when there were gender differences in mating preferences.</w:t>
      </w:r>
    </w:p>
    <w:p>
      <w:pPr>
        <w:pStyle w:val="BodyText"/>
      </w:pPr>
      <w:r>
        <w:t xml:space="preserve">However, it is important to note that although heterosexual men’s total number of short-term mating is equal to that of women, this does not necessarily mean that the total number of men and women who have ever had short-term mating must be equal. Since women have higher standards for short-term mates than men</w:t>
      </w:r>
      <w:r>
        <w:t xml:space="preserve"> </w:t>
      </w:r>
      <w:r>
        <w:t xml:space="preserve">(Buss &amp; Schmitt, 1993)</w:t>
      </w:r>
      <w:r>
        <w:t xml:space="preserve">, it is possible that the proportion of individuals who meet a potential partner’s standards is lower among men than among women, assuming both men and women’s desirability values follow the same distribution. Consequently, there may be a smaller proportion of men (vs. the proportion of women) who participate in the mating pool and contribute to the total number of short-term mating. For example, suppose that there is a population of 20 individuals with an equal sex ratio. There are 8 men and 8 women with a desirability value greater than x</w:t>
      </w:r>
      <w:r>
        <w:rPr>
          <w:vertAlign w:val="subscript"/>
        </w:rPr>
        <w:t xml:space="preserve">1</w:t>
      </w:r>
      <w:r>
        <w:t xml:space="preserve"> </w:t>
      </w:r>
      <w:r>
        <w:t xml:space="preserve">and 3 men and 3 women with a value greater than x</w:t>
      </w:r>
      <w:r>
        <w:rPr>
          <w:vertAlign w:val="subscript"/>
        </w:rPr>
        <w:t xml:space="preserve">2</w:t>
      </w:r>
      <w:r>
        <w:t xml:space="preserve"> </w:t>
      </w:r>
      <w:r>
        <w:t xml:space="preserve">(x</w:t>
      </w:r>
      <w:r>
        <w:rPr>
          <w:vertAlign w:val="subscript"/>
        </w:rPr>
        <w:t xml:space="preserve">1</w:t>
      </w:r>
      <w:r>
        <w:t xml:space="preserve"> </w:t>
      </w:r>
      <w:r>
        <w:t xml:space="preserve">&lt; x</w:t>
      </w:r>
      <w:r>
        <w:rPr>
          <w:vertAlign w:val="subscript"/>
        </w:rPr>
        <w:t xml:space="preserve">2</w:t>
      </w:r>
      <w:r>
        <w:t xml:space="preserve">). Suppose that x</w:t>
      </w:r>
      <w:r>
        <w:rPr>
          <w:vertAlign w:val="subscript"/>
        </w:rPr>
        <w:t xml:space="preserve">1</w:t>
      </w:r>
      <w:r>
        <w:t xml:space="preserve"> </w:t>
      </w:r>
      <w:r>
        <w:t xml:space="preserve">and x</w:t>
      </w:r>
      <w:r>
        <w:rPr>
          <w:vertAlign w:val="subscript"/>
        </w:rPr>
        <w:t xml:space="preserve">2</w:t>
      </w:r>
      <w:r>
        <w:t xml:space="preserve"> </w:t>
      </w:r>
      <w:r>
        <w:t xml:space="preserve">happen to be men and women’s standards for short-term mates, then in a long enough period of time, the 8 women who meet men’s standards and the 3 men who meet women’s standards will have had short-term mating. Since the total number of short-term mating behaviors is the same between men and women, we would expect that in a population of individuals who had any short-term mating, the average number of short-term mating experiences and mates was higher among men than women (e.g., in the aforementioned example, the number is n/3 for men and n/8 for women, where n can be the total number of short-term mating experiences or the number of short-term mates).</w:t>
      </w:r>
    </w:p>
    <w:p>
      <w:pPr>
        <w:pStyle w:val="BodyText"/>
      </w:pPr>
      <w:r>
        <w:t xml:space="preserve">As a comparison, in the cases of gay men and lesbian women, men’s preferences are not constrained by women’s, but only by those of other men, who, arguably, have a similar high interest in short-term mating. This would allow for a more direct behavioral expression of men’s mating preferences. The notion that gay men have less restricted preferences is borne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statistics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compared to heterosexual men, engaged in more short-term mating behaviors due to less constraints on their mating preferences.</w:t>
      </w:r>
    </w:p>
    <w:bookmarkEnd w:id="24"/>
    <w:bookmarkStart w:id="25"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upon encountering a mate and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also modeled forming long-term relationships as a background process. A pair of individuals had a possibility to commit to a long-term relationship upon meeting each other. We modeled forming long-term relationships as a behavioral outcome and ignored the psychological processes behind it, although we recognize gender differences may also exist in long-term mating strategy</w:t>
      </w:r>
      <w:r>
        <w:t xml:space="preserve"> </w:t>
      </w:r>
      <w:r>
        <w:t xml:space="preserve">(Buss &amp; Schmitt, 1993; Buss &amp; Schmitt, 2019)</w:t>
      </w:r>
      <w:r>
        <w:t xml:space="preserve">.</w:t>
      </w:r>
    </w:p>
    <w:p>
      <w:pPr>
        <w:pStyle w:val="BodyText"/>
      </w:pPr>
      <w:r>
        <w:t xml:space="preserve">We modeled these processes among both heterosexual individuals and gay men and lesbian women to examine whether constraints set by the opposite sex’s preferences would affect short-term mating behaviors. Individuals’ sexual orientation was conceptualized in terms of behaviors only in our model. Heterosexual men had short-term mating or formed a long-term relationship only with women, while gay men only with other men, and mutatis mutandis for women.</w:t>
      </w:r>
    </w:p>
    <w:p>
      <w:pPr>
        <w:pStyle w:val="BodyText"/>
      </w:pPr>
      <w:r>
        <w:t xml:space="preserve">We formulated the following hypotheses in the present study: assuming gender differences in preferences for short-term mating, 1) there would be no gender differences in short-term mating behaviors among all heterosexual men and women, 2) a smaller proportion of heterosexual men had ever engaged into short-term mating compared to the proportion of heterosexual women, 3) in a population of heterosexual individuals who had any short-term mating, men had higher average number of short-term mating behaviors than women, 4) there would be gender differences in short-term mating behaviors among gay men and lesbian women, with gay men being engaged in more such behaviors, and 5) gay men would engage in more short-term mating behaviors compared to heterosexual men.</w:t>
      </w:r>
    </w:p>
    <w:bookmarkEnd w:id="25"/>
    <w:bookmarkEnd w:id="26"/>
    <w:bookmarkStart w:id="36" w:name="material-and-methods"/>
    <w:p>
      <w:pPr>
        <w:pStyle w:val="Heading1"/>
      </w:pPr>
      <w:r>
        <w:t xml:space="preserve">Material and methods</w:t>
      </w:r>
    </w:p>
    <w:bookmarkStart w:id="27"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7"/>
    <w:bookmarkStart w:id="28"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bookmarkEnd w:id="28"/>
    <w:bookmarkStart w:id="33" w:name="model-schedule"/>
    <w:p>
      <w:pPr>
        <w:pStyle w:val="Heading2"/>
      </w:pPr>
      <w:r>
        <w:t xml:space="preserve">Model Schedule</w:t>
      </w:r>
    </w:p>
    <w:bookmarkStart w:id="29"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to the values discussed previously. Whether men and women had the same initial values depended on the experimental conditions.</w:t>
      </w:r>
    </w:p>
    <w:bookmarkEnd w:id="29"/>
    <w:bookmarkStart w:id="32" w:name="procedures"/>
    <w:p>
      <w:pPr>
        <w:pStyle w:val="Heading3"/>
      </w:pPr>
      <w:r>
        <w:t xml:space="preserve">Procedures</w:t>
      </w:r>
    </w:p>
    <w:bookmarkStart w:id="30" w:name="procedures-for-heterosexual-agents."/>
    <w:p>
      <w:pPr>
        <w:pStyle w:val="Heading4"/>
      </w:pPr>
      <w:r>
        <w:t xml:space="preserve">Procedures for heterosexual agents.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registered each other as their long-term partner.</w:t>
      </w:r>
    </w:p>
    <w:bookmarkEnd w:id="30"/>
    <w:bookmarkStart w:id="31" w:name="Xe1cc1384c0f050b89de564493c2e5ec567402a8"/>
    <w:p>
      <w:pPr>
        <w:pStyle w:val="Heading4"/>
      </w:pPr>
      <w:r>
        <w:t xml:space="preserve">Procedures for gay men and lesbian women agents.</w:t>
      </w:r>
    </w:p>
    <w:p>
      <w:pPr>
        <w:pStyle w:val="FirstParagraph"/>
      </w:pP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1"/>
    <w:bookmarkEnd w:id="32"/>
    <w:bookmarkEnd w:id="33"/>
    <w:bookmarkStart w:id="34"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4"/>
    <w:bookmarkStart w:id="35" w:name="statistical-analyses"/>
    <w:p>
      <w:pPr>
        <w:pStyle w:val="Heading2"/>
      </w:pPr>
      <w:r>
        <w:t xml:space="preserve">Statistical analyses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bookmarkEnd w:id="35"/>
    <w:bookmarkEnd w:id="36"/>
    <w:bookmarkStart w:id="41" w:name="results"/>
    <w:p>
      <w:pPr>
        <w:pStyle w:val="Heading1"/>
      </w:pPr>
      <w:r>
        <w:t xml:space="preserve">Results</w:t>
      </w:r>
    </w:p>
    <w:bookmarkStart w:id="37" w:name="X949c793c22b52c9ffc674c629a7f0bd0e581cca"/>
    <w:p>
      <w:pPr>
        <w:pStyle w:val="Heading2"/>
      </w:pPr>
      <w:r>
        <w:t xml:space="preserve">Gender differences in short-term mating behaviors in the full population</w:t>
      </w:r>
    </w:p>
    <w:p>
      <w:pPr>
        <w:pStyle w:val="FirstParagraph"/>
      </w:pPr>
      <w:r>
        <w:t xml:space="preserve">The results from Experiment 1 showed that when there were gender differences in preferences for short-term mating, there was no gender difference in the average number of short-term mating experiences among the full population of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0.00.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women</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0.00 (Figure</w:t>
      </w:r>
      <w:r>
        <w:t xml:space="preserve"> </w:t>
      </w:r>
      <w:r>
        <w:t xml:space="preserve">).</w:t>
      </w:r>
    </w:p>
    <w:p>
      <w:pPr>
        <w:pStyle w:val="BodyText"/>
      </w:pPr>
      <w:r>
        <w:t xml:space="preserve">The results from Experiment 2 showed that when there were gender differences in preferences for short-term mating, there were gender differences in short-term mating behaviors between gay men and lesbian women (Figure</w:t>
      </w:r>
      <w:r>
        <w:t xml:space="preserve"> </w:t>
      </w:r>
      <w:r>
        <w:t xml:space="preserve">).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w:t>
      </w:r>
    </w:p>
    <w:bookmarkEnd w:id="37"/>
    <w:bookmarkStart w:id="38" w:name="Xb56b281e4d051744c8f055cfb0a61ece73cea17"/>
    <w:p>
      <w:pPr>
        <w:pStyle w:val="Heading2"/>
      </w:pPr>
      <w:r>
        <w:t xml:space="preserve">Heterosexual individuals in the mating pool</w:t>
      </w:r>
    </w:p>
    <w:p>
      <w:pPr>
        <w:pStyle w:val="FirstParagraph"/>
      </w:pPr>
      <w:r>
        <w:t xml:space="preserve">In Experiment 1, there was a smaller proportion of heterosexual men in the mating pool (</w:t>
      </w:r>
      <w:r>
        <w:rPr>
          <w:iCs/>
          <w:i/>
        </w:rPr>
        <w:t xml:space="preserve">M</w:t>
      </w:r>
      <w:r>
        <w:t xml:space="preserve"> </w:t>
      </w:r>
      <w:r>
        <w:t xml:space="preserve">= 0.38,</w:t>
      </w:r>
      <w:r>
        <w:t xml:space="preserve"> </w:t>
      </w:r>
      <w:r>
        <w:rPr>
          <w:iCs/>
          <w:i/>
        </w:rPr>
        <w:t xml:space="preserve">SD</w:t>
      </w:r>
      <w:r>
        <w:t xml:space="preserve"> </w:t>
      </w:r>
      <w:r>
        <w:t xml:space="preserve">= 0.04) compared to women (</w:t>
      </w:r>
      <w:r>
        <w:rPr>
          <w:iCs/>
          <w:i/>
        </w:rPr>
        <w:t xml:space="preserve">M</w:t>
      </w:r>
      <w:r>
        <w:t xml:space="preserve"> </w:t>
      </w:r>
      <w:r>
        <w:t xml:space="preserve">= 0.51,</w:t>
      </w:r>
      <w:r>
        <w:t xml:space="preserve"> </w:t>
      </w:r>
      <w:r>
        <w:rPr>
          <w:iCs/>
          <w:i/>
        </w:rPr>
        <w:t xml:space="preserve">SD</w:t>
      </w:r>
      <w:r>
        <w:t xml:space="preserve"> </w:t>
      </w:r>
      <w:r>
        <w:t xml:space="preserve">= 0.05)),</w:t>
      </w:r>
      <w:r>
        <w:t xml:space="preserve"> </w:t>
      </w:r>
      <w:r>
        <w:rPr>
          <w:iCs/>
          <w:i/>
        </w:rPr>
        <w:t xml:space="preserve">t</w:t>
      </w:r>
      <w:r>
        <w:t xml:space="preserve">(4,998) = 104.85,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2.97. In this population, there were gender differences in short-term mating behaviors when men and women had differential preferences for short-term mating (Figure</w:t>
      </w:r>
      <w:r>
        <w:t xml:space="preserve"> </w:t>
      </w:r>
      <w:r>
        <w:rPr>
          <w:bCs/>
          <w:b/>
        </w:rPr>
        <w:t xml:space="preserve">x</w:t>
      </w:r>
      <w:r>
        <w:t xml:space="preserve">).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w:t>
      </w:r>
    </w:p>
    <w:bookmarkEnd w:id="38"/>
    <w:bookmarkStart w:id="39" w:name="comparing-heterosexual-and-gay-men"/>
    <w:p>
      <w:pPr>
        <w:pStyle w:val="Heading2"/>
      </w:pPr>
      <w:r>
        <w:t xml:space="preserve">Comparing heterosexual and gay men</w:t>
      </w:r>
    </w:p>
    <w:p>
      <w:pPr>
        <w:pStyle w:val="FirstParagraph"/>
      </w:pPr>
      <w:r>
        <w:t xml:space="preserve">Gay men engaged in short-term mating behaviors more than heterosexual men did (Figure</w:t>
      </w:r>
      <w:r>
        <w:t xml:space="preserve"> </w:t>
      </w:r>
      <w:r>
        <w:t xml:space="preserve">). The average number of short-term mating experiences (as calculated using the full population of men)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Similarly, the average number of short-term mates (as calculated using the full population of men)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w:t>
      </w:r>
    </w:p>
    <w:bookmarkEnd w:id="39"/>
    <w:bookmarkStart w:id="40" w:name="comparing-across-conditions"/>
    <w:p>
      <w:pPr>
        <w:pStyle w:val="Heading2"/>
      </w:pPr>
      <w:r>
        <w:t xml:space="preserve">Comparing across conditions</w:t>
      </w:r>
    </w:p>
    <w:p>
      <w:pPr>
        <w:pStyle w:val="FirstParagraph"/>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both when they had different short-term mating likelihood and when their mating standards were different.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40"/>
    <w:bookmarkEnd w:id="41"/>
    <w:bookmarkStart w:id="42" w:name="discussion"/>
    <w:p>
      <w:pPr>
        <w:pStyle w:val="Heading1"/>
      </w:pPr>
      <w:r>
        <w:t xml:space="preserve">Discussion</w:t>
      </w:r>
    </w:p>
    <w:p>
      <w:pPr>
        <w:pStyle w:val="FirstParagraph"/>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two hypotheses: 1) gay men would engage in more short-term mating behaviors as compared to lesbian women, and 2) gay men would engage in more short-term mating behaviors as compared to heterosexual men. The results from 1,000 time steps in a model simulating men and women’s mating behaviors provided strong evidence in favor of our hypotheses. First of all, as compared to lesbian women, gay men had higher average numbers of short-term mating experiences and short-term mates. Secondly, gay men also had higher average numbers of short-term mating experiences and short-term mates as compared to heterosexual men. In contrast, we found no gender differences in short-term mating behaviors between heterosexual men and women, although heterosexual men in the mating pool had higher average numbers of short-term mating experiences and short-term mates.</w:t>
      </w:r>
    </w:p>
    <w:p>
      <w:pPr>
        <w:pStyle w:val="BodyText"/>
      </w:pPr>
      <w:r>
        <w:t xml:space="preserve">As expected, heterosexual men and women did not differ in short-term mating behaviors despite their differential preferences for short-term mating. This was because heterosexual men and women had an equal total number of both short-term mating experiences and short-term mates. This is not surprising since the sex ratio was 1:1 in our model.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as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when heterosexual men and women had different mating standards, but not when they had different short-term mating likelihood. When women had a higher standard than men did,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 In comparison, even when men and women had different short-term mating likelihood, the probability of any pair of them ending up having sex is the product of their individual likelihood (since men and women made decisions independently). As this probability is the same for both parties, the gender difference in short-term mating likelihood did not translate into different behaviors.</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Our results suggest that when this group of individuals is considered, there can be gender differences in short-term mating behaviors that do not exist in the full population. A second explanation is that heterosexual men and women’s self-reported sexual behaviors are affected by social desirability bias due to gender norms. Men may overreport since having more sexual partners can show their masculinity and yield them reputation benefits, while women may underreport because this violates the chastity norm</w:t>
      </w:r>
      <w:r>
        <w:t xml:space="preserve"> </w:t>
      </w:r>
      <w:r>
        <w:t xml:space="preserve">(Fisher, 2013)</w:t>
      </w:r>
      <w:r>
        <w:t xml:space="preserve">. A third explanation is that men and women have different estimation strategies of their sexual experiences. Men may tend to approximate and round up, while women’s tendency to count instances may lead to lower estimations</w:t>
      </w:r>
      <w:r>
        <w:t xml:space="preserve"> </w:t>
      </w:r>
      <w:r>
        <w:t xml:space="preserve">(Brown &amp; Sinclair, 1999; Mitchell et al., 2019)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as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a stronger preferences for short-term mating (i.e., having men vs. having women as potential partners), men also appeared to engage in more short-term mating behaviors.</w:t>
      </w:r>
    </w:p>
    <w:bookmarkEnd w:id="42"/>
    <w:bookmarkStart w:id="43" w:name="conclusion"/>
    <w:p>
      <w:pPr>
        <w:pStyle w:val="Heading1"/>
      </w:pPr>
      <w:r>
        <w:t xml:space="preserve">Conclusion</w:t>
      </w:r>
    </w:p>
    <w:p>
      <w:pPr>
        <w:pStyle w:val="FirstParagraph"/>
      </w:pPr>
      <w:r>
        <w:t xml:space="preserve">Using agent-based modeling to simulate short-term mating behaviors, we found when men (vs. women) had a stronger preferences for short-term mating, heterosexual men and women engaged in short-term mating behaviors to the same extent, while gay men engaged in more short-term mating behaviors as compared to lesbian women. Gay men engaged in more short-term mating behaviors than heterosexual men did.</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cautiously.</w:t>
      </w:r>
    </w:p>
    <w:bookmarkEnd w:id="43"/>
    <w:bookmarkStart w:id="44" w:name="acknowledgements"/>
    <w:p>
      <w:pPr>
        <w:pStyle w:val="Heading1"/>
      </w:pPr>
      <w:r>
        <w:t xml:space="preserve">Acknowledgements</w:t>
      </w:r>
    </w:p>
    <w:bookmarkEnd w:id="44"/>
    <w:bookmarkStart w:id="45"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5"/>
    <w:bookmarkStart w:id="100" w:name="references"/>
    <w:p>
      <w:pPr>
        <w:pStyle w:val="Heading1"/>
      </w:pPr>
      <w:r>
        <w:t xml:space="preserve">References</w:t>
      </w:r>
    </w:p>
    <w:bookmarkStart w:id="99" w:name="refs"/>
    <w:bookmarkStart w:id="47"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6">
        <w:r>
          <w:rPr>
            <w:rStyle w:val="Hyperlink"/>
          </w:rPr>
          <w:t xml:space="preserve">https://doi.org/10.1111/brv.12507</w:t>
        </w:r>
      </w:hyperlink>
    </w:p>
    <w:bookmarkEnd w:id="47"/>
    <w:bookmarkStart w:id="49"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8">
        <w:r>
          <w:rPr>
            <w:rStyle w:val="Hyperlink"/>
          </w:rPr>
          <w:t xml:space="preserve">https://doi.org/10.1037/0022-3514.66.6.1081</w:t>
        </w:r>
      </w:hyperlink>
    </w:p>
    <w:bookmarkEnd w:id="49"/>
    <w:bookmarkStart w:id="51"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0">
        <w:r>
          <w:rPr>
            <w:rStyle w:val="Hyperlink"/>
          </w:rPr>
          <w:t xml:space="preserve">https://doi.org/10.1080/00224499909551999</w:t>
        </w:r>
      </w:hyperlink>
    </w:p>
    <w:bookmarkEnd w:id="51"/>
    <w:bookmarkStart w:id="53"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2">
        <w:r>
          <w:rPr>
            <w:rStyle w:val="Hyperlink"/>
          </w:rPr>
          <w:t xml:space="preserve">https://doi.org/10.1300/J041v01n02_06</w:t>
        </w:r>
      </w:hyperlink>
    </w:p>
    <w:bookmarkEnd w:id="53"/>
    <w:bookmarkStart w:id="55"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4">
        <w:r>
          <w:rPr>
            <w:rStyle w:val="Hyperlink"/>
          </w:rPr>
          <w:t xml:space="preserve">https://doi.org/doi:10.1037/0033-295X.100.2.204d</w:t>
        </w:r>
      </w:hyperlink>
    </w:p>
    <w:bookmarkEnd w:id="55"/>
    <w:bookmarkStart w:id="56" w:name="ref-buss2019mate"/>
    <w:p>
      <w:pPr>
        <w:pStyle w:val="Bibliography"/>
      </w:pPr>
      <w:r>
        <w:t xml:space="preserve">Buss, D. M., &amp; Schmitt, D. P. (2019). Mate preferences and their behavioral manifestations.</w:t>
      </w:r>
      <w:r>
        <w:t xml:space="preserve"> </w:t>
      </w:r>
      <w:r>
        <w:rPr>
          <w:iCs/>
          <w:i/>
        </w:rPr>
        <w:t xml:space="preserve">Annual Review of Psychology</w:t>
      </w:r>
      <w:r>
        <w:t xml:space="preserve">,</w:t>
      </w:r>
      <w:r>
        <w:t xml:space="preserve"> </w:t>
      </w:r>
      <w:r>
        <w:rPr>
          <w:iCs/>
          <w:i/>
        </w:rPr>
        <w:t xml:space="preserve">70</w:t>
      </w:r>
      <w:r>
        <w:t xml:space="preserve">, 77–110.</w:t>
      </w:r>
    </w:p>
    <w:bookmarkEnd w:id="56"/>
    <w:bookmarkStart w:id="58"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7">
        <w:r>
          <w:rPr>
            <w:rStyle w:val="Hyperlink"/>
          </w:rPr>
          <w:t xml:space="preserve">https://doi.org/10.1177/0963721411418467</w:t>
        </w:r>
      </w:hyperlink>
    </w:p>
    <w:bookmarkEnd w:id="58"/>
    <w:bookmarkStart w:id="59" w:name="ref-fisher2013gender"/>
    <w:p>
      <w:pPr>
        <w:pStyle w:val="Bibliography"/>
      </w:pPr>
      <w:r>
        <w:t xml:space="preserve">Fisher, T. D. (2013). Gender roles and pressure to be truthful: The bogus pipeline modifies gender differences in sexual but not non-sexual behavior.</w:t>
      </w:r>
      <w:r>
        <w:t xml:space="preserve"> </w:t>
      </w:r>
      <w:r>
        <w:rPr>
          <w:iCs/>
          <w:i/>
        </w:rPr>
        <w:t xml:space="preserve">Sex Roles</w:t>
      </w:r>
      <w:r>
        <w:t xml:space="preserve">,</w:t>
      </w:r>
      <w:r>
        <w:t xml:space="preserve"> </w:t>
      </w:r>
      <w:r>
        <w:rPr>
          <w:iCs/>
          <w:i/>
        </w:rPr>
        <w:t xml:space="preserve">68</w:t>
      </w:r>
      <w:r>
        <w:t xml:space="preserve">(7), 401–414.</w:t>
      </w:r>
    </w:p>
    <w:bookmarkEnd w:id="59"/>
    <w:bookmarkStart w:id="61"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60">
        <w:r>
          <w:rPr>
            <w:rStyle w:val="Hyperlink"/>
          </w:rPr>
          <w:t xml:space="preserve">https://www.nature.com/articles/342012d0</w:t>
        </w:r>
      </w:hyperlink>
    </w:p>
    <w:bookmarkEnd w:id="61"/>
    <w:bookmarkStart w:id="63"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2">
        <w:r>
          <w:rPr>
            <w:rStyle w:val="Hyperlink"/>
          </w:rPr>
          <w:t xml:space="preserve">https://doi.org/10.1016/j.evolhumbehav.2010.07.004</w:t>
        </w:r>
      </w:hyperlink>
    </w:p>
    <w:bookmarkEnd w:id="63"/>
    <w:bookmarkStart w:id="65"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4">
        <w:r>
          <w:rPr>
            <w:rStyle w:val="Hyperlink"/>
          </w:rPr>
          <w:t xml:space="preserve">https://doi.org/10.1371/journal.pone.0181198</w:t>
        </w:r>
      </w:hyperlink>
    </w:p>
    <w:bookmarkEnd w:id="65"/>
    <w:bookmarkStart w:id="67"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6">
        <w:r>
          <w:rPr>
            <w:rStyle w:val="Hyperlink"/>
          </w:rPr>
          <w:t xml:space="preserve">https://doi.org/10.1111/j.1467-6494.1990.tb00909.x</w:t>
        </w:r>
      </w:hyperlink>
    </w:p>
    <w:bookmarkEnd w:id="67"/>
    <w:bookmarkStart w:id="69"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8">
        <w:r>
          <w:rPr>
            <w:rStyle w:val="Hyperlink"/>
          </w:rPr>
          <w:t xml:space="preserve">https://doi.org/10.1007/s10508-020-01864-y</w:t>
        </w:r>
      </w:hyperlink>
    </w:p>
    <w:bookmarkEnd w:id="69"/>
    <w:bookmarkStart w:id="71"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70">
        <w:r>
          <w:rPr>
            <w:rStyle w:val="Hyperlink"/>
          </w:rPr>
          <w:t xml:space="preserve">https://doi.org/10.1016/j.evolhumbehav.2004.09.005</w:t>
        </w:r>
      </w:hyperlink>
    </w:p>
    <w:bookmarkEnd w:id="71"/>
    <w:bookmarkStart w:id="73" w:name="ref-mitchell_why_2019"/>
    <w:p>
      <w:pPr>
        <w:pStyle w:val="Bibliography"/>
      </w:pPr>
      <w:r>
        <w:t xml:space="preserve">Mitchell, K. R., Mercer, C. H., Prah, P., Clifton, S., Tanton, C., Wellings, K., &amp; Copas, A. (2019). Why do men report more opposite-sex sexual partners than women? Analysis of the gender discrepancy in a british national probability survey.</w:t>
      </w:r>
      <w:r>
        <w:t xml:space="preserve"> </w:t>
      </w:r>
      <w:r>
        <w:rPr>
          <w:iCs/>
          <w:i/>
        </w:rPr>
        <w:t xml:space="preserve">The Journal of Sex Research</w:t>
      </w:r>
      <w:r>
        <w:t xml:space="preserve">,</w:t>
      </w:r>
      <w:r>
        <w:t xml:space="preserve"> </w:t>
      </w:r>
      <w:r>
        <w:rPr>
          <w:iCs/>
          <w:i/>
        </w:rPr>
        <w:t xml:space="preserve">56</w:t>
      </w:r>
      <w:r>
        <w:t xml:space="preserve">(1), 1–8.</w:t>
      </w:r>
      <w:r>
        <w:t xml:space="preserve"> </w:t>
      </w:r>
      <w:hyperlink r:id="rId72">
        <w:r>
          <w:rPr>
            <w:rStyle w:val="Hyperlink"/>
          </w:rPr>
          <w:t xml:space="preserve">https://doi.org/10.1080/00224499.2018.1481193</w:t>
        </w:r>
      </w:hyperlink>
    </w:p>
    <w:bookmarkEnd w:id="73"/>
    <w:bookmarkStart w:id="75"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4">
        <w:r>
          <w:rPr>
            <w:rStyle w:val="Hyperlink"/>
          </w:rPr>
          <w:t xml:space="preserve">http://dx.doi.org/10.1037/0033-2909.114.1.29</w:t>
        </w:r>
      </w:hyperlink>
    </w:p>
    <w:bookmarkEnd w:id="75"/>
    <w:bookmarkStart w:id="76"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6"/>
    <w:bookmarkStart w:id="77"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7"/>
    <w:bookmarkStart w:id="79"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8">
        <w:r>
          <w:rPr>
            <w:rStyle w:val="Hyperlink"/>
          </w:rPr>
          <w:t xml:space="preserve">https://doi.org/10.1037/a0017504</w:t>
        </w:r>
      </w:hyperlink>
    </w:p>
    <w:bookmarkEnd w:id="79"/>
    <w:bookmarkStart w:id="81"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82">
        <w:r>
          <w:rPr>
            <w:rStyle w:val="Hyperlink"/>
          </w:rPr>
          <w:t xml:space="preserve">https://doi.org/10.1300/J056v10n01_04</w:t>
        </w:r>
      </w:hyperlink>
    </w:p>
    <w:bookmarkEnd w:id="83"/>
    <w:bookmarkStart w:id="85"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4">
        <w:r>
          <w:rPr>
            <w:rStyle w:val="Hyperlink"/>
          </w:rPr>
          <w:t xml:space="preserve">https://doi.org/10.1071/SH14105</w:t>
        </w:r>
      </w:hyperlink>
    </w:p>
    <w:bookmarkEnd w:id="85"/>
    <w:bookmarkStart w:id="87"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6">
        <w:r>
          <w:rPr>
            <w:rStyle w:val="Hyperlink"/>
          </w:rPr>
          <w:t xml:space="preserve">https://doi.org/10.1037/0022-3514.85.1.85</w:t>
        </w:r>
      </w:hyperlink>
    </w:p>
    <w:bookmarkEnd w:id="87"/>
    <w:bookmarkStart w:id="89"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8">
        <w:r>
          <w:rPr>
            <w:rStyle w:val="Hyperlink"/>
          </w:rPr>
          <w:t xml:space="preserve">https://doi.org/10.1080/14616660110119331</w:t>
        </w:r>
      </w:hyperlink>
    </w:p>
    <w:bookmarkEnd w:id="89"/>
    <w:bookmarkStart w:id="90"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90"/>
    <w:bookmarkStart w:id="92"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91">
        <w:r>
          <w:rPr>
            <w:rStyle w:val="Hyperlink"/>
          </w:rPr>
          <w:t xml:space="preserve">https://doi.org/10.1177/0956797620904154</w:t>
        </w:r>
      </w:hyperlink>
    </w:p>
    <w:bookmarkEnd w:id="92"/>
    <w:bookmarkStart w:id="94"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3">
        <w:r>
          <w:rPr>
            <w:rStyle w:val="Hyperlink"/>
          </w:rPr>
          <w:t xml:space="preserve">https://ggplot2.tidyverse.org</w:t>
        </w:r>
      </w:hyperlink>
    </w:p>
    <w:bookmarkEnd w:id="94"/>
    <w:bookmarkStart w:id="96"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5">
        <w:r>
          <w:rPr>
            <w:rStyle w:val="Hyperlink"/>
          </w:rPr>
          <w:t xml:space="preserve">https://doi.org/10.1016/S1090-5138(98)00006-3</w:t>
        </w:r>
      </w:hyperlink>
    </w:p>
    <w:bookmarkEnd w:id="96"/>
    <w:bookmarkStart w:id="98"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7">
        <w:r>
          <w:rPr>
            <w:rStyle w:val="Hyperlink"/>
          </w:rPr>
          <w:t xml:space="preserve">http://ccl.northwestern.edu/netlogo/</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ccl.northwestern.edu/netlogo/" TargetMode="External" /><Relationship Type="http://schemas.openxmlformats.org/officeDocument/2006/relationships/hyperlink" Id="rId74" Target="http://dx.doi.org/10.1037/0033-2909.114.1.29" TargetMode="External" /><Relationship Type="http://schemas.openxmlformats.org/officeDocument/2006/relationships/hyperlink" Id="rId68" Target="https://doi.org/10.1007/s10508-020-01864-y" TargetMode="External" /><Relationship Type="http://schemas.openxmlformats.org/officeDocument/2006/relationships/hyperlink" Id="rId95" Target="https://doi.org/10.1016/S1090-5138(98)00006-3" TargetMode="External" /><Relationship Type="http://schemas.openxmlformats.org/officeDocument/2006/relationships/hyperlink" Id="rId70"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6" Target="https://doi.org/10.1037/0022-3514.85.1.85" TargetMode="External" /><Relationship Type="http://schemas.openxmlformats.org/officeDocument/2006/relationships/hyperlink" Id="rId78" Target="https://doi.org/10.1037/a0017504" TargetMode="External" /><Relationship Type="http://schemas.openxmlformats.org/officeDocument/2006/relationships/hyperlink" Id="rId84" Target="https://doi.org/10.1071/SH14105" TargetMode="External" /><Relationship Type="http://schemas.openxmlformats.org/officeDocument/2006/relationships/hyperlink" Id="rId72"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88"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6" Target="https://doi.org/10.1111/j.1467-6494.1990.tb00909.x" TargetMode="External" /><Relationship Type="http://schemas.openxmlformats.org/officeDocument/2006/relationships/hyperlink" Id="rId91"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2" Target="https://doi.org/10.1300/J056v10n01_04" TargetMode="External" /><Relationship Type="http://schemas.openxmlformats.org/officeDocument/2006/relationships/hyperlink" Id="rId64"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3" Target="https://ggplot2.tidyverse.org" TargetMode="External" /><Relationship Type="http://schemas.openxmlformats.org/officeDocument/2006/relationships/hyperlink" Id="rId80" Target="https://www.R-project.org/" TargetMode="External" /><Relationship Type="http://schemas.openxmlformats.org/officeDocument/2006/relationships/hyperlink" Id="rId60" Target="https://www.nature.com/articles/342012d0" TargetMode="External" /><Relationship Type="http://schemas.openxmlformats.org/officeDocument/2006/relationships/hyperlink" Id="rId20" Target="pekka.santtila@nyu.edu" TargetMode="External" /></Relationships>
</file>

<file path=word/_rels/footnotes.xml.rels><?xml version="1.0" encoding="UTF-8"?><Relationships xmlns="http://schemas.openxmlformats.org/package/2006/relationships"><Relationship Type="http://schemas.openxmlformats.org/officeDocument/2006/relationships/hyperlink" Id="rId97" Target="http://ccl.northwestern.edu/netlogo/" TargetMode="External" /><Relationship Type="http://schemas.openxmlformats.org/officeDocument/2006/relationships/hyperlink" Id="rId74" Target="http://dx.doi.org/10.1037/0033-2909.114.1.29" TargetMode="External" /><Relationship Type="http://schemas.openxmlformats.org/officeDocument/2006/relationships/hyperlink" Id="rId68" Target="https://doi.org/10.1007/s10508-020-01864-y" TargetMode="External" /><Relationship Type="http://schemas.openxmlformats.org/officeDocument/2006/relationships/hyperlink" Id="rId95" Target="https://doi.org/10.1016/S1090-5138(98)00006-3" TargetMode="External" /><Relationship Type="http://schemas.openxmlformats.org/officeDocument/2006/relationships/hyperlink" Id="rId70"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6" Target="https://doi.org/10.1037/0022-3514.85.1.85" TargetMode="External" /><Relationship Type="http://schemas.openxmlformats.org/officeDocument/2006/relationships/hyperlink" Id="rId78" Target="https://doi.org/10.1037/a0017504" TargetMode="External" /><Relationship Type="http://schemas.openxmlformats.org/officeDocument/2006/relationships/hyperlink" Id="rId84" Target="https://doi.org/10.1071/SH14105" TargetMode="External" /><Relationship Type="http://schemas.openxmlformats.org/officeDocument/2006/relationships/hyperlink" Id="rId72"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88"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6" Target="https://doi.org/10.1111/j.1467-6494.1990.tb00909.x" TargetMode="External" /><Relationship Type="http://schemas.openxmlformats.org/officeDocument/2006/relationships/hyperlink" Id="rId91"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2" Target="https://doi.org/10.1300/J056v10n01_04" TargetMode="External" /><Relationship Type="http://schemas.openxmlformats.org/officeDocument/2006/relationships/hyperlink" Id="rId64"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3" Target="https://ggplot2.tidyverse.org" TargetMode="External" /><Relationship Type="http://schemas.openxmlformats.org/officeDocument/2006/relationships/hyperlink" Id="rId80" Target="https://www.R-project.org/" TargetMode="External" /><Relationship Type="http://schemas.openxmlformats.org/officeDocument/2006/relationships/hyperlink" Id="rId60" Target="https://www.nature.com/articles/342012d0" TargetMode="External" /><Relationship Type="http://schemas.openxmlformats.org/officeDocument/2006/relationships/hyperlink" Id="rId20" Target="pekka.santtila@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2022-06-01T07:34:19Z</dcterms:created>
  <dcterms:modified xsi:type="dcterms:W3CDTF">2022-06-01T07:34:19Z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