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Bass</w:t>
      </w:r>
      <w:r>
        <w:t xml:space="preserve"> </w:t>
      </w:r>
      <w:r>
        <w:t xml:space="preserve">Model</w:t>
      </w:r>
      <w:r>
        <w:t xml:space="preserve"> </w:t>
      </w:r>
      <w:r>
        <w:t xml:space="preserve">Homework:</w:t>
      </w:r>
      <w:r>
        <w:t xml:space="preserve"> </w:t>
      </w:r>
      <w:r>
        <w:t xml:space="preserve">BYD</w:t>
      </w:r>
      <w:r>
        <w:t xml:space="preserve"> </w:t>
      </w:r>
      <w:r>
        <w:t xml:space="preserve">Seagull</w:t>
      </w:r>
    </w:p>
    <w:p>
      <w:pPr>
        <w:pStyle w:val="Subtitle"/>
      </w:pPr>
      <w:r>
        <w:t xml:space="preserve">DS</w:t>
      </w:r>
      <w:r>
        <w:t xml:space="preserve"> </w:t>
      </w:r>
      <w:r>
        <w:t xml:space="preserve">223</w:t>
      </w:r>
      <w:r>
        <w:t xml:space="preserve"> </w:t>
      </w:r>
      <w:r>
        <w:t xml:space="preserve">Marketing</w:t>
      </w:r>
      <w:r>
        <w:t xml:space="preserve"> </w:t>
      </w:r>
      <w:r>
        <w:t xml:space="preserve">Analytics</w:t>
      </w:r>
    </w:p>
    <w:p>
      <w:pPr>
        <w:pStyle w:val="Author"/>
      </w:pPr>
      <w:r>
        <w:t xml:space="preserve">Elen</w:t>
      </w:r>
      <w:r>
        <w:t xml:space="preserve"> </w:t>
      </w:r>
      <w:r>
        <w:t xml:space="preserve">Aydinyan</w:t>
      </w:r>
    </w:p>
    <w:p>
      <w:pPr>
        <w:pStyle w:val="Date"/>
      </w:pPr>
      <w:r>
        <w:t xml:space="preserve">October</w:t>
      </w:r>
      <w:r>
        <w:t xml:space="preserve"> </w:t>
      </w:r>
      <w:r>
        <w:t xml:space="preserve">2026</w:t>
      </w:r>
    </w:p>
    <w:bookmarkStart w:id="21" w:name="chosen-innovation"/>
    <w:p>
      <w:pPr>
        <w:pStyle w:val="Heading1"/>
      </w:pPr>
      <w:r>
        <w:t xml:space="preserve">1. Chosen innovation</w:t>
      </w:r>
    </w:p>
    <w:p>
      <w:pPr>
        <w:pStyle w:val="FirstParagraph"/>
      </w:pPr>
      <w:r>
        <w:t xml:space="preserve">I chose the</w:t>
      </w:r>
      <w:r>
        <w:t xml:space="preserve"> </w:t>
      </w:r>
      <w:r>
        <w:rPr>
          <w:bCs/>
          <w:b/>
        </w:rPr>
        <w:t xml:space="preserve">BYD Seagull</w:t>
      </w:r>
      <w:r>
        <w:t xml:space="preserve">, which is in the Transportation category of TIME’s Best Inventions of 2025 [1].</w:t>
      </w:r>
    </w:p>
    <w:p>
      <w:pPr>
        <w:pStyle w:val="BodyText"/>
      </w:pPr>
      <w:r>
        <w:t xml:space="preserve">Link:</w:t>
      </w:r>
      <w:r>
        <w:t xml:space="preserve"> </w:t>
      </w:r>
      <w:hyperlink r:id="rId20">
        <w:r>
          <w:rPr>
            <w:rStyle w:val="Hyperlink"/>
          </w:rPr>
          <w:t xml:space="preserve">https://time.com/collections/best-inventions-2025/7318540/byd-seagull/</w:t>
        </w:r>
      </w:hyperlink>
    </w:p>
    <w:p>
      <w:pPr>
        <w:pStyle w:val="BodyText"/>
      </w:pPr>
      <w:r>
        <w:t xml:space="preserve">The Seagull is a small, cheap electric car made by the Chinese company BYD. It launched in China on 27 April 2023 for under CN¥90,000 (about $12,000) [2], and the 2025 version starts at about $9,650 [3]. That is cheaper than many gasoline cars. Outside China it is sold under other names: Dolphin Mini in Latin America, Dolphin Surf in Europe and Atto 1 in Southeast Asia and Australia [2]. It also won the 2025 World Urban Car award [4]. What makes it an innovation to me is not a single new feature, but that it makes electric cars affordable for normal people.</w:t>
      </w:r>
    </w:p>
    <w:bookmarkEnd w:id="21"/>
    <w:bookmarkStart w:id="22" w:name="look-alike-innovation"/>
    <w:p>
      <w:pPr>
        <w:pStyle w:val="Heading1"/>
      </w:pPr>
      <w:r>
        <w:t xml:space="preserve">2. Look-alike innovation</w:t>
      </w:r>
    </w:p>
    <w:p>
      <w:pPr>
        <w:pStyle w:val="FirstParagraph"/>
      </w:pPr>
      <w:r>
        <w:t xml:space="preserve">As the look-alike I picked</w:t>
      </w:r>
      <w:r>
        <w:t xml:space="preserve"> </w:t>
      </w:r>
      <w:r>
        <w:rPr>
          <w:bCs/>
          <w:b/>
        </w:rPr>
        <w:t xml:space="preserve">Tesla</w:t>
      </w:r>
      <w:r>
        <w:t xml:space="preserve">, using Tesla’s yearly car deliveries from 2012 to 2025.</w:t>
      </w:r>
    </w:p>
    <w:p>
      <w:pPr>
        <w:pStyle w:val="BodyText"/>
      </w:pPr>
      <w:r>
        <w:t xml:space="preserve">I first thought about other cheap Chinese EVs like the Wuling Hongguang Mini EV, but their sales data was messy and different sources gave different numbers. Tesla is the better comparison, for these reasons:</w:t>
      </w:r>
    </w:p>
    <w:p>
      <w:pPr>
        <w:numPr>
          <w:ilvl w:val="0"/>
          <w:numId w:val="1001"/>
        </w:numPr>
        <w:pStyle w:val="Compact"/>
      </w:pPr>
      <w:r>
        <w:rPr>
          <w:bCs/>
          <w:b/>
        </w:rPr>
        <w:t xml:space="preserve">Functionality:</w:t>
      </w:r>
      <w:r>
        <w:t xml:space="preserve"> </w:t>
      </w:r>
      <w:r>
        <w:t xml:space="preserve">both are battery electric cars that you charge at home or at a station instead of filling with gasoline.</w:t>
      </w:r>
    </w:p>
    <w:p>
      <w:pPr>
        <w:numPr>
          <w:ilvl w:val="0"/>
          <w:numId w:val="1001"/>
        </w:numPr>
        <w:pStyle w:val="Compact"/>
      </w:pPr>
      <w:r>
        <w:rPr>
          <w:bCs/>
          <w:b/>
        </w:rPr>
        <w:t xml:space="preserve">Technology:</w:t>
      </w:r>
      <w:r>
        <w:t xml:space="preserve"> </w:t>
      </w:r>
      <w:r>
        <w:t xml:space="preserve">both are built on the same main ideas: a lithium-ion battery pack, an electric motor and a lot of software in the car.</w:t>
      </w:r>
    </w:p>
    <w:p>
      <w:pPr>
        <w:numPr>
          <w:ilvl w:val="0"/>
          <w:numId w:val="1001"/>
        </w:numPr>
        <w:pStyle w:val="Compact"/>
      </w:pPr>
      <w:r>
        <w:rPr>
          <w:bCs/>
          <w:b/>
        </w:rPr>
        <w:t xml:space="preserve">Market impact:</w:t>
      </w:r>
      <w:r>
        <w:t xml:space="preserve"> </w:t>
      </w:r>
      <w:r>
        <w:t xml:space="preserve">Tesla is the company that made people take electric cars seriously, and it became the world’s best-known EV brand. BYD is now doing the next step: making EVs cheap enough for the mass market.</w:t>
      </w:r>
    </w:p>
    <w:p>
      <w:pPr>
        <w:pStyle w:val="FirstParagraph"/>
      </w:pPr>
      <w:r>
        <w:t xml:space="preserve">The big difference is the price. Teslas cost several times more than a Seagull, and Tesla started as a luxury brand. Because of this, I expect people to adopt the two in a different way at the beginning, which I discuss in Section 5.</w:t>
      </w:r>
    </w:p>
    <w:bookmarkEnd w:id="22"/>
    <w:bookmarkStart w:id="23" w:name="historical-data"/>
    <w:p>
      <w:pPr>
        <w:pStyle w:val="Heading1"/>
      </w:pPr>
      <w:r>
        <w:t xml:space="preserve">3. Historical data</w:t>
      </w:r>
    </w:p>
    <w:p>
      <w:pPr>
        <w:pStyle w:val="FirstParagraph"/>
      </w:pPr>
      <w:r>
        <w:t xml:space="preserve">Since Statista only works on AUA Wi-Fi, I used Tesla’s own delivery reports, which Tesla publishes every quarter [5][6].</w:t>
      </w:r>
    </w:p>
    <w:tbl>
      <w:tblPr>
        <w:tblStyle w:val="Table"/>
        <w:tblW w:type="auto" w:w="0"/>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Pr>
      <w:tblGrid>
        <w:gridCol w:w="1980"/>
        <w:gridCol w:w="1980"/>
        <w:gridCol w:w="1980"/>
        <w:gridCol w:w="1980"/>
      </w:tblGrid>
      <w:tr>
        <w:trPr>
          <w:tblHeader w:val="true"/>
        </w:trPr>
        <w:tc>
          <w:tcPr>
            <w:shd w:val="clear" w:fill="E3F2EB"/>
          </w:tcPr>
          <w:p>
            <w:pPr>
              <w:pStyle w:val="Compact"/>
              <w:jc w:val="left"/>
            </w:pPr>
            <w:r>
              <w:rPr>
                <w:b/>
                <w:sz w:val="20"/>
              </w:rPr>
              <w:t xml:space="preserve">Year</w:t>
            </w:r>
          </w:p>
        </w:tc>
        <w:tc>
          <w:tcPr>
            <w:shd w:val="clear" w:fill="E3F2EB"/>
          </w:tcPr>
          <w:p>
            <w:pPr>
              <w:pStyle w:val="Compact"/>
              <w:jc w:val="left"/>
            </w:pPr>
            <w:r>
              <w:rPr>
                <w:b/>
                <w:sz w:val="20"/>
              </w:rPr>
              <w:t xml:space="preserve">Tesla deliveries</w:t>
            </w:r>
          </w:p>
        </w:tc>
        <w:tc>
          <w:tcPr>
            <w:shd w:val="clear" w:fill="E3F2EB"/>
          </w:tcPr>
          <w:p>
            <w:pPr>
              <w:pStyle w:val="Compact"/>
              <w:jc w:val="left"/>
            </w:pPr>
            <w:r>
              <w:rPr>
                <w:b/>
                <w:sz w:val="20"/>
              </w:rPr>
              <w:t xml:space="preserve">Year</w:t>
            </w:r>
          </w:p>
        </w:tc>
        <w:tc>
          <w:tcPr>
            <w:shd w:val="clear" w:fill="E3F2EB"/>
          </w:tcPr>
          <w:p>
            <w:pPr>
              <w:pStyle w:val="Compact"/>
              <w:jc w:val="left"/>
            </w:pPr>
            <w:r>
              <w:rPr>
                <w:b/>
                <w:sz w:val="20"/>
              </w:rPr>
              <w:t xml:space="preserve">Tesla deliveries</w:t>
            </w:r>
          </w:p>
        </w:tc>
      </w:tr>
      <w:tr>
        <w:tc>
          <w:tcPr/>
          <w:p>
            <w:pPr>
              <w:pStyle w:val="Compact"/>
              <w:jc w:val="left"/>
            </w:pPr>
            <w:r>
              <w:rPr>
                <w:sz w:val="20"/>
              </w:rPr>
              <w:t xml:space="preserve">2012</w:t>
            </w:r>
          </w:p>
        </w:tc>
        <w:tc>
          <w:tcPr/>
          <w:p>
            <w:pPr>
              <w:pStyle w:val="Compact"/>
              <w:jc w:val="left"/>
            </w:pPr>
            <w:r>
              <w:rPr>
                <w:sz w:val="20"/>
              </w:rPr>
              <w:t xml:space="preserve">2,650</w:t>
            </w:r>
          </w:p>
        </w:tc>
        <w:tc>
          <w:tcPr/>
          <w:p>
            <w:pPr>
              <w:pStyle w:val="Compact"/>
              <w:jc w:val="left"/>
            </w:pPr>
            <w:r>
              <w:rPr>
                <w:sz w:val="20"/>
              </w:rPr>
              <w:t xml:space="preserve">2019</w:t>
            </w:r>
          </w:p>
        </w:tc>
        <w:tc>
          <w:tcPr/>
          <w:p>
            <w:pPr>
              <w:pStyle w:val="Compact"/>
              <w:jc w:val="left"/>
            </w:pPr>
            <w:r>
              <w:rPr>
                <w:sz w:val="20"/>
              </w:rPr>
              <w:t xml:space="preserve">367,500</w:t>
            </w:r>
          </w:p>
        </w:tc>
      </w:tr>
      <w:tr>
        <w:tc>
          <w:tcPr/>
          <w:p>
            <w:pPr>
              <w:pStyle w:val="Compact"/>
              <w:jc w:val="left"/>
            </w:pPr>
            <w:r>
              <w:rPr>
                <w:sz w:val="20"/>
              </w:rPr>
              <w:t xml:space="preserve">2013</w:t>
            </w:r>
          </w:p>
        </w:tc>
        <w:tc>
          <w:tcPr/>
          <w:p>
            <w:pPr>
              <w:pStyle w:val="Compact"/>
              <w:jc w:val="left"/>
            </w:pPr>
            <w:r>
              <w:rPr>
                <w:sz w:val="20"/>
              </w:rPr>
              <w:t xml:space="preserve">22,477</w:t>
            </w:r>
          </w:p>
        </w:tc>
        <w:tc>
          <w:tcPr/>
          <w:p>
            <w:pPr>
              <w:pStyle w:val="Compact"/>
              <w:jc w:val="left"/>
            </w:pPr>
            <w:r>
              <w:rPr>
                <w:sz w:val="20"/>
              </w:rPr>
              <w:t xml:space="preserve">2020</w:t>
            </w:r>
          </w:p>
        </w:tc>
        <w:tc>
          <w:tcPr/>
          <w:p>
            <w:pPr>
              <w:pStyle w:val="Compact"/>
              <w:jc w:val="left"/>
            </w:pPr>
            <w:r>
              <w:rPr>
                <w:sz w:val="20"/>
              </w:rPr>
              <w:t xml:space="preserve">499,647</w:t>
            </w:r>
          </w:p>
        </w:tc>
      </w:tr>
      <w:tr>
        <w:tc>
          <w:tcPr/>
          <w:p>
            <w:pPr>
              <w:pStyle w:val="Compact"/>
              <w:jc w:val="left"/>
            </w:pPr>
            <w:r>
              <w:rPr>
                <w:sz w:val="20"/>
              </w:rPr>
              <w:t xml:space="preserve">2014</w:t>
            </w:r>
          </w:p>
        </w:tc>
        <w:tc>
          <w:tcPr/>
          <w:p>
            <w:pPr>
              <w:pStyle w:val="Compact"/>
              <w:jc w:val="left"/>
            </w:pPr>
            <w:r>
              <w:rPr>
                <w:sz w:val="20"/>
              </w:rPr>
              <w:t xml:space="preserve">31,655</w:t>
            </w:r>
          </w:p>
        </w:tc>
        <w:tc>
          <w:tcPr/>
          <w:p>
            <w:pPr>
              <w:pStyle w:val="Compact"/>
              <w:jc w:val="left"/>
            </w:pPr>
            <w:r>
              <w:rPr>
                <w:sz w:val="20"/>
              </w:rPr>
              <w:t xml:space="preserve">2021</w:t>
            </w:r>
          </w:p>
        </w:tc>
        <w:tc>
          <w:tcPr/>
          <w:p>
            <w:pPr>
              <w:pStyle w:val="Compact"/>
              <w:jc w:val="left"/>
            </w:pPr>
            <w:r>
              <w:rPr>
                <w:sz w:val="20"/>
              </w:rPr>
              <w:t xml:space="preserve">936,172</w:t>
            </w:r>
          </w:p>
        </w:tc>
      </w:tr>
      <w:tr>
        <w:tc>
          <w:tcPr/>
          <w:p>
            <w:pPr>
              <w:pStyle w:val="Compact"/>
              <w:jc w:val="left"/>
            </w:pPr>
            <w:r>
              <w:rPr>
                <w:sz w:val="20"/>
              </w:rPr>
              <w:t xml:space="preserve">2015</w:t>
            </w:r>
          </w:p>
        </w:tc>
        <w:tc>
          <w:tcPr/>
          <w:p>
            <w:pPr>
              <w:pStyle w:val="Compact"/>
              <w:jc w:val="left"/>
            </w:pPr>
            <w:r>
              <w:rPr>
                <w:sz w:val="20"/>
              </w:rPr>
              <w:t xml:space="preserve">50,580</w:t>
            </w:r>
          </w:p>
        </w:tc>
        <w:tc>
          <w:tcPr/>
          <w:p>
            <w:pPr>
              <w:pStyle w:val="Compact"/>
              <w:jc w:val="left"/>
            </w:pPr>
            <w:r>
              <w:rPr>
                <w:sz w:val="20"/>
              </w:rPr>
              <w:t xml:space="preserve">2022</w:t>
            </w:r>
          </w:p>
        </w:tc>
        <w:tc>
          <w:tcPr/>
          <w:p>
            <w:pPr>
              <w:pStyle w:val="Compact"/>
              <w:jc w:val="left"/>
            </w:pPr>
            <w:r>
              <w:rPr>
                <w:sz w:val="20"/>
              </w:rPr>
              <w:t xml:space="preserve">1,313,851</w:t>
            </w:r>
          </w:p>
        </w:tc>
      </w:tr>
      <w:tr>
        <w:tc>
          <w:tcPr/>
          <w:p>
            <w:pPr>
              <w:pStyle w:val="Compact"/>
              <w:jc w:val="left"/>
            </w:pPr>
            <w:r>
              <w:rPr>
                <w:sz w:val="20"/>
              </w:rPr>
              <w:t xml:space="preserve">2016</w:t>
            </w:r>
          </w:p>
        </w:tc>
        <w:tc>
          <w:tcPr/>
          <w:p>
            <w:pPr>
              <w:pStyle w:val="Compact"/>
              <w:jc w:val="left"/>
            </w:pPr>
            <w:r>
              <w:rPr>
                <w:sz w:val="20"/>
              </w:rPr>
              <w:t xml:space="preserve">76,230</w:t>
            </w:r>
          </w:p>
        </w:tc>
        <w:tc>
          <w:tcPr/>
          <w:p>
            <w:pPr>
              <w:pStyle w:val="Compact"/>
              <w:jc w:val="left"/>
            </w:pPr>
            <w:r>
              <w:rPr>
                <w:sz w:val="20"/>
              </w:rPr>
              <w:t xml:space="preserve">2023</w:t>
            </w:r>
          </w:p>
        </w:tc>
        <w:tc>
          <w:tcPr/>
          <w:p>
            <w:pPr>
              <w:pStyle w:val="Compact"/>
              <w:jc w:val="left"/>
            </w:pPr>
            <w:r>
              <w:rPr>
                <w:sz w:val="20"/>
              </w:rPr>
              <w:t xml:space="preserve">1,808,581</w:t>
            </w:r>
          </w:p>
        </w:tc>
      </w:tr>
      <w:tr>
        <w:tc>
          <w:tcPr/>
          <w:p>
            <w:pPr>
              <w:pStyle w:val="Compact"/>
              <w:jc w:val="left"/>
            </w:pPr>
            <w:r>
              <w:rPr>
                <w:sz w:val="20"/>
              </w:rPr>
              <w:t xml:space="preserve">2017</w:t>
            </w:r>
          </w:p>
        </w:tc>
        <w:tc>
          <w:tcPr/>
          <w:p>
            <w:pPr>
              <w:pStyle w:val="Compact"/>
              <w:jc w:val="left"/>
            </w:pPr>
            <w:r>
              <w:rPr>
                <w:sz w:val="20"/>
              </w:rPr>
              <w:t xml:space="preserve">101,312</w:t>
            </w:r>
          </w:p>
        </w:tc>
        <w:tc>
          <w:tcPr/>
          <w:p>
            <w:pPr>
              <w:pStyle w:val="Compact"/>
              <w:jc w:val="left"/>
            </w:pPr>
            <w:r>
              <w:rPr>
                <w:sz w:val="20"/>
              </w:rPr>
              <w:t xml:space="preserve">2024</w:t>
            </w:r>
          </w:p>
        </w:tc>
        <w:tc>
          <w:tcPr/>
          <w:p>
            <w:pPr>
              <w:pStyle w:val="Compact"/>
              <w:jc w:val="left"/>
            </w:pPr>
            <w:r>
              <w:rPr>
                <w:sz w:val="20"/>
              </w:rPr>
              <w:t xml:space="preserve">1,789,226</w:t>
            </w:r>
          </w:p>
        </w:tc>
      </w:tr>
      <w:tr>
        <w:tc>
          <w:tcPr/>
          <w:p>
            <w:pPr>
              <w:pStyle w:val="Compact"/>
              <w:jc w:val="left"/>
            </w:pPr>
            <w:r>
              <w:rPr>
                <w:sz w:val="20"/>
              </w:rPr>
              <w:t xml:space="preserve">2018</w:t>
            </w:r>
          </w:p>
        </w:tc>
        <w:tc>
          <w:tcPr/>
          <w:p>
            <w:pPr>
              <w:pStyle w:val="Compact"/>
              <w:jc w:val="left"/>
            </w:pPr>
            <w:r>
              <w:rPr>
                <w:sz w:val="20"/>
              </w:rPr>
              <w:t xml:space="preserve">245,240</w:t>
            </w:r>
          </w:p>
        </w:tc>
        <w:tc>
          <w:tcPr/>
          <w:p>
            <w:pPr>
              <w:pStyle w:val="Compact"/>
              <w:jc w:val="left"/>
            </w:pPr>
            <w:r>
              <w:rPr>
                <w:sz w:val="20"/>
              </w:rPr>
              <w:t xml:space="preserve">2025</w:t>
            </w:r>
          </w:p>
        </w:tc>
        <w:tc>
          <w:tcPr/>
          <w:p>
            <w:pPr>
              <w:pStyle w:val="Compact"/>
              <w:jc w:val="left"/>
            </w:pPr>
            <w:r>
              <w:rPr>
                <w:sz w:val="20"/>
              </w:rPr>
              <w:t xml:space="preserve">1,636,129</w:t>
            </w:r>
          </w:p>
        </w:tc>
      </w:tr>
    </w:tbl>
    <w:p>
      <w:pPr>
        <w:pStyle w:val="BodyText"/>
      </w:pPr>
      <w:r>
        <w:t xml:space="preserve">The file is</w:t>
      </w:r>
      <w:r>
        <w:t xml:space="preserve"> </w:t>
      </w:r>
      <w:r>
        <w:rPr>
          <w:rStyle w:val="VerbatimChar"/>
        </w:rPr>
        <w:t xml:space="preserve">data/tesla_deliveries.csv</w:t>
      </w:r>
      <w:r>
        <w:t xml:space="preserve">. Tesla’s sales peaked in 2023 and went down in 2024 and 2025, so the data shows the whole Bass shape: slow start, fast growth and then a decline. One limitation is that deliveries count cars, not people, so someone who buys a second Tesla is counted twice.</w:t>
      </w:r>
    </w:p>
    <w:p>
      <w:pPr>
        <w:pStyle w:val="BodyText"/>
      </w:pPr>
      <w:r>
        <w:t xml:space="preserve">I also collected the real Seagull sales, to use for the forecast (Section 5):</w:t>
      </w:r>
    </w:p>
    <w:tbl>
      <w:tblPr>
        <w:tblStyle w:val="Table"/>
        <w:tblW w:type="pct" w:w="5000"/>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Pr>
      <w:tblGrid>
        <w:gridCol w:w="2640"/>
        <w:gridCol w:w="2640"/>
        <w:gridCol w:w="2640"/>
      </w:tblGrid>
      <w:tr>
        <w:trPr>
          <w:tblHeader w:val="true"/>
        </w:trPr>
        <w:tc>
          <w:tcPr>
            <w:shd w:val="clear" w:fill="E3F2EB"/>
          </w:tcPr>
          <w:p>
            <w:pPr>
              <w:pStyle w:val="Compact"/>
              <w:jc w:val="left"/>
            </w:pPr>
            <w:r>
              <w:rPr>
                <w:b/>
                <w:sz w:val="20"/>
              </w:rPr>
              <w:t xml:space="preserve">Year</w:t>
            </w:r>
          </w:p>
        </w:tc>
        <w:tc>
          <w:tcPr>
            <w:shd w:val="clear" w:fill="E3F2EB"/>
          </w:tcPr>
          <w:p>
            <w:pPr>
              <w:pStyle w:val="Compact"/>
              <w:jc w:val="left"/>
            </w:pPr>
            <w:r>
              <w:rPr>
                <w:b/>
                <w:sz w:val="20"/>
              </w:rPr>
              <w:t xml:space="preserve">Seagull sales</w:t>
            </w:r>
          </w:p>
        </w:tc>
        <w:tc>
          <w:tcPr>
            <w:shd w:val="clear" w:fill="E3F2EB"/>
          </w:tcPr>
          <w:p>
            <w:pPr>
              <w:pStyle w:val="Compact"/>
              <w:jc w:val="left"/>
            </w:pPr>
            <w:r>
              <w:rPr>
                <w:b/>
                <w:sz w:val="20"/>
              </w:rPr>
              <w:t xml:space="preserve">Note</w:t>
            </w:r>
          </w:p>
        </w:tc>
      </w:tr>
      <w:tr>
        <w:tc>
          <w:tcPr/>
          <w:p>
            <w:pPr>
              <w:pStyle w:val="Compact"/>
              <w:jc w:val="left"/>
            </w:pPr>
            <w:r>
              <w:rPr>
                <w:sz w:val="20"/>
              </w:rPr>
              <w:t xml:space="preserve">2023</w:t>
            </w:r>
          </w:p>
        </w:tc>
        <w:tc>
          <w:tcPr/>
          <w:p>
            <w:pPr>
              <w:pStyle w:val="Compact"/>
              <w:jc w:val="left"/>
            </w:pPr>
            <w:r>
              <w:rPr>
                <w:sz w:val="20"/>
              </w:rPr>
              <w:t xml:space="preserve">280,217</w:t>
            </w:r>
          </w:p>
        </w:tc>
        <w:tc>
          <w:tcPr/>
          <w:p>
            <w:pPr>
              <w:pStyle w:val="Compact"/>
              <w:jc w:val="left"/>
            </w:pPr>
            <w:r>
              <w:rPr>
                <w:sz w:val="20"/>
              </w:rPr>
              <w:t xml:space="preserve">launched end of April, so about 8 months [2]</w:t>
            </w:r>
          </w:p>
        </w:tc>
      </w:tr>
      <w:tr>
        <w:tc>
          <w:tcPr/>
          <w:p>
            <w:pPr>
              <w:pStyle w:val="Compact"/>
              <w:jc w:val="left"/>
            </w:pPr>
            <w:r>
              <w:rPr>
                <w:sz w:val="20"/>
              </w:rPr>
              <w:t xml:space="preserve">2024</w:t>
            </w:r>
          </w:p>
        </w:tc>
        <w:tc>
          <w:tcPr/>
          <w:p>
            <w:pPr>
              <w:pStyle w:val="Compact"/>
              <w:jc w:val="left"/>
            </w:pPr>
            <w:r>
              <w:rPr>
                <w:sz w:val="20"/>
              </w:rPr>
              <w:t xml:space="preserve">479,294</w:t>
            </w:r>
          </w:p>
        </w:tc>
        <w:tc>
          <w:tcPr/>
          <w:p>
            <w:pPr>
              <w:pStyle w:val="Compact"/>
              <w:jc w:val="left"/>
            </w:pPr>
            <w:r>
              <w:rPr>
                <w:sz w:val="20"/>
              </w:rPr>
              <w:t xml:space="preserve">[2]</w:t>
            </w:r>
          </w:p>
        </w:tc>
      </w:tr>
      <w:tr>
        <w:tc>
          <w:tcPr/>
          <w:p>
            <w:pPr>
              <w:pStyle w:val="Compact"/>
              <w:jc w:val="left"/>
            </w:pPr>
            <w:r>
              <w:rPr>
                <w:sz w:val="20"/>
              </w:rPr>
              <w:t xml:space="preserve">2025</w:t>
            </w:r>
          </w:p>
        </w:tc>
        <w:tc>
          <w:tcPr/>
          <w:p>
            <w:pPr>
              <w:pStyle w:val="Compact"/>
              <w:jc w:val="left"/>
            </w:pPr>
            <w:r>
              <w:rPr>
                <w:sz w:val="20"/>
              </w:rPr>
              <w:t xml:space="preserve">529,537</w:t>
            </w:r>
          </w:p>
        </w:tc>
        <w:tc>
          <w:tcPr/>
          <w:p>
            <w:pPr>
              <w:pStyle w:val="Compact"/>
              <w:jc w:val="left"/>
            </w:pPr>
            <w:r>
              <w:rPr>
                <w:sz w:val="20"/>
              </w:rPr>
              <w:t xml:space="preserve">[7]</w:t>
            </w:r>
          </w:p>
        </w:tc>
      </w:tr>
      <w:tr>
        <w:tc>
          <w:tcPr/>
          <w:p>
            <w:pPr>
              <w:pStyle w:val="Compact"/>
              <w:jc w:val="left"/>
            </w:pPr>
            <w:r>
              <w:rPr>
                <w:sz w:val="20"/>
              </w:rPr>
              <w:t xml:space="preserve">2026, Jan–Sep</w:t>
            </w:r>
          </w:p>
        </w:tc>
        <w:tc>
          <w:tcPr/>
          <w:p>
            <w:pPr>
              <w:pStyle w:val="Compact"/>
              <w:jc w:val="left"/>
            </w:pPr>
            <w:r>
              <w:rPr>
                <w:sz w:val="20"/>
              </w:rPr>
              <w:t xml:space="preserve">265,901</w:t>
            </w:r>
          </w:p>
        </w:tc>
        <w:tc>
          <w:tcPr/>
          <w:p>
            <w:pPr>
              <w:pStyle w:val="Compact"/>
              <w:jc w:val="left"/>
            </w:pPr>
            <w:r>
              <w:rPr>
                <w:sz w:val="20"/>
              </w:rPr>
              <w:t xml:space="preserve">down 33% compared to the same months of 2025 [8]</w:t>
            </w:r>
          </w:p>
        </w:tc>
      </w:tr>
    </w:tbl>
    <w:bookmarkEnd w:id="23"/>
    <w:bookmarkStart w:id="30" w:name="estimating-p-q-and-m-for-tesla"/>
    <w:p>
      <w:pPr>
        <w:pStyle w:val="Heading1"/>
      </w:pPr>
      <w:r>
        <w:t xml:space="preserve">4. Estimating p, q and M for Tesla</w:t>
      </w:r>
    </w:p>
    <w:p>
      <w:pPr>
        <w:pStyle w:val="FirstParagraph"/>
      </w:pPr>
      <w:r>
        <w:t xml:space="preserve">The Bass model from class [9]:</w:t>
      </w:r>
    </w:p>
    <w:p>
      <w:pPr>
        <w:pStyle w:val="BodyText"/>
      </w:pPr>
      <m:oMathPara>
        <m:oMathParaPr>
          <m:jc m:val="center"/>
        </m:oMathParaPr>
        <m:oMath>
          <m:r>
            <m:t>F</m:t>
          </m:r>
          <m:d>
            <m:dPr>
              <m:begChr m:val="("/>
              <m:endChr m:val=")"/>
              <m:sepChr m:val=""/>
              <m:grow/>
            </m:dPr>
            <m:e>
              <m:r>
                <m:t>t</m:t>
              </m:r>
            </m:e>
          </m:d>
          <m:r>
            <m:rPr>
              <m:sty m:val="p"/>
            </m:rPr>
            <m:t>=</m:t>
          </m:r>
          <m:f>
            <m:fPr>
              <m:type m:val="bar"/>
            </m:fPr>
            <m:num>
              <m:r>
                <m:t>1</m:t>
              </m:r>
              <m:r>
                <m:rPr>
                  <m:sty m:val="p"/>
                </m:rPr>
                <m:t>−</m:t>
              </m:r>
              <m:sSup>
                <m:e>
                  <m:r>
                    <m:t>e</m:t>
                  </m:r>
                </m:e>
                <m:sup>
                  <m:r>
                    <m:rPr>
                      <m:sty m:val="p"/>
                    </m:rPr>
                    <m:t>−</m:t>
                  </m:r>
                  <m:d>
                    <m:dPr>
                      <m:begChr m:val="("/>
                      <m:endChr m:val=")"/>
                      <m:sepChr m:val=""/>
                      <m:grow/>
                    </m:dPr>
                    <m:e>
                      <m:r>
                        <m:t>p</m:t>
                      </m:r>
                      <m:r>
                        <m:rPr>
                          <m:sty m:val="p"/>
                        </m:rPr>
                        <m:t>+</m:t>
                      </m:r>
                      <m:r>
                        <m:t>q</m:t>
                      </m:r>
                    </m:e>
                  </m:d>
                  <m:r>
                    <m:t>t</m:t>
                  </m:r>
                </m:sup>
              </m:sSup>
            </m:num>
            <m:den>
              <m:r>
                <m:t>1</m:t>
              </m:r>
              <m:r>
                <m:rPr>
                  <m:sty m:val="p"/>
                </m:rPr>
                <m:t>+</m:t>
              </m:r>
              <m:f>
                <m:fPr>
                  <m:type m:val="bar"/>
                </m:fPr>
                <m:num>
                  <m:r>
                    <m:t>q</m:t>
                  </m:r>
                </m:num>
                <m:den>
                  <m:r>
                    <m:t>p</m:t>
                  </m:r>
                </m:den>
              </m:f>
              <m:sSup>
                <m:e>
                  <m:r>
                    <m:t>e</m:t>
                  </m:r>
                </m:e>
                <m:sup>
                  <m:r>
                    <m:rPr>
                      <m:sty m:val="p"/>
                    </m:rPr>
                    <m:t>−</m:t>
                  </m:r>
                  <m:d>
                    <m:dPr>
                      <m:begChr m:val="("/>
                      <m:endChr m:val=")"/>
                      <m:sepChr m:val=""/>
                      <m:grow/>
                    </m:dPr>
                    <m:e>
                      <m:r>
                        <m:t>p</m:t>
                      </m:r>
                      <m:r>
                        <m:rPr>
                          <m:sty m:val="p"/>
                        </m:rPr>
                        <m:t>+</m:t>
                      </m:r>
                      <m:r>
                        <m:t>q</m:t>
                      </m:r>
                    </m:e>
                  </m:d>
                  <m:r>
                    <m:t>t</m:t>
                  </m:r>
                </m:sup>
              </m:sSup>
            </m:den>
          </m:f>
          <m:r>
            <m:rPr>
              <m:sty m:val="p"/>
            </m:rPr>
            <m:t>,</m:t>
          </m:r>
          <m:r>
            <m:t>  </m:t>
          </m:r>
          <m:r>
            <m:rPr>
              <m:nor/>
              <m:sty m:val="p"/>
            </m:rPr>
            <m:t>adopters in year </m:t>
          </m:r>
          <m:r>
            <m:t>t</m:t>
          </m:r>
          <m:r>
            <m:rPr>
              <m:sty m:val="p"/>
            </m:rPr>
            <m:t>=</m:t>
          </m:r>
          <m:r>
            <m:t>M</m:t>
          </m:r>
          <m:r>
            <m:t> </m:t>
          </m:r>
          <m:d>
            <m:dPr>
              <m:begChr m:val="["/>
              <m:endChr m:val="]"/>
              <m:sepChr m:val=""/>
              <m:grow/>
            </m:dPr>
            <m:e>
              <m:r>
                <m:t>F</m:t>
              </m:r>
              <m:d>
                <m:dPr>
                  <m:begChr m:val="("/>
                  <m:endChr m:val=")"/>
                  <m:sepChr m:val=""/>
                  <m:grow/>
                </m:dPr>
                <m:e>
                  <m:r>
                    <m:t>t</m:t>
                  </m:r>
                </m:e>
              </m:d>
              <m:r>
                <m:rPr>
                  <m:sty m:val="p"/>
                </m:rPr>
                <m:t>−</m:t>
              </m:r>
              <m:r>
                <m:t>F</m:t>
              </m:r>
              <m:d>
                <m:dPr>
                  <m:begChr m:val="("/>
                  <m:endChr m:val=")"/>
                  <m:sepChr m:val=""/>
                  <m:grow/>
                </m:dPr>
                <m:e>
                  <m:r>
                    <m:t>t</m:t>
                  </m:r>
                  <m:r>
                    <m:rPr>
                      <m:sty m:val="p"/>
                    </m:rPr>
                    <m:t>−</m:t>
                  </m:r>
                  <m:r>
                    <m:t>1</m:t>
                  </m:r>
                </m:e>
              </m:d>
            </m:e>
          </m:d>
        </m:oMath>
      </m:oMathPara>
    </w:p>
    <w:p>
      <w:pPr>
        <w:pStyle w:val="FirstParagraph"/>
      </w:pPr>
      <w:r>
        <w:t xml:space="preserve">where</w:t>
      </w:r>
      <w:r>
        <w:t xml:space="preserve"> </w:t>
      </w:r>
      <w:r>
        <w:rPr>
          <w:iCs/>
          <w:i/>
        </w:rPr>
        <w:t xml:space="preserve">p</w:t>
      </w:r>
      <w:r>
        <w:t xml:space="preserve"> </w:t>
      </w:r>
      <w:r>
        <w:t xml:space="preserve">is the coefficient of innovation,</w:t>
      </w:r>
      <w:r>
        <w:t xml:space="preserve"> </w:t>
      </w:r>
      <w:r>
        <w:rPr>
          <w:iCs/>
          <w:i/>
        </w:rPr>
        <w:t xml:space="preserve">q</w:t>
      </w:r>
      <w:r>
        <w:t xml:space="preserve"> </w:t>
      </w:r>
      <w:r>
        <w:t xml:space="preserve">is the coefficient of imitation and</w:t>
      </w:r>
      <w:r>
        <w:t xml:space="preserve"> </w:t>
      </w:r>
      <w:r>
        <w:rPr>
          <w:iCs/>
          <w:i/>
        </w:rPr>
        <w:t xml:space="preserve">M</w:t>
      </w:r>
      <w:r>
        <w:t xml:space="preserve"> </w:t>
      </w:r>
      <w:r>
        <w:t xml:space="preserve">is the market potential. For Tesla, t = 1 is 2012.</w:t>
      </w:r>
    </w:p>
    <w:p>
      <w:pPr>
        <w:pStyle w:val="BodyText"/>
      </w:pPr>
      <w:r>
        <w:t xml:space="preserve">I estimated the parameters with the two methods from the lecture: non-linear least squares (NLS, like</w:t>
      </w:r>
      <w:r>
        <w:t xml:space="preserve"> </w:t>
      </w:r>
      <w:r>
        <w:rPr>
          <w:rStyle w:val="VerbatimChar"/>
        </w:rPr>
        <w:t xml:space="preserve">nls()</w:t>
      </w:r>
      <w:r>
        <w:t xml:space="preserve"> </w:t>
      </w:r>
      <w:r>
        <w:t xml:space="preserve">in R) and Bass’s original regression (OLS),</w:t>
      </w:r>
      <w:r>
        <w:t xml:space="preserve"> </w:t>
      </w:r>
      <m:oMath>
        <m:r>
          <m:t>a</m:t>
        </m:r>
        <m:d>
          <m:dPr>
            <m:begChr m:val="("/>
            <m:endChr m:val=")"/>
            <m:sepChr m:val=""/>
            <m:grow/>
          </m:dPr>
          <m:e>
            <m:r>
              <m:t>t</m:t>
            </m:r>
          </m:e>
        </m:d>
        <m:r>
          <m:rPr>
            <m:sty m:val="p"/>
          </m:rPr>
          <m:t>=</m:t>
        </m:r>
        <m:sSub>
          <m:e>
            <m:r>
              <m:t>β</m:t>
            </m:r>
          </m:e>
          <m:sub>
            <m:r>
              <m:t>0</m:t>
            </m:r>
          </m:sub>
        </m:sSub>
        <m:r>
          <m:rPr>
            <m:sty m:val="p"/>
          </m:rPr>
          <m:t>+</m:t>
        </m:r>
        <m:sSub>
          <m:e>
            <m:r>
              <m:t>β</m:t>
            </m:r>
          </m:e>
          <m:sub>
            <m:r>
              <m:t>1</m:t>
            </m:r>
          </m:sub>
        </m:sSub>
        <m:r>
          <m:t>A</m:t>
        </m:r>
        <m:d>
          <m:dPr>
            <m:begChr m:val="("/>
            <m:endChr m:val=")"/>
            <m:sepChr m:val=""/>
            <m:grow/>
          </m:dPr>
          <m:e>
            <m:r>
              <m:t>t</m:t>
            </m:r>
            <m:r>
              <m:rPr>
                <m:sty m:val="p"/>
              </m:rPr>
              <m:t>−</m:t>
            </m:r>
            <m:r>
              <m:t>1</m:t>
            </m:r>
          </m:e>
        </m:d>
        <m:r>
          <m:rPr>
            <m:sty m:val="p"/>
          </m:rPr>
          <m:t>+</m:t>
        </m:r>
        <m:sSub>
          <m:e>
            <m:r>
              <m:t>β</m:t>
            </m:r>
          </m:e>
          <m:sub>
            <m:r>
              <m:t>2</m:t>
            </m:r>
          </m:sub>
        </m:sSub>
        <m:r>
          <m:t>A</m:t>
        </m:r>
        <m:sSup>
          <m:e>
            <m:d>
              <m:dPr>
                <m:begChr m:val="("/>
                <m:endChr m:val=")"/>
                <m:sepChr m:val=""/>
                <m:grow/>
              </m:dPr>
              <m:e>
                <m:r>
                  <m:t>t</m:t>
                </m:r>
                <m:r>
                  <m:rPr>
                    <m:sty m:val="p"/>
                  </m:rPr>
                  <m:t>−</m:t>
                </m:r>
                <m:r>
                  <m:t>1</m:t>
                </m:r>
              </m:e>
            </m:d>
          </m:e>
          <m:sup>
            <m:r>
              <m:t>2</m:t>
            </m:r>
          </m:sup>
        </m:sSup>
      </m:oMath>
      <w:r>
        <w:t xml:space="preserve">.</w:t>
      </w:r>
    </w:p>
    <w:tbl>
      <w:tblPr>
        <w:tblStyle w:val="Table"/>
        <w:tblW w:type="auto" w:w="0"/>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Pr>
      <w:tblGrid>
        <w:gridCol w:w="1320"/>
        <w:gridCol w:w="1320"/>
        <w:gridCol w:w="1320"/>
        <w:gridCol w:w="1320"/>
        <w:gridCol w:w="1320"/>
        <w:gridCol w:w="1320"/>
      </w:tblGrid>
      <w:tr>
        <w:trPr>
          <w:tblHeader w:val="true"/>
        </w:trPr>
        <w:tc>
          <w:tcPr>
            <w:shd w:val="clear" w:fill="E3F2EB"/>
          </w:tcPr>
          <w:p>
            <w:pPr>
              <w:pStyle w:val="Compact"/>
              <w:jc w:val="left"/>
            </w:pPr>
            <w:r>
              <w:rPr>
                <w:b/>
                <w:sz w:val="20"/>
              </w:rPr>
              <w:t xml:space="preserve">Method</w:t>
            </w:r>
          </w:p>
        </w:tc>
        <w:tc>
          <w:tcPr>
            <w:shd w:val="clear" w:fill="E3F2EB"/>
          </w:tcPr>
          <w:p>
            <w:pPr>
              <w:pStyle w:val="Compact"/>
              <w:jc w:val="left"/>
            </w:pPr>
            <w:r>
              <w:rPr>
                <w:b/>
                <w:sz w:val="20"/>
              </w:rPr>
              <w:t xml:space="preserve">p</w:t>
            </w:r>
          </w:p>
        </w:tc>
        <w:tc>
          <w:tcPr>
            <w:shd w:val="clear" w:fill="E3F2EB"/>
          </w:tcPr>
          <w:p>
            <w:pPr>
              <w:pStyle w:val="Compact"/>
              <w:jc w:val="left"/>
            </w:pPr>
            <w:r>
              <w:rPr>
                <w:b/>
                <w:sz w:val="20"/>
              </w:rPr>
              <w:t xml:space="preserve">q</w:t>
            </w:r>
          </w:p>
        </w:tc>
        <w:tc>
          <w:tcPr>
            <w:shd w:val="clear" w:fill="E3F2EB"/>
          </w:tcPr>
          <w:p>
            <w:pPr>
              <w:pStyle w:val="Compact"/>
              <w:jc w:val="left"/>
            </w:pPr>
            <w:r>
              <w:rPr>
                <w:b/>
                <w:sz w:val="20"/>
              </w:rPr>
              <w:t xml:space="preserve">M (million cars)</w:t>
            </w:r>
          </w:p>
        </w:tc>
        <w:tc>
          <w:tcPr>
            <w:shd w:val="clear" w:fill="E3F2EB"/>
          </w:tcPr>
          <w:p>
            <w:pPr>
              <w:pStyle w:val="Compact"/>
              <w:jc w:val="left"/>
            </w:pPr>
            <w:r>
              <w:rPr>
                <w:b/>
                <w:sz w:val="20"/>
              </w:rPr>
              <w:t xml:space="preserve">Peak t*</w:t>
            </w:r>
          </w:p>
        </w:tc>
        <w:tc>
          <w:tcPr>
            <w:shd w:val="clear" w:fill="E3F2EB"/>
          </w:tcPr>
          <w:p>
            <w:pPr>
              <w:pStyle w:val="Compact"/>
              <w:jc w:val="left"/>
            </w:pPr>
            <w:r>
              <w:rPr>
                <w:b/>
                <w:sz w:val="20"/>
              </w:rPr>
              <w:t xml:space="preserve">R²</w:t>
            </w:r>
          </w:p>
        </w:tc>
      </w:tr>
      <w:tr>
        <w:tc>
          <w:tcPr/>
          <w:p>
            <w:pPr>
              <w:pStyle w:val="Compact"/>
              <w:jc w:val="left"/>
            </w:pPr>
            <w:r>
              <w:rPr>
                <w:sz w:val="20"/>
              </w:rPr>
              <w:t xml:space="preserve">NLS</w:t>
            </w:r>
          </w:p>
        </w:tc>
        <w:tc>
          <w:tcPr/>
          <w:p>
            <w:pPr>
              <w:pStyle w:val="Compact"/>
              <w:jc w:val="left"/>
            </w:pPr>
            <w:r>
              <w:rPr>
                <w:sz w:val="20"/>
              </w:rPr>
              <w:t xml:space="preserve">0.00028</w:t>
            </w:r>
          </w:p>
        </w:tc>
        <w:tc>
          <w:tcPr/>
          <w:p>
            <w:pPr>
              <w:pStyle w:val="Compact"/>
              <w:jc w:val="left"/>
            </w:pPr>
            <w:r>
              <w:rPr>
                <w:sz w:val="20"/>
              </w:rPr>
              <w:t xml:space="preserve">0.625</w:t>
            </w:r>
          </w:p>
        </w:tc>
        <w:tc>
          <w:tcPr/>
          <w:p>
            <w:pPr>
              <w:pStyle w:val="Compact"/>
              <w:jc w:val="left"/>
            </w:pPr>
            <w:r>
              <w:rPr>
                <w:sz w:val="20"/>
              </w:rPr>
              <w:t xml:space="preserve">11.88</w:t>
            </w:r>
          </w:p>
        </w:tc>
        <w:tc>
          <w:tcPr/>
          <w:p>
            <w:pPr>
              <w:pStyle w:val="Compact"/>
              <w:jc w:val="left"/>
            </w:pPr>
            <w:r>
              <w:rPr>
                <w:sz w:val="20"/>
              </w:rPr>
              <w:t xml:space="preserve">12.3 (2023–2024)</w:t>
            </w:r>
          </w:p>
        </w:tc>
        <w:tc>
          <w:tcPr/>
          <w:p>
            <w:pPr>
              <w:pStyle w:val="Compact"/>
              <w:jc w:val="left"/>
            </w:pPr>
            <w:r>
              <w:rPr>
                <w:sz w:val="20"/>
              </w:rPr>
              <w:t xml:space="preserve">0.997</w:t>
            </w:r>
          </w:p>
        </w:tc>
      </w:tr>
      <w:tr>
        <w:tc>
          <w:tcPr/>
          <w:p>
            <w:pPr>
              <w:pStyle w:val="Compact"/>
              <w:jc w:val="left"/>
            </w:pPr>
            <w:r>
              <w:rPr>
                <w:sz w:val="20"/>
              </w:rPr>
              <w:t xml:space="preserve">OLS</w:t>
            </w:r>
          </w:p>
        </w:tc>
        <w:tc>
          <w:tcPr/>
          <w:p>
            <w:pPr>
              <w:pStyle w:val="Compact"/>
              <w:jc w:val="left"/>
            </w:pPr>
            <w:r>
              <w:rPr>
                <w:sz w:val="20"/>
              </w:rPr>
              <w:t xml:space="preserve">0.00039</w:t>
            </w:r>
          </w:p>
        </w:tc>
        <w:tc>
          <w:tcPr/>
          <w:p>
            <w:pPr>
              <w:pStyle w:val="Compact"/>
              <w:jc w:val="left"/>
            </w:pPr>
            <w:r>
              <w:rPr>
                <w:sz w:val="20"/>
              </w:rPr>
              <w:t xml:space="preserve">0.726</w:t>
            </w:r>
          </w:p>
        </w:tc>
        <w:tc>
          <w:tcPr/>
          <w:p>
            <w:pPr>
              <w:pStyle w:val="Compact"/>
              <w:jc w:val="left"/>
            </w:pPr>
            <w:r>
              <w:rPr>
                <w:sz w:val="20"/>
              </w:rPr>
              <w:t xml:space="preserve">10.41</w:t>
            </w:r>
          </w:p>
        </w:tc>
        <w:tc>
          <w:tcPr/>
          <w:p>
            <w:pPr>
              <w:pStyle w:val="Compact"/>
              <w:jc w:val="left"/>
            </w:pPr>
            <w:r>
              <w:rPr>
                <w:sz w:val="20"/>
              </w:rPr>
              <w:t xml:space="preserve">10.4 (2021–2022)</w:t>
            </w:r>
          </w:p>
        </w:tc>
        <w:tc>
          <w:tcPr/>
          <w:p>
            <w:pPr>
              <w:pStyle w:val="Compact"/>
              <w:jc w:val="left"/>
            </w:pPr>
            <w:r>
              <w:rPr>
                <w:sz w:val="20"/>
              </w:rPr>
              <w:t xml:space="preserve">0.53</w:t>
            </w:r>
          </w:p>
        </w:tc>
      </w:tr>
    </w:tbl>
    <w:p>
      <w:pPr>
        <w:pStyle w:val="BodyText"/>
      </w:pPr>
      <w:r>
        <w:t xml:space="preserve">NLS fits almost perfectly (R² = 0.997), and its peak</w:t>
      </w:r>
      <w:r>
        <w:t xml:space="preserve"> </w:t>
      </w:r>
      <m:oMath>
        <m:sSup>
          <m:e>
            <m:r>
              <m:t>t</m:t>
            </m:r>
          </m:e>
          <m:sup>
            <m:r>
              <m:rPr>
                <m:sty m:val="p"/>
              </m:rPr>
              <m:t>*</m:t>
            </m:r>
          </m:sup>
        </m:sSup>
        <m:r>
          <m:rPr>
            <m:sty m:val="p"/>
          </m:rPr>
          <m:t>=</m:t>
        </m:r>
        <m:r>
          <m:rPr>
            <m:sty m:val="p"/>
          </m:rPr>
          <m:t>ln</m:t>
        </m:r>
        <m:d>
          <m:dPr>
            <m:begChr m:val="("/>
            <m:endChr m:val=")"/>
            <m:sepChr m:val=""/>
            <m:grow/>
          </m:dPr>
          <m:e>
            <m:r>
              <m:t>q</m:t>
            </m:r>
            <m:r>
              <m:rPr>
                <m:sty m:val="p"/>
              </m:rPr>
              <m:t>/</m:t>
            </m:r>
            <m:r>
              <m:t>p</m:t>
            </m:r>
          </m:e>
        </m:d>
        <m:r>
          <m:rPr>
            <m:sty m:val="p"/>
          </m:rPr>
          <m:t>/</m:t>
        </m:r>
        <m:d>
          <m:dPr>
            <m:begChr m:val="("/>
            <m:endChr m:val=")"/>
            <m:sepChr m:val=""/>
            <m:grow/>
          </m:dPr>
          <m:e>
            <m:r>
              <m:t>p</m:t>
            </m:r>
            <m:r>
              <m:rPr>
                <m:sty m:val="p"/>
              </m:rPr>
              <m:t>+</m:t>
            </m:r>
            <m:r>
              <m:t>q</m:t>
            </m:r>
          </m:e>
        </m:d>
        <m:r>
          <m:rPr>
            <m:sty m:val="p"/>
          </m:rPr>
          <m:t>=</m:t>
        </m:r>
        <m:r>
          <m:t>12.3</m:t>
        </m:r>
      </m:oMath>
      <w:r>
        <w:t xml:space="preserve"> </w:t>
      </w:r>
      <w:r>
        <w:t xml:space="preserve">lands between 2023 and 2024, which is exactly when Tesla’s sales really peaked. OLS puts the peak about two years too early, so I use the NLS results. This agrees with Srinivasan and Mason, who showed that NLS usually works better than OLS for the Bass model [10].</w:t>
      </w:r>
    </w:p>
    <w:p>
      <w:pPr>
        <w:pStyle w:val="CaptionedFigure"/>
      </w:pPr>
      <w:r>
        <w:drawing>
          <wp:inline>
            <wp:extent cx="5400000" cy="2834999"/>
            <wp:effectExtent b="0" l="0" r="0" t="0"/>
            <wp:docPr descr="Tesla deliveries and Bass fit" title="" id="25" name="Picture"/>
            <a:graphic>
              <a:graphicData uri="http://schemas.openxmlformats.org/drawingml/2006/picture">
                <pic:pic>
                  <pic:nvPicPr>
                    <pic:cNvPr descr="../img/tesla_fit.png" id="26" name="Picture"/>
                    <pic:cNvPicPr>
                      <a:picLocks noChangeArrowheads="1" noChangeAspect="1"/>
                    </pic:cNvPicPr>
                  </pic:nvPicPr>
                  <pic:blipFill>
                    <a:blip r:embed="rId24"/>
                    <a:stretch>
                      <a:fillRect/>
                    </a:stretch>
                  </pic:blipFill>
                  <pic:spPr bwMode="auto">
                    <a:xfrm>
                      <a:off x="0" y="0"/>
                      <a:ext cx="5400000" cy="2834999"/>
                    </a:xfrm>
                    <a:prstGeom prst="rect">
                      <a:avLst/>
                    </a:prstGeom>
                    <a:noFill/>
                    <a:ln w="9525">
                      <a:noFill/>
                      <a:headEnd/>
                      <a:tailEnd/>
                    </a:ln>
                  </pic:spPr>
                </pic:pic>
              </a:graphicData>
            </a:graphic>
          </wp:inline>
        </w:drawing>
      </w:r>
    </w:p>
    <w:p>
      <w:pPr>
        <w:pStyle w:val="ImageCaption"/>
      </w:pPr>
      <w:r>
        <w:t xml:space="preserve">Tesla deliveries and Bass fit</w:t>
      </w:r>
    </w:p>
    <w:p>
      <w:pPr>
        <w:pStyle w:val="BodyText"/>
      </w:pPr>
      <w:r>
        <w:t xml:space="preserve">What the numbers mean:</w:t>
      </w:r>
    </w:p>
    <w:p>
      <w:pPr>
        <w:numPr>
          <w:ilvl w:val="0"/>
          <w:numId w:val="1002"/>
        </w:numPr>
        <w:pStyle w:val="Compact"/>
      </w:pPr>
      <w:r>
        <w:rPr>
          <w:bCs/>
          <w:b/>
        </w:rPr>
        <w:t xml:space="preserve">p = 0.00028 is extremely small</w:t>
      </w:r>
      <w:r>
        <w:t xml:space="preserve">, much smaller than the usual value of around 0.03 [11]. This makes sense, because at first almost nobody bought a Tesla</w:t>
      </w:r>
      <w:r>
        <w:t xml:space="preserve"> </w:t>
      </w:r>
      <w:r>
        <w:t xml:space="preserve">“</w:t>
      </w:r>
      <w:r>
        <w:t xml:space="preserve">on their own</w:t>
      </w:r>
      <w:r>
        <w:t xml:space="preserve">”</w:t>
      </w:r>
      <w:r>
        <w:t xml:space="preserve">. It was an expensive niche car, and people waited to see if electric cars really worked.</w:t>
      </w:r>
    </w:p>
    <w:p>
      <w:pPr>
        <w:numPr>
          <w:ilvl w:val="0"/>
          <w:numId w:val="1002"/>
        </w:numPr>
        <w:pStyle w:val="Compact"/>
      </w:pPr>
      <w:r>
        <w:rPr>
          <w:bCs/>
          <w:b/>
        </w:rPr>
        <w:t xml:space="preserve">q = 0.625 is high</w:t>
      </w:r>
      <w:r>
        <w:t xml:space="preserve"> </w:t>
      </w:r>
      <w:r>
        <w:t xml:space="preserve">(the usual value is about 0.38 [11]). Almost all of Tesla’s growth came from imitation: people saw Teslas on the street, rode in a friend’s car and heard others talk about them.</w:t>
      </w:r>
    </w:p>
    <w:p>
      <w:pPr>
        <w:numPr>
          <w:ilvl w:val="0"/>
          <w:numId w:val="1002"/>
        </w:numPr>
        <w:pStyle w:val="Compact"/>
      </w:pPr>
      <w:r>
        <w:rPr>
          <w:bCs/>
          <w:b/>
        </w:rPr>
        <w:t xml:space="preserve">M = 11.9 million</w:t>
      </w:r>
      <w:r>
        <w:t xml:space="preserve"> </w:t>
      </w:r>
      <w:r>
        <w:t xml:space="preserve">means Tesla, with its current car lineup, has already reached about three-quarters of its potential (8.9 million cars delivered by 2025). This fits with the fact that its sales are now falling.</w:t>
      </w:r>
    </w:p>
    <w:p>
      <w:pPr>
        <w:pStyle w:val="CaptionedFigure"/>
      </w:pPr>
      <w:r>
        <w:drawing>
          <wp:inline>
            <wp:extent cx="5400000" cy="2834999"/>
            <wp:effectExtent b="0" l="0" r="0" t="0"/>
            <wp:docPr descr="Tesla cumulative deliveries" title="" id="28" name="Picture"/>
            <a:graphic>
              <a:graphicData uri="http://schemas.openxmlformats.org/drawingml/2006/picture">
                <pic:pic>
                  <pic:nvPicPr>
                    <pic:cNvPr descr="../img/tesla_cumulative.png" id="29" name="Picture"/>
                    <pic:cNvPicPr>
                      <a:picLocks noChangeArrowheads="1" noChangeAspect="1"/>
                    </pic:cNvPicPr>
                  </pic:nvPicPr>
                  <pic:blipFill>
                    <a:blip r:embed="rId27"/>
                    <a:stretch>
                      <a:fillRect/>
                    </a:stretch>
                  </pic:blipFill>
                  <pic:spPr bwMode="auto">
                    <a:xfrm>
                      <a:off x="0" y="0"/>
                      <a:ext cx="5400000" cy="2834999"/>
                    </a:xfrm>
                    <a:prstGeom prst="rect">
                      <a:avLst/>
                    </a:prstGeom>
                    <a:noFill/>
                    <a:ln w="9525">
                      <a:noFill/>
                      <a:headEnd/>
                      <a:tailEnd/>
                    </a:ln>
                  </pic:spPr>
                </pic:pic>
              </a:graphicData>
            </a:graphic>
          </wp:inline>
        </w:drawing>
      </w:r>
    </w:p>
    <w:p>
      <w:pPr>
        <w:pStyle w:val="ImageCaption"/>
      </w:pPr>
      <w:r>
        <w:t xml:space="preserve">Tesla cumulative deliveries</w:t>
      </w:r>
    </w:p>
    <w:bookmarkEnd w:id="30"/>
    <w:bookmarkStart w:id="37" w:name="Xb2c08944466abe5a0bf4aada5ffbd0a35967ec4"/>
    <w:p>
      <w:pPr>
        <w:pStyle w:val="Heading1"/>
      </w:pPr>
      <w:r>
        <w:t xml:space="preserve">5. Predicting the diffusion of the BYD Seagull</w:t>
      </w:r>
    </w:p>
    <w:p>
      <w:pPr>
        <w:pStyle w:val="FirstParagraph"/>
      </w:pPr>
      <w:r>
        <w:t xml:space="preserve">For the Seagull, t = 1 is 2023, the year it launched. I made three scenarios.</w:t>
      </w:r>
    </w:p>
    <w:p>
      <w:pPr>
        <w:pStyle w:val="BodyText"/>
      </w:pPr>
      <w:r>
        <w:rPr>
          <w:bCs/>
          <w:b/>
        </w:rPr>
        <w:t xml:space="preserve">Scenario A: pure look-alike</w:t>
      </w:r>
      <w:r>
        <w:t xml:space="preserve"> </w:t>
      </w:r>
      <w:r>
        <w:t xml:space="preserve">(p and q from Tesla, M from my Fermi estimate in Section 7). This fails completely. It predicts only about 2,000 Seagulls in 2023, when the real number was 280,000. The reason is that Tesla’s tiny p comes from a luxury start-up in 2012, but the Seagull came in 2023 from the world’s biggest EV maker, into a market where electric cars were already normal. In China almost half of all new cars sold in 2024 were electric [12]. So the Seagull didn’t need years of imitation to get started, and its p must be much higher.</w:t>
      </w:r>
    </w:p>
    <w:p>
      <w:pPr>
        <w:pStyle w:val="BodyText"/>
      </w:pPr>
      <w:r>
        <w:rPr>
          <w:bCs/>
          <w:b/>
        </w:rPr>
        <w:t xml:space="preserve">Scenario B: Fermi M, with p matched to 2023.</w:t>
      </w:r>
      <w:r>
        <w:t xml:space="preserve"> </w:t>
      </w:r>
      <w:r>
        <w:t xml:space="preserve">I keep q from Tesla and M from the Fermi estimate, and choose p so that 2023 matches the real sales. This gives p = 0.049. It predicts 2024 well (5% too low), but 2025 is 22% too high.</w:t>
      </w:r>
    </w:p>
    <w:p>
      <w:pPr>
        <w:pStyle w:val="BodyText"/>
      </w:pPr>
      <w:r>
        <w:rPr>
          <w:bCs/>
          <w:b/>
        </w:rPr>
        <w:t xml:space="preserve">Scenario C: q from Tesla, p and M fitted to the real Seagull data (main forecast).</w:t>
      </w:r>
      <w:r>
        <w:t xml:space="preserve"> </w:t>
      </w:r>
      <w:r>
        <w:t xml:space="preserve">Because the Seagull already has three years of sales, I let the data decide p and M. I kept q = 0.625 fixed from Tesla, since three data points are not enough to estimate all three parameters. The fit gave</w:t>
      </w:r>
      <w:r>
        <w:t xml:space="preserve"> </w:t>
      </w:r>
      <w:r>
        <w:rPr>
          <w:bCs/>
          <w:b/>
        </w:rPr>
        <w:t xml:space="preserve">p = 0.088 and M = 2.70 million cars</w:t>
      </w:r>
      <w:r>
        <w:t xml:space="preserve">. This matches 2024 within 6% and 2025 within 2%.</w:t>
      </w:r>
    </w:p>
    <w:p>
      <w:pPr>
        <w:pStyle w:val="BodyText"/>
      </w:pPr>
      <w:r>
        <w:t xml:space="preserve">I trust Scenario C the most, because it uses information from both the look-alike and the Seagull itself, and it fits the real numbers best.</w:t>
      </w:r>
    </w:p>
    <w:tbl>
      <w:tblPr>
        <w:tblStyle w:val="Table"/>
        <w:tblW w:type="pct" w:w="5000"/>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Pr>
      <w:tblGrid>
        <w:gridCol w:w="1131"/>
        <w:gridCol w:w="1131"/>
        <w:gridCol w:w="1131"/>
        <w:gridCol w:w="1131"/>
        <w:gridCol w:w="1131"/>
        <w:gridCol w:w="1131"/>
        <w:gridCol w:w="1131"/>
      </w:tblGrid>
      <w:tr>
        <w:trPr>
          <w:tblHeader w:val="true"/>
        </w:trPr>
        <w:tc>
          <w:tcPr>
            <w:shd w:val="clear" w:fill="E3F2EB"/>
          </w:tcPr>
          <w:p>
            <w:pPr>
              <w:pStyle w:val="Compact"/>
              <w:jc w:val="left"/>
            </w:pPr>
            <w:r>
              <w:rPr>
                <w:b/>
                <w:sz w:val="20"/>
              </w:rPr>
              <w:t xml:space="preserve">Year</w:t>
            </w:r>
          </w:p>
        </w:tc>
        <w:tc>
          <w:tcPr>
            <w:shd w:val="clear" w:fill="E3F2EB"/>
          </w:tcPr>
          <w:p>
            <w:pPr>
              <w:pStyle w:val="Compact"/>
              <w:jc w:val="left"/>
            </w:pPr>
            <w:r>
              <w:rPr>
                <w:b/>
                <w:sz w:val="20"/>
              </w:rPr>
              <w:t xml:space="preserve">Actual</w:t>
            </w:r>
          </w:p>
        </w:tc>
        <w:tc>
          <w:tcPr>
            <w:shd w:val="clear" w:fill="E3F2EB"/>
          </w:tcPr>
          <w:p>
            <w:pPr>
              <w:pStyle w:val="Compact"/>
              <w:jc w:val="left"/>
            </w:pPr>
            <w:r>
              <w:rPr>
                <w:b/>
                <w:sz w:val="20"/>
              </w:rPr>
              <w:t xml:space="preserve">C: new (million)</w:t>
            </w:r>
          </w:p>
        </w:tc>
        <w:tc>
          <w:tcPr>
            <w:shd w:val="clear" w:fill="E3F2EB"/>
          </w:tcPr>
          <w:p>
            <w:pPr>
              <w:pStyle w:val="Compact"/>
              <w:jc w:val="left"/>
            </w:pPr>
            <w:r>
              <w:rPr>
                <w:b/>
                <w:sz w:val="20"/>
              </w:rPr>
              <w:t xml:space="preserve">C: cumulative</w:t>
            </w:r>
          </w:p>
        </w:tc>
        <w:tc>
          <w:tcPr>
            <w:shd w:val="clear" w:fill="E3F2EB"/>
          </w:tcPr>
          <w:p>
            <w:pPr>
              <w:pStyle w:val="Compact"/>
              <w:jc w:val="left"/>
            </w:pPr>
            <w:r>
              <w:rPr>
                <w:b/>
                <w:sz w:val="20"/>
              </w:rPr>
              <w:t xml:space="preserve">B: new</w:t>
            </w:r>
          </w:p>
        </w:tc>
        <w:tc>
          <w:tcPr>
            <w:shd w:val="clear" w:fill="E3F2EB"/>
          </w:tcPr>
          <w:p>
            <w:pPr>
              <w:pStyle w:val="Compact"/>
              <w:jc w:val="left"/>
            </w:pPr>
            <w:r>
              <w:rPr>
                <w:b/>
                <w:sz w:val="20"/>
              </w:rPr>
              <w:t xml:space="preserve">B: cumulative</w:t>
            </w:r>
          </w:p>
        </w:tc>
        <w:tc>
          <w:tcPr>
            <w:shd w:val="clear" w:fill="E3F2EB"/>
          </w:tcPr>
          <w:p>
            <w:pPr>
              <w:pStyle w:val="Compact"/>
              <w:jc w:val="left"/>
            </w:pPr>
            <w:r>
              <w:rPr>
                <w:b/>
                <w:sz w:val="20"/>
              </w:rPr>
              <w:t xml:space="preserve">A: new</w:t>
            </w:r>
          </w:p>
        </w:tc>
      </w:tr>
      <w:tr>
        <w:tc>
          <w:tcPr/>
          <w:p>
            <w:pPr>
              <w:pStyle w:val="Compact"/>
              <w:jc w:val="left"/>
            </w:pPr>
            <w:r>
              <w:rPr>
                <w:sz w:val="20"/>
              </w:rPr>
              <w:t xml:space="preserve">2023</w:t>
            </w:r>
          </w:p>
        </w:tc>
        <w:tc>
          <w:tcPr/>
          <w:p>
            <w:pPr>
              <w:pStyle w:val="Compact"/>
              <w:jc w:val="left"/>
            </w:pPr>
            <w:r>
              <w:rPr>
                <w:sz w:val="20"/>
              </w:rPr>
              <w:t xml:space="preserve">0.280</w:t>
            </w:r>
          </w:p>
        </w:tc>
        <w:tc>
          <w:tcPr/>
          <w:p>
            <w:pPr>
              <w:pStyle w:val="Compact"/>
              <w:jc w:val="left"/>
            </w:pPr>
            <w:r>
              <w:rPr>
                <w:sz w:val="20"/>
              </w:rPr>
              <w:t xml:space="preserve">0.307</w:t>
            </w:r>
          </w:p>
        </w:tc>
        <w:tc>
          <w:tcPr/>
          <w:p>
            <w:pPr>
              <w:pStyle w:val="Compact"/>
              <w:jc w:val="left"/>
            </w:pPr>
            <w:r>
              <w:rPr>
                <w:sz w:val="20"/>
              </w:rPr>
              <w:t xml:space="preserve">0.307</w:t>
            </w:r>
          </w:p>
        </w:tc>
        <w:tc>
          <w:tcPr/>
          <w:p>
            <w:pPr>
              <w:pStyle w:val="Compact"/>
              <w:jc w:val="left"/>
            </w:pPr>
            <w:r>
              <w:rPr>
                <w:sz w:val="20"/>
              </w:rPr>
              <w:t xml:space="preserve">0.280</w:t>
            </w:r>
          </w:p>
        </w:tc>
        <w:tc>
          <w:tcPr/>
          <w:p>
            <w:pPr>
              <w:pStyle w:val="Compact"/>
              <w:jc w:val="left"/>
            </w:pPr>
            <w:r>
              <w:rPr>
                <w:sz w:val="20"/>
              </w:rPr>
              <w:t xml:space="preserve">0.280</w:t>
            </w:r>
          </w:p>
        </w:tc>
        <w:tc>
          <w:tcPr/>
          <w:p>
            <w:pPr>
              <w:pStyle w:val="Compact"/>
              <w:jc w:val="left"/>
            </w:pPr>
            <w:r>
              <w:rPr>
                <w:sz w:val="20"/>
              </w:rPr>
              <w:t xml:space="preserve">0.002</w:t>
            </w:r>
          </w:p>
        </w:tc>
      </w:tr>
      <w:tr>
        <w:tc>
          <w:tcPr/>
          <w:p>
            <w:pPr>
              <w:pStyle w:val="Compact"/>
              <w:jc w:val="left"/>
            </w:pPr>
            <w:r>
              <w:rPr>
                <w:sz w:val="20"/>
              </w:rPr>
              <w:t xml:space="preserve">2024</w:t>
            </w:r>
          </w:p>
        </w:tc>
        <w:tc>
          <w:tcPr/>
          <w:p>
            <w:pPr>
              <w:pStyle w:val="Compact"/>
              <w:jc w:val="left"/>
            </w:pPr>
            <w:r>
              <w:rPr>
                <w:sz w:val="20"/>
              </w:rPr>
              <w:t xml:space="preserve">0.479</w:t>
            </w:r>
          </w:p>
        </w:tc>
        <w:tc>
          <w:tcPr/>
          <w:p>
            <w:pPr>
              <w:pStyle w:val="Compact"/>
              <w:jc w:val="left"/>
            </w:pPr>
            <w:r>
              <w:rPr>
                <w:sz w:val="20"/>
              </w:rPr>
              <w:t xml:space="preserve">0.450</w:t>
            </w:r>
          </w:p>
        </w:tc>
        <w:tc>
          <w:tcPr/>
          <w:p>
            <w:pPr>
              <w:pStyle w:val="Compact"/>
              <w:jc w:val="left"/>
            </w:pPr>
            <w:r>
              <w:rPr>
                <w:sz w:val="20"/>
              </w:rPr>
              <w:t xml:space="preserve">0.757</w:t>
            </w:r>
          </w:p>
        </w:tc>
        <w:tc>
          <w:tcPr/>
          <w:p>
            <w:pPr>
              <w:pStyle w:val="Compact"/>
              <w:jc w:val="left"/>
            </w:pPr>
            <w:r>
              <w:rPr>
                <w:sz w:val="20"/>
              </w:rPr>
              <w:t xml:space="preserve">0.456</w:t>
            </w:r>
          </w:p>
        </w:tc>
        <w:tc>
          <w:tcPr/>
          <w:p>
            <w:pPr>
              <w:pStyle w:val="Compact"/>
              <w:jc w:val="left"/>
            </w:pPr>
            <w:r>
              <w:rPr>
                <w:sz w:val="20"/>
              </w:rPr>
              <w:t xml:space="preserve">0.736</w:t>
            </w:r>
          </w:p>
        </w:tc>
        <w:tc>
          <w:tcPr/>
          <w:p>
            <w:pPr>
              <w:pStyle w:val="Compact"/>
              <w:jc w:val="left"/>
            </w:pPr>
            <w:r>
              <w:rPr>
                <w:sz w:val="20"/>
              </w:rPr>
              <w:t xml:space="preserve">0.003</w:t>
            </w:r>
          </w:p>
        </w:tc>
      </w:tr>
      <w:tr>
        <w:tc>
          <w:tcPr/>
          <w:p>
            <w:pPr>
              <w:pStyle w:val="Compact"/>
              <w:jc w:val="left"/>
            </w:pPr>
            <w:r>
              <w:rPr>
                <w:sz w:val="20"/>
              </w:rPr>
              <w:t xml:space="preserve">2025</w:t>
            </w:r>
          </w:p>
        </w:tc>
        <w:tc>
          <w:tcPr/>
          <w:p>
            <w:pPr>
              <w:pStyle w:val="Compact"/>
              <w:jc w:val="left"/>
            </w:pPr>
            <w:r>
              <w:rPr>
                <w:sz w:val="20"/>
              </w:rPr>
              <w:t xml:space="preserve">0.530</w:t>
            </w:r>
          </w:p>
        </w:tc>
        <w:tc>
          <w:tcPr/>
          <w:p>
            <w:pPr>
              <w:pStyle w:val="Compact"/>
              <w:jc w:val="left"/>
            </w:pPr>
            <w:r>
              <w:rPr>
                <w:bCs/>
                <w:b/>
                <w:sz w:val="20"/>
              </w:rPr>
              <w:t xml:space="preserve">0.539</w:t>
            </w:r>
          </w:p>
        </w:tc>
        <w:tc>
          <w:tcPr/>
          <w:p>
            <w:pPr>
              <w:pStyle w:val="Compact"/>
              <w:jc w:val="left"/>
            </w:pPr>
            <w:r>
              <w:rPr>
                <w:sz w:val="20"/>
              </w:rPr>
              <w:t xml:space="preserve">1.296</w:t>
            </w:r>
          </w:p>
        </w:tc>
        <w:tc>
          <w:tcPr/>
          <w:p>
            <w:pPr>
              <w:pStyle w:val="Compact"/>
              <w:jc w:val="left"/>
            </w:pPr>
            <w:r>
              <w:rPr>
                <w:sz w:val="20"/>
              </w:rPr>
              <w:t xml:space="preserve">0.648</w:t>
            </w:r>
          </w:p>
        </w:tc>
        <w:tc>
          <w:tcPr/>
          <w:p>
            <w:pPr>
              <w:pStyle w:val="Compact"/>
              <w:jc w:val="left"/>
            </w:pPr>
            <w:r>
              <w:rPr>
                <w:sz w:val="20"/>
              </w:rPr>
              <w:t xml:space="preserve">1.384</w:t>
            </w:r>
          </w:p>
        </w:tc>
        <w:tc>
          <w:tcPr/>
          <w:p>
            <w:pPr>
              <w:pStyle w:val="Compact"/>
              <w:jc w:val="left"/>
            </w:pPr>
            <w:r>
              <w:rPr>
                <w:sz w:val="20"/>
              </w:rPr>
              <w:t xml:space="preserve">0.006</w:t>
            </w:r>
          </w:p>
        </w:tc>
      </w:tr>
      <w:tr>
        <w:tc>
          <w:tcPr/>
          <w:p>
            <w:pPr>
              <w:pStyle w:val="Compact"/>
              <w:jc w:val="left"/>
            </w:pPr>
            <w:r>
              <w:rPr>
                <w:sz w:val="20"/>
              </w:rPr>
              <w:t xml:space="preserve">2026</w:t>
            </w:r>
          </w:p>
        </w:tc>
        <w:tc>
          <w:tcPr/>
          <w:p>
            <w:pPr>
              <w:pStyle w:val="Compact"/>
            </w:pPr>
          </w:p>
        </w:tc>
        <w:tc>
          <w:tcPr/>
          <w:p>
            <w:pPr>
              <w:pStyle w:val="Compact"/>
              <w:jc w:val="left"/>
            </w:pPr>
            <w:r>
              <w:rPr>
                <w:sz w:val="20"/>
              </w:rPr>
              <w:t xml:space="preserve">0.507</w:t>
            </w:r>
          </w:p>
        </w:tc>
        <w:tc>
          <w:tcPr/>
          <w:p>
            <w:pPr>
              <w:pStyle w:val="Compact"/>
              <w:jc w:val="left"/>
            </w:pPr>
            <w:r>
              <w:rPr>
                <w:sz w:val="20"/>
              </w:rPr>
              <w:t xml:space="preserve">1.803</w:t>
            </w:r>
          </w:p>
        </w:tc>
        <w:tc>
          <w:tcPr/>
          <w:p>
            <w:pPr>
              <w:pStyle w:val="Compact"/>
              <w:jc w:val="left"/>
            </w:pPr>
            <w:r>
              <w:rPr>
                <w:bCs/>
                <w:b/>
                <w:sz w:val="20"/>
              </w:rPr>
              <w:t xml:space="preserve">0.765</w:t>
            </w:r>
          </w:p>
        </w:tc>
        <w:tc>
          <w:tcPr/>
          <w:p>
            <w:pPr>
              <w:pStyle w:val="Compact"/>
              <w:jc w:val="left"/>
            </w:pPr>
            <w:r>
              <w:rPr>
                <w:sz w:val="20"/>
              </w:rPr>
              <w:t xml:space="preserve">2.149</w:t>
            </w:r>
          </w:p>
        </w:tc>
        <w:tc>
          <w:tcPr/>
          <w:p>
            <w:pPr>
              <w:pStyle w:val="Compact"/>
              <w:jc w:val="left"/>
            </w:pPr>
            <w:r>
              <w:rPr>
                <w:sz w:val="20"/>
              </w:rPr>
              <w:t xml:space="preserve">0.011</w:t>
            </w:r>
          </w:p>
        </w:tc>
      </w:tr>
      <w:tr>
        <w:tc>
          <w:tcPr/>
          <w:p>
            <w:pPr>
              <w:pStyle w:val="Compact"/>
              <w:jc w:val="left"/>
            </w:pPr>
            <w:r>
              <w:rPr>
                <w:sz w:val="20"/>
              </w:rPr>
              <w:t xml:space="preserve">2027</w:t>
            </w:r>
          </w:p>
        </w:tc>
        <w:tc>
          <w:tcPr/>
          <w:p>
            <w:pPr>
              <w:pStyle w:val="Compact"/>
            </w:pPr>
          </w:p>
        </w:tc>
        <w:tc>
          <w:tcPr/>
          <w:p>
            <w:pPr>
              <w:pStyle w:val="Compact"/>
              <w:jc w:val="left"/>
            </w:pPr>
            <w:r>
              <w:rPr>
                <w:sz w:val="20"/>
              </w:rPr>
              <w:t xml:space="preserve">0.380</w:t>
            </w:r>
          </w:p>
        </w:tc>
        <w:tc>
          <w:tcPr/>
          <w:p>
            <w:pPr>
              <w:pStyle w:val="Compact"/>
              <w:jc w:val="left"/>
            </w:pPr>
            <w:r>
              <w:rPr>
                <w:sz w:val="20"/>
              </w:rPr>
              <w:t xml:space="preserve">2.183</w:t>
            </w:r>
          </w:p>
        </w:tc>
        <w:tc>
          <w:tcPr/>
          <w:p>
            <w:pPr>
              <w:pStyle w:val="Compact"/>
              <w:jc w:val="left"/>
            </w:pPr>
            <w:r>
              <w:rPr>
                <w:sz w:val="20"/>
              </w:rPr>
              <w:t xml:space="preserve">0.729</w:t>
            </w:r>
          </w:p>
        </w:tc>
        <w:tc>
          <w:tcPr/>
          <w:p>
            <w:pPr>
              <w:pStyle w:val="Compact"/>
              <w:jc w:val="left"/>
            </w:pPr>
            <w:r>
              <w:rPr>
                <w:sz w:val="20"/>
              </w:rPr>
              <w:t xml:space="preserve">2.878</w:t>
            </w:r>
          </w:p>
        </w:tc>
        <w:tc>
          <w:tcPr/>
          <w:p>
            <w:pPr>
              <w:pStyle w:val="Compact"/>
              <w:jc w:val="left"/>
            </w:pPr>
            <w:r>
              <w:rPr>
                <w:sz w:val="20"/>
              </w:rPr>
              <w:t xml:space="preserve">0.020</w:t>
            </w:r>
          </w:p>
        </w:tc>
      </w:tr>
      <w:tr>
        <w:tc>
          <w:tcPr/>
          <w:p>
            <w:pPr>
              <w:pStyle w:val="Compact"/>
              <w:jc w:val="left"/>
            </w:pPr>
            <w:r>
              <w:rPr>
                <w:sz w:val="20"/>
              </w:rPr>
              <w:t xml:space="preserve">2028</w:t>
            </w:r>
          </w:p>
        </w:tc>
        <w:tc>
          <w:tcPr/>
          <w:p>
            <w:pPr>
              <w:pStyle w:val="Compact"/>
            </w:pPr>
          </w:p>
        </w:tc>
        <w:tc>
          <w:tcPr/>
          <w:p>
            <w:pPr>
              <w:pStyle w:val="Compact"/>
              <w:jc w:val="left"/>
            </w:pPr>
            <w:r>
              <w:rPr>
                <w:sz w:val="20"/>
              </w:rPr>
              <w:t xml:space="preserve">0.239</w:t>
            </w:r>
          </w:p>
        </w:tc>
        <w:tc>
          <w:tcPr/>
          <w:p>
            <w:pPr>
              <w:pStyle w:val="Compact"/>
              <w:jc w:val="left"/>
            </w:pPr>
            <w:r>
              <w:rPr>
                <w:sz w:val="20"/>
              </w:rPr>
              <w:t xml:space="preserve">2.423</w:t>
            </w:r>
          </w:p>
        </w:tc>
        <w:tc>
          <w:tcPr/>
          <w:p>
            <w:pPr>
              <w:pStyle w:val="Compact"/>
              <w:jc w:val="left"/>
            </w:pPr>
            <w:r>
              <w:rPr>
                <w:sz w:val="20"/>
              </w:rPr>
              <w:t xml:space="preserve">0.564</w:t>
            </w:r>
          </w:p>
        </w:tc>
        <w:tc>
          <w:tcPr/>
          <w:p>
            <w:pPr>
              <w:pStyle w:val="Compact"/>
              <w:jc w:val="left"/>
            </w:pPr>
            <w:r>
              <w:rPr>
                <w:sz w:val="20"/>
              </w:rPr>
              <w:t xml:space="preserve">3.442</w:t>
            </w:r>
          </w:p>
        </w:tc>
        <w:tc>
          <w:tcPr/>
          <w:p>
            <w:pPr>
              <w:pStyle w:val="Compact"/>
              <w:jc w:val="left"/>
            </w:pPr>
            <w:r>
              <w:rPr>
                <w:sz w:val="20"/>
              </w:rPr>
              <w:t xml:space="preserve">0.037</w:t>
            </w:r>
          </w:p>
        </w:tc>
      </w:tr>
      <w:tr>
        <w:tc>
          <w:tcPr/>
          <w:p>
            <w:pPr>
              <w:pStyle w:val="Compact"/>
              <w:jc w:val="left"/>
            </w:pPr>
            <w:r>
              <w:rPr>
                <w:sz w:val="20"/>
              </w:rPr>
              <w:t xml:space="preserve">2029</w:t>
            </w:r>
          </w:p>
        </w:tc>
        <w:tc>
          <w:tcPr/>
          <w:p>
            <w:pPr>
              <w:pStyle w:val="Compact"/>
            </w:pPr>
          </w:p>
        </w:tc>
        <w:tc>
          <w:tcPr/>
          <w:p>
            <w:pPr>
              <w:pStyle w:val="Compact"/>
              <w:jc w:val="left"/>
            </w:pPr>
            <w:r>
              <w:rPr>
                <w:sz w:val="20"/>
              </w:rPr>
              <w:t xml:space="preserve">0.134</w:t>
            </w:r>
          </w:p>
        </w:tc>
        <w:tc>
          <w:tcPr/>
          <w:p>
            <w:pPr>
              <w:pStyle w:val="Compact"/>
              <w:jc w:val="left"/>
            </w:pPr>
            <w:r>
              <w:rPr>
                <w:sz w:val="20"/>
              </w:rPr>
              <w:t xml:space="preserve">2.557</w:t>
            </w:r>
          </w:p>
        </w:tc>
        <w:tc>
          <w:tcPr/>
          <w:p>
            <w:pPr>
              <w:pStyle w:val="Compact"/>
              <w:jc w:val="left"/>
            </w:pPr>
            <w:r>
              <w:rPr>
                <w:sz w:val="20"/>
              </w:rPr>
              <w:t xml:space="preserve">0.371</w:t>
            </w:r>
          </w:p>
        </w:tc>
        <w:tc>
          <w:tcPr/>
          <w:p>
            <w:pPr>
              <w:pStyle w:val="Compact"/>
              <w:jc w:val="left"/>
            </w:pPr>
            <w:r>
              <w:rPr>
                <w:sz w:val="20"/>
              </w:rPr>
              <w:t xml:space="preserve">3.813</w:t>
            </w:r>
          </w:p>
        </w:tc>
        <w:tc>
          <w:tcPr/>
          <w:p>
            <w:pPr>
              <w:pStyle w:val="Compact"/>
              <w:jc w:val="left"/>
            </w:pPr>
            <w:r>
              <w:rPr>
                <w:sz w:val="20"/>
              </w:rPr>
              <w:t xml:space="preserve">0.067</w:t>
            </w:r>
          </w:p>
        </w:tc>
      </w:tr>
      <w:tr>
        <w:tc>
          <w:tcPr/>
          <w:p>
            <w:pPr>
              <w:pStyle w:val="Compact"/>
              <w:jc w:val="left"/>
            </w:pPr>
            <w:r>
              <w:rPr>
                <w:sz w:val="20"/>
              </w:rPr>
              <w:t xml:space="preserve">2030</w:t>
            </w:r>
          </w:p>
        </w:tc>
        <w:tc>
          <w:tcPr/>
          <w:p>
            <w:pPr>
              <w:pStyle w:val="Compact"/>
            </w:pPr>
          </w:p>
        </w:tc>
        <w:tc>
          <w:tcPr/>
          <w:p>
            <w:pPr>
              <w:pStyle w:val="Compact"/>
              <w:jc w:val="left"/>
            </w:pPr>
            <w:r>
              <w:rPr>
                <w:sz w:val="20"/>
              </w:rPr>
              <w:t xml:space="preserve">0.071</w:t>
            </w:r>
          </w:p>
        </w:tc>
        <w:tc>
          <w:tcPr/>
          <w:p>
            <w:pPr>
              <w:pStyle w:val="Compact"/>
              <w:jc w:val="left"/>
            </w:pPr>
            <w:r>
              <w:rPr>
                <w:sz w:val="20"/>
              </w:rPr>
              <w:t xml:space="preserve">2.628</w:t>
            </w:r>
          </w:p>
        </w:tc>
        <w:tc>
          <w:tcPr/>
          <w:p>
            <w:pPr>
              <w:pStyle w:val="Compact"/>
              <w:jc w:val="left"/>
            </w:pPr>
            <w:r>
              <w:rPr>
                <w:sz w:val="20"/>
              </w:rPr>
              <w:t xml:space="preserve">0.219</w:t>
            </w:r>
          </w:p>
        </w:tc>
        <w:tc>
          <w:tcPr/>
          <w:p>
            <w:pPr>
              <w:pStyle w:val="Compact"/>
              <w:jc w:val="left"/>
            </w:pPr>
            <w:r>
              <w:rPr>
                <w:sz w:val="20"/>
              </w:rPr>
              <w:t xml:space="preserve">4.031</w:t>
            </w:r>
          </w:p>
        </w:tc>
        <w:tc>
          <w:tcPr/>
          <w:p>
            <w:pPr>
              <w:pStyle w:val="Compact"/>
              <w:jc w:val="left"/>
            </w:pPr>
            <w:r>
              <w:rPr>
                <w:sz w:val="20"/>
              </w:rPr>
              <w:t xml:space="preserve">0.120</w:t>
            </w:r>
          </w:p>
        </w:tc>
      </w:tr>
    </w:tbl>
    <w:p>
      <w:pPr>
        <w:pStyle w:val="CaptionedFigure"/>
      </w:pPr>
      <w:r>
        <w:drawing>
          <wp:inline>
            <wp:extent cx="5400000" cy="2834999"/>
            <wp:effectExtent b="0" l="0" r="0" t="0"/>
            <wp:docPr descr="Seagull predicted sales per year" title="" id="32" name="Picture"/>
            <a:graphic>
              <a:graphicData uri="http://schemas.openxmlformats.org/drawingml/2006/picture">
                <pic:pic>
                  <pic:nvPicPr>
                    <pic:cNvPr descr="../img/seagull_new_adopters.png" id="33" name="Picture"/>
                    <pic:cNvPicPr>
                      <a:picLocks noChangeArrowheads="1" noChangeAspect="1"/>
                    </pic:cNvPicPr>
                  </pic:nvPicPr>
                  <pic:blipFill>
                    <a:blip r:embed="rId31"/>
                    <a:stretch>
                      <a:fillRect/>
                    </a:stretch>
                  </pic:blipFill>
                  <pic:spPr bwMode="auto">
                    <a:xfrm>
                      <a:off x="0" y="0"/>
                      <a:ext cx="5400000" cy="2834999"/>
                    </a:xfrm>
                    <a:prstGeom prst="rect">
                      <a:avLst/>
                    </a:prstGeom>
                    <a:noFill/>
                    <a:ln w="9525">
                      <a:noFill/>
                      <a:headEnd/>
                      <a:tailEnd/>
                    </a:ln>
                  </pic:spPr>
                </pic:pic>
              </a:graphicData>
            </a:graphic>
          </wp:inline>
        </w:drawing>
      </w:r>
    </w:p>
    <w:p>
      <w:pPr>
        <w:pStyle w:val="ImageCaption"/>
      </w:pPr>
      <w:r>
        <w:t xml:space="preserve">Seagull predicted sales per year</w:t>
      </w:r>
    </w:p>
    <w:p>
      <w:pPr>
        <w:pStyle w:val="CaptionedFigure"/>
      </w:pPr>
      <w:r>
        <w:drawing>
          <wp:inline>
            <wp:extent cx="5400000" cy="2834999"/>
            <wp:effectExtent b="0" l="0" r="0" t="0"/>
            <wp:docPr descr="Seagull predicted cumulative" title="" id="35" name="Picture"/>
            <a:graphic>
              <a:graphicData uri="http://schemas.openxmlformats.org/drawingml/2006/picture">
                <pic:pic>
                  <pic:nvPicPr>
                    <pic:cNvPr descr="../img/seagull_cumulative.png" id="36" name="Picture"/>
                    <pic:cNvPicPr>
                      <a:picLocks noChangeArrowheads="1" noChangeAspect="1"/>
                    </pic:cNvPicPr>
                  </pic:nvPicPr>
                  <pic:blipFill>
                    <a:blip r:embed="rId34"/>
                    <a:stretch>
                      <a:fillRect/>
                    </a:stretch>
                  </pic:blipFill>
                  <pic:spPr bwMode="auto">
                    <a:xfrm>
                      <a:off x="0" y="0"/>
                      <a:ext cx="5400000" cy="2834999"/>
                    </a:xfrm>
                    <a:prstGeom prst="rect">
                      <a:avLst/>
                    </a:prstGeom>
                    <a:noFill/>
                    <a:ln w="9525">
                      <a:noFill/>
                      <a:headEnd/>
                      <a:tailEnd/>
                    </a:ln>
                  </pic:spPr>
                </pic:pic>
              </a:graphicData>
            </a:graphic>
          </wp:inline>
        </w:drawing>
      </w:r>
    </w:p>
    <w:p>
      <w:pPr>
        <w:pStyle w:val="ImageCaption"/>
      </w:pPr>
      <w:r>
        <w:t xml:space="preserve">Seagull predicted cumulative</w:t>
      </w:r>
    </w:p>
    <w:p>
      <w:pPr>
        <w:pStyle w:val="BodyText"/>
      </w:pPr>
      <w:r>
        <w:rPr>
          <w:bCs/>
          <w:b/>
        </w:rPr>
        <w:t xml:space="preserve">Checking with 2026 data.</w:t>
      </w:r>
      <w:r>
        <w:t xml:space="preserve"> </w:t>
      </w:r>
      <w:r>
        <w:t xml:space="preserve">For January to September 2026, Scenario C predicts about 380,000 cars (75% of its 2026 number), Scenario B about 574,000, and the real number was 265,901 [8]. Both are too high, but C is much closer. The real drop is faster than the model predicts. I think there are a few reasons:</w:t>
      </w:r>
    </w:p>
    <w:p>
      <w:pPr>
        <w:numPr>
          <w:ilvl w:val="0"/>
          <w:numId w:val="1003"/>
        </w:numPr>
        <w:pStyle w:val="Compact"/>
      </w:pPr>
      <w:r>
        <w:t xml:space="preserve">The second-generation Seagull was announced in 2026 and pre-orders opened in October [8], so some people probably waited for the new model.</w:t>
      </w:r>
    </w:p>
    <w:p>
      <w:pPr>
        <w:numPr>
          <w:ilvl w:val="0"/>
          <w:numId w:val="1003"/>
        </w:numPr>
        <w:pStyle w:val="Compact"/>
      </w:pPr>
      <w:r>
        <w:t xml:space="preserve">There is a lot of competition from other cheap EVs in China.</w:t>
      </w:r>
    </w:p>
    <w:p>
      <w:pPr>
        <w:numPr>
          <w:ilvl w:val="0"/>
          <w:numId w:val="1003"/>
        </w:numPr>
        <w:pStyle w:val="Compact"/>
      </w:pPr>
      <w:r>
        <w:t xml:space="preserve">The Bass model doesn’t include price changes, subsidies or new models.</w:t>
      </w:r>
    </w:p>
    <w:bookmarkEnd w:id="37"/>
    <w:bookmarkStart w:id="38" w:name="scope-global"/>
    <w:p>
      <w:pPr>
        <w:pStyle w:val="Heading1"/>
      </w:pPr>
      <w:r>
        <w:t xml:space="preserve">6. Scope: global</w:t>
      </w:r>
    </w:p>
    <w:p>
      <w:pPr>
        <w:pStyle w:val="FirstParagraph"/>
      </w:pPr>
      <w:r>
        <w:t xml:space="preserve">I chose to model the Seagull worldwide, not only in China:</w:t>
      </w:r>
    </w:p>
    <w:p>
      <w:pPr>
        <w:numPr>
          <w:ilvl w:val="0"/>
          <w:numId w:val="1004"/>
        </w:numPr>
        <w:pStyle w:val="Compact"/>
      </w:pPr>
      <w:r>
        <w:t xml:space="preserve">It is sold in many countries under different names [2], and it is now even built in Brazil and Indonesia [2].</w:t>
      </w:r>
    </w:p>
    <w:p>
      <w:pPr>
        <w:numPr>
          <w:ilvl w:val="0"/>
          <w:numId w:val="1004"/>
        </w:numPr>
        <w:pStyle w:val="Compact"/>
      </w:pPr>
      <w:r>
        <w:t xml:space="preserve">Exports are growing fast. In 2025 only about 311,000 of the 530,000 Seagulls were made in China [2]. If I modeled only China, I would miss around 40% of the sales.</w:t>
      </w:r>
    </w:p>
    <w:p>
      <w:pPr>
        <w:numPr>
          <w:ilvl w:val="0"/>
          <w:numId w:val="1004"/>
        </w:numPr>
        <w:pStyle w:val="Compact"/>
      </w:pPr>
      <w:r>
        <w:t xml:space="preserve">The sales numbers BYD reports are worldwide totals [7], and Tesla’s deliveries are worldwide too, so the look-alike and the new product are measured the same way.</w:t>
      </w:r>
    </w:p>
    <w:bookmarkEnd w:id="38"/>
    <w:bookmarkStart w:id="39" w:name="X3b93594c8e709dd4c87d5c1802d2d696fa0db17"/>
    <w:p>
      <w:pPr>
        <w:pStyle w:val="Heading1"/>
      </w:pPr>
      <w:r>
        <w:t xml:space="preserve">7. Market potential (Fermi estimate) and adopters by period</w:t>
      </w:r>
    </w:p>
    <w:p>
      <w:pPr>
        <w:pStyle w:val="FirstParagraph"/>
      </w:pPr>
      <w:r>
        <w:t xml:space="preserve">Here is my Fermi estimate of M, which I used in Scenarios A and B and to check Scenario C:</w:t>
      </w:r>
    </w:p>
    <w:tbl>
      <w:tblPr>
        <w:tblStyle w:val="Table"/>
        <w:tblW w:type="pct" w:w="5000"/>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Pr>
      <w:tblGrid>
        <w:gridCol w:w="2640"/>
        <w:gridCol w:w="2640"/>
        <w:gridCol w:w="2640"/>
      </w:tblGrid>
      <w:tr>
        <w:trPr>
          <w:tblHeader w:val="true"/>
        </w:trPr>
        <w:tc>
          <w:tcPr>
            <w:shd w:val="clear" w:fill="E3F2EB"/>
          </w:tcPr>
          <w:p>
            <w:pPr>
              <w:pStyle w:val="Compact"/>
              <w:jc w:val="left"/>
            </w:pPr>
            <w:r>
              <w:rPr>
                <w:b/>
                <w:sz w:val="20"/>
              </w:rPr>
              <w:t xml:space="preserve">Step</w:t>
            </w:r>
          </w:p>
        </w:tc>
        <w:tc>
          <w:tcPr>
            <w:shd w:val="clear" w:fill="E3F2EB"/>
          </w:tcPr>
          <w:p>
            <w:pPr>
              <w:pStyle w:val="Compact"/>
              <w:jc w:val="left"/>
            </w:pPr>
            <w:r>
              <w:rPr>
                <w:b/>
                <w:sz w:val="20"/>
              </w:rPr>
              <w:t xml:space="preserve">Value</w:t>
            </w:r>
          </w:p>
        </w:tc>
        <w:tc>
          <w:tcPr>
            <w:shd w:val="clear" w:fill="E3F2EB"/>
          </w:tcPr>
          <w:p>
            <w:pPr>
              <w:pStyle w:val="Compact"/>
              <w:jc w:val="left"/>
            </w:pPr>
            <w:r>
              <w:rPr>
                <w:b/>
                <w:sz w:val="20"/>
              </w:rPr>
              <w:t xml:space="preserve">Source</w:t>
            </w:r>
          </w:p>
        </w:tc>
      </w:tr>
      <w:tr>
        <w:tc>
          <w:tcPr/>
          <w:p>
            <w:pPr>
              <w:pStyle w:val="Compact"/>
              <w:jc w:val="left"/>
            </w:pPr>
            <w:r>
              <w:rPr>
                <w:sz w:val="20"/>
              </w:rPr>
              <w:t xml:space="preserve">Electric cars sold worldwide per year (2024)</w:t>
            </w:r>
          </w:p>
        </w:tc>
        <w:tc>
          <w:tcPr/>
          <w:p>
            <w:pPr>
              <w:pStyle w:val="Compact"/>
              <w:jc w:val="left"/>
            </w:pPr>
            <w:r>
              <w:rPr>
                <w:sz w:val="20"/>
              </w:rPr>
              <w:t xml:space="preserve">17 million</w:t>
            </w:r>
          </w:p>
        </w:tc>
        <w:tc>
          <w:tcPr/>
          <w:p>
            <w:pPr>
              <w:pStyle w:val="Compact"/>
              <w:jc w:val="left"/>
            </w:pPr>
            <w:r>
              <w:rPr>
                <w:sz w:val="20"/>
              </w:rPr>
              <w:t xml:space="preserve">IEA [12]</w:t>
            </w:r>
          </w:p>
        </w:tc>
      </w:tr>
      <w:tr>
        <w:tc>
          <w:tcPr/>
          <w:p>
            <w:pPr>
              <w:pStyle w:val="Compact"/>
              <w:jc w:val="left"/>
            </w:pPr>
            <w:r>
              <w:rPr>
                <w:sz w:val="20"/>
              </w:rPr>
              <w:t xml:space="preserve">× share that are small, cheap city cars</w:t>
            </w:r>
          </w:p>
        </w:tc>
        <w:tc>
          <w:tcPr/>
          <w:p>
            <w:pPr>
              <w:pStyle w:val="Compact"/>
              <w:jc w:val="left"/>
            </w:pPr>
            <w:r>
              <w:rPr>
                <w:sz w:val="20"/>
              </w:rPr>
              <w:t xml:space="preserve">12% → 2.04 million/year</w:t>
            </w:r>
          </w:p>
        </w:tc>
        <w:tc>
          <w:tcPr/>
          <w:p>
            <w:pPr>
              <w:pStyle w:val="Compact"/>
              <w:jc w:val="left"/>
            </w:pPr>
            <w:r>
              <w:rPr>
                <w:sz w:val="20"/>
              </w:rPr>
              <w:t xml:space="preserve">my assumption</w:t>
            </w:r>
          </w:p>
        </w:tc>
      </w:tr>
      <w:tr>
        <w:tc>
          <w:tcPr/>
          <w:p>
            <w:pPr>
              <w:pStyle w:val="Compact"/>
              <w:jc w:val="left"/>
            </w:pPr>
            <w:r>
              <w:rPr>
                <w:sz w:val="20"/>
              </w:rPr>
              <w:t xml:space="preserve">× Seagull’s share of that segment</w:t>
            </w:r>
          </w:p>
        </w:tc>
        <w:tc>
          <w:tcPr/>
          <w:p>
            <w:pPr>
              <w:pStyle w:val="Compact"/>
              <w:jc w:val="left"/>
            </w:pPr>
            <w:r>
              <w:rPr>
                <w:sz w:val="20"/>
              </w:rPr>
              <w:t xml:space="preserve">30% → 0.61 million/year</w:t>
            </w:r>
          </w:p>
        </w:tc>
        <w:tc>
          <w:tcPr/>
          <w:p>
            <w:pPr>
              <w:pStyle w:val="Compact"/>
              <w:jc w:val="left"/>
            </w:pPr>
            <w:r>
              <w:rPr>
                <w:sz w:val="20"/>
              </w:rPr>
              <w:t xml:space="preserve">my assumption</w:t>
            </w:r>
          </w:p>
        </w:tc>
      </w:tr>
      <w:tr>
        <w:tc>
          <w:tcPr/>
          <w:p>
            <w:pPr>
              <w:pStyle w:val="Compact"/>
              <w:jc w:val="left"/>
            </w:pPr>
            <w:r>
              <w:rPr>
                <w:sz w:val="20"/>
              </w:rPr>
              <w:t xml:space="preserve">× years the Seagull stays on sale</w:t>
            </w:r>
          </w:p>
        </w:tc>
        <w:tc>
          <w:tcPr/>
          <w:p>
            <w:pPr>
              <w:pStyle w:val="Compact"/>
              <w:jc w:val="left"/>
            </w:pPr>
            <w:r>
              <w:rPr>
                <w:sz w:val="20"/>
              </w:rPr>
              <w:t xml:space="preserve">7 years</w:t>
            </w:r>
          </w:p>
        </w:tc>
        <w:tc>
          <w:tcPr/>
          <w:p>
            <w:pPr>
              <w:pStyle w:val="Compact"/>
              <w:jc w:val="left"/>
            </w:pPr>
            <w:r>
              <w:rPr>
                <w:sz w:val="20"/>
              </w:rPr>
              <w:t xml:space="preserve">my assumption</w:t>
            </w:r>
          </w:p>
        </w:tc>
      </w:tr>
      <w:tr>
        <w:tc>
          <w:tcPr/>
          <w:p>
            <w:pPr>
              <w:pStyle w:val="Compact"/>
              <w:jc w:val="left"/>
            </w:pPr>
            <w:r>
              <w:rPr>
                <w:bCs/>
                <w:b/>
                <w:sz w:val="20"/>
              </w:rPr>
              <w:t xml:space="preserve">M</w:t>
            </w:r>
          </w:p>
        </w:tc>
        <w:tc>
          <w:tcPr/>
          <w:p>
            <w:pPr>
              <w:pStyle w:val="Compact"/>
              <w:jc w:val="left"/>
            </w:pPr>
            <w:r>
              <w:rPr>
                <w:bCs/>
                <w:b/>
                <w:sz w:val="20"/>
              </w:rPr>
              <w:t xml:space="preserve">≈ 4.3 million cars</w:t>
            </w:r>
          </w:p>
        </w:tc>
        <w:tc>
          <w:tcPr/>
          <w:p>
            <w:pPr>
              <w:pStyle w:val="Compact"/>
            </w:pPr>
          </w:p>
        </w:tc>
      </w:tr>
    </w:tbl>
    <w:p>
      <w:pPr>
        <w:pStyle w:val="BodyText"/>
      </w:pPr>
      <w:r>
        <w:t xml:space="preserve">How I chose the assumptions: in 2024 the Seagull alone sold 0.48 million cars, which is about 2.8% of all EVs in the world. My 12% × 30% = 3.6%, so it is in the same range. Seven years is a normal lifetime for a car model, including updates.</w:t>
      </w:r>
    </w:p>
    <w:p>
      <w:pPr>
        <w:pStyle w:val="BodyText"/>
      </w:pPr>
      <w:r>
        <w:t xml:space="preserve">The data-based estimate in Scenario C (M = 2.7 million) is lower than my Fermi guess (4.3 million). With the 2026 sales dropping, I think the real M for this generation is closer to 2.7 million. By September 2026 about 1.55 million Seagulls had been sold in total [8], so in Scenario C the car has already reached more than half of its potential.</w:t>
      </w:r>
    </w:p>
    <w:p>
      <w:pPr>
        <w:pStyle w:val="BodyText"/>
      </w:pPr>
      <w:r>
        <w:rPr>
          <w:bCs/>
          <w:b/>
        </w:rPr>
        <w:t xml:space="preserve">Adopters by period (main scenario C):</w:t>
      </w:r>
      <w:r>
        <w:t xml:space="preserve"> </w:t>
      </w:r>
      <w:r>
        <w:t xml:space="preserve">around 0.51 million in 2026 and 0.38 million in 2027, then quickly fewer, about 2.6 million in total by 2030. The full yearly table for all scenarios is above and in</w:t>
      </w:r>
      <w:r>
        <w:t xml:space="preserve"> </w:t>
      </w:r>
      <w:r>
        <w:rPr>
          <w:rStyle w:val="VerbatimChar"/>
        </w:rPr>
        <w:t xml:space="preserve">data/seagull_forecast.csv</w:t>
      </w:r>
      <w:r>
        <w:t xml:space="preserve">.</w:t>
      </w:r>
    </w:p>
    <w:p>
      <w:pPr>
        <w:pStyle w:val="BodyText"/>
      </w:pPr>
      <w:r>
        <w:rPr>
          <w:bCs/>
          <w:b/>
        </w:rPr>
        <w:t xml:space="preserve">Sensitivity to q.</w:t>
      </w:r>
      <w:r>
        <w:t xml:space="preserve"> </w:t>
      </w:r>
      <w:r>
        <w:t xml:space="preserve">I borrowed q from Tesla, but the Seagull’s word-of-mouth effect could be weaker or stronger, so I refit p and M with q 20% lower and 20% higher:</w:t>
      </w:r>
    </w:p>
    <w:tbl>
      <w:tblPr>
        <w:tblStyle w:val="Table"/>
        <w:tblW w:type="pct" w:w="5000"/>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Pr>
      <w:tblGrid>
        <w:gridCol w:w="1320"/>
        <w:gridCol w:w="1320"/>
        <w:gridCol w:w="1320"/>
        <w:gridCol w:w="1320"/>
        <w:gridCol w:w="1320"/>
        <w:gridCol w:w="1320"/>
      </w:tblGrid>
      <w:tr>
        <w:trPr>
          <w:tblHeader w:val="true"/>
        </w:trPr>
        <w:tc>
          <w:tcPr>
            <w:shd w:val="clear" w:fill="E3F2EB"/>
          </w:tcPr>
          <w:p>
            <w:pPr>
              <w:pStyle w:val="Compact"/>
              <w:jc w:val="left"/>
            </w:pPr>
            <w:r>
              <w:rPr>
                <w:b/>
                <w:sz w:val="20"/>
              </w:rPr>
              <w:t xml:space="preserve">q</w:t>
            </w:r>
          </w:p>
        </w:tc>
        <w:tc>
          <w:tcPr>
            <w:shd w:val="clear" w:fill="E3F2EB"/>
          </w:tcPr>
          <w:p>
            <w:pPr>
              <w:pStyle w:val="Compact"/>
              <w:jc w:val="left"/>
            </w:pPr>
            <w:r>
              <w:rPr>
                <w:b/>
                <w:sz w:val="20"/>
              </w:rPr>
              <w:t xml:space="preserve">M (million)</w:t>
            </w:r>
          </w:p>
        </w:tc>
        <w:tc>
          <w:tcPr>
            <w:shd w:val="clear" w:fill="E3F2EB"/>
          </w:tcPr>
          <w:p>
            <w:pPr>
              <w:pStyle w:val="Compact"/>
              <w:jc w:val="left"/>
            </w:pPr>
            <w:r>
              <w:rPr>
                <w:b/>
                <w:sz w:val="20"/>
              </w:rPr>
              <w:t xml:space="preserve">p</w:t>
            </w:r>
          </w:p>
        </w:tc>
        <w:tc>
          <w:tcPr>
            <w:shd w:val="clear" w:fill="E3F2EB"/>
          </w:tcPr>
          <w:p>
            <w:pPr>
              <w:pStyle w:val="Compact"/>
              <w:jc w:val="left"/>
            </w:pPr>
            <w:r>
              <w:rPr>
                <w:b/>
                <w:sz w:val="20"/>
              </w:rPr>
              <w:t xml:space="preserve">2026 sales (million)</w:t>
            </w:r>
          </w:p>
        </w:tc>
        <w:tc>
          <w:tcPr>
            <w:shd w:val="clear" w:fill="E3F2EB"/>
          </w:tcPr>
          <w:p>
            <w:pPr>
              <w:pStyle w:val="Compact"/>
              <w:jc w:val="left"/>
            </w:pPr>
            <w:r>
              <w:rPr>
                <w:b/>
                <w:sz w:val="20"/>
              </w:rPr>
              <w:t xml:space="preserve">Cumulative by 2030</w:t>
            </w:r>
          </w:p>
        </w:tc>
        <w:tc>
          <w:tcPr>
            <w:shd w:val="clear" w:fill="E3F2EB"/>
          </w:tcPr>
          <w:p>
            <w:pPr>
              <w:pStyle w:val="Compact"/>
              <w:jc w:val="left"/>
            </w:pPr>
            <w:r>
              <w:rPr>
                <w:b/>
                <w:sz w:val="20"/>
              </w:rPr>
              <w:t xml:space="preserve">Peak year</w:t>
            </w:r>
          </w:p>
        </w:tc>
      </w:tr>
      <w:tr>
        <w:tc>
          <w:tcPr/>
          <w:p>
            <w:pPr>
              <w:pStyle w:val="Compact"/>
              <w:jc w:val="left"/>
            </w:pPr>
            <w:r>
              <w:rPr>
                <w:sz w:val="20"/>
              </w:rPr>
              <w:t xml:space="preserve">0.500</w:t>
            </w:r>
          </w:p>
        </w:tc>
        <w:tc>
          <w:tcPr/>
          <w:p>
            <w:pPr>
              <w:pStyle w:val="Compact"/>
              <w:jc w:val="left"/>
            </w:pPr>
            <w:r>
              <w:rPr>
                <w:sz w:val="20"/>
              </w:rPr>
              <w:t xml:space="preserve">3.55</w:t>
            </w:r>
          </w:p>
        </w:tc>
        <w:tc>
          <w:tcPr/>
          <w:p>
            <w:pPr>
              <w:pStyle w:val="Compact"/>
              <w:jc w:val="left"/>
            </w:pPr>
            <w:r>
              <w:rPr>
                <w:sz w:val="20"/>
              </w:rPr>
              <w:t xml:space="preserve">0.072</w:t>
            </w:r>
          </w:p>
        </w:tc>
        <w:tc>
          <w:tcPr/>
          <w:p>
            <w:pPr>
              <w:pStyle w:val="Compact"/>
              <w:jc w:val="left"/>
            </w:pPr>
            <w:r>
              <w:rPr>
                <w:sz w:val="20"/>
              </w:rPr>
              <w:t xml:space="preserve">0.58</w:t>
            </w:r>
          </w:p>
        </w:tc>
        <w:tc>
          <w:tcPr/>
          <w:p>
            <w:pPr>
              <w:pStyle w:val="Compact"/>
              <w:jc w:val="left"/>
            </w:pPr>
            <w:r>
              <w:rPr>
                <w:sz w:val="20"/>
              </w:rPr>
              <w:t xml:space="preserve">3.28</w:t>
            </w:r>
          </w:p>
        </w:tc>
        <w:tc>
          <w:tcPr/>
          <w:p>
            <w:pPr>
              <w:pStyle w:val="Compact"/>
              <w:jc w:val="left"/>
            </w:pPr>
            <w:r>
              <w:rPr>
                <w:sz w:val="20"/>
              </w:rPr>
              <w:t xml:space="preserve">2026</w:t>
            </w:r>
          </w:p>
        </w:tc>
      </w:tr>
      <w:tr>
        <w:tc>
          <w:tcPr/>
          <w:p>
            <w:pPr>
              <w:pStyle w:val="Compact"/>
              <w:jc w:val="left"/>
            </w:pPr>
            <w:r>
              <w:rPr>
                <w:sz w:val="20"/>
              </w:rPr>
              <w:t xml:space="preserve">0.625</w:t>
            </w:r>
          </w:p>
        </w:tc>
        <w:tc>
          <w:tcPr/>
          <w:p>
            <w:pPr>
              <w:pStyle w:val="Compact"/>
              <w:jc w:val="left"/>
            </w:pPr>
            <w:r>
              <w:rPr>
                <w:sz w:val="20"/>
              </w:rPr>
              <w:t xml:space="preserve">2.70</w:t>
            </w:r>
          </w:p>
        </w:tc>
        <w:tc>
          <w:tcPr/>
          <w:p>
            <w:pPr>
              <w:pStyle w:val="Compact"/>
              <w:jc w:val="left"/>
            </w:pPr>
            <w:r>
              <w:rPr>
                <w:sz w:val="20"/>
              </w:rPr>
              <w:t xml:space="preserve">0.088</w:t>
            </w:r>
          </w:p>
        </w:tc>
        <w:tc>
          <w:tcPr/>
          <w:p>
            <w:pPr>
              <w:pStyle w:val="Compact"/>
              <w:jc w:val="left"/>
            </w:pPr>
            <w:r>
              <w:rPr>
                <w:sz w:val="20"/>
              </w:rPr>
              <w:t xml:space="preserve">0.51</w:t>
            </w:r>
          </w:p>
        </w:tc>
        <w:tc>
          <w:tcPr/>
          <w:p>
            <w:pPr>
              <w:pStyle w:val="Compact"/>
              <w:jc w:val="left"/>
            </w:pPr>
            <w:r>
              <w:rPr>
                <w:sz w:val="20"/>
              </w:rPr>
              <w:t xml:space="preserve">2.63</w:t>
            </w:r>
          </w:p>
        </w:tc>
        <w:tc>
          <w:tcPr/>
          <w:p>
            <w:pPr>
              <w:pStyle w:val="Compact"/>
              <w:jc w:val="left"/>
            </w:pPr>
            <w:r>
              <w:rPr>
                <w:sz w:val="20"/>
              </w:rPr>
              <w:t xml:space="preserve">2025</w:t>
            </w:r>
          </w:p>
        </w:tc>
      </w:tr>
      <w:tr>
        <w:tc>
          <w:tcPr/>
          <w:p>
            <w:pPr>
              <w:pStyle w:val="Compact"/>
              <w:jc w:val="left"/>
            </w:pPr>
            <w:r>
              <w:rPr>
                <w:sz w:val="20"/>
              </w:rPr>
              <w:t xml:space="preserve">0.751</w:t>
            </w:r>
          </w:p>
        </w:tc>
        <w:tc>
          <w:tcPr/>
          <w:p>
            <w:pPr>
              <w:pStyle w:val="Compact"/>
              <w:jc w:val="left"/>
            </w:pPr>
            <w:r>
              <w:rPr>
                <w:sz w:val="20"/>
              </w:rPr>
              <w:t xml:space="preserve">2.28</w:t>
            </w:r>
          </w:p>
        </w:tc>
        <w:tc>
          <w:tcPr/>
          <w:p>
            <w:pPr>
              <w:pStyle w:val="Compact"/>
              <w:jc w:val="left"/>
            </w:pPr>
            <w:r>
              <w:rPr>
                <w:sz w:val="20"/>
              </w:rPr>
              <w:t xml:space="preserve">0.095</w:t>
            </w:r>
          </w:p>
        </w:tc>
        <w:tc>
          <w:tcPr/>
          <w:p>
            <w:pPr>
              <w:pStyle w:val="Compact"/>
              <w:jc w:val="left"/>
            </w:pPr>
            <w:r>
              <w:rPr>
                <w:sz w:val="20"/>
              </w:rPr>
              <w:t xml:space="preserve">0.45</w:t>
            </w:r>
          </w:p>
        </w:tc>
        <w:tc>
          <w:tcPr/>
          <w:p>
            <w:pPr>
              <w:pStyle w:val="Compact"/>
              <w:jc w:val="left"/>
            </w:pPr>
            <w:r>
              <w:rPr>
                <w:sz w:val="20"/>
              </w:rPr>
              <w:t xml:space="preserve">2.26</w:t>
            </w:r>
          </w:p>
        </w:tc>
        <w:tc>
          <w:tcPr/>
          <w:p>
            <w:pPr>
              <w:pStyle w:val="Compact"/>
              <w:jc w:val="left"/>
            </w:pPr>
            <w:r>
              <w:rPr>
                <w:sz w:val="20"/>
              </w:rPr>
              <w:t xml:space="preserve">2025</w:t>
            </w:r>
          </w:p>
        </w:tc>
      </w:tr>
    </w:tbl>
    <w:p>
      <w:pPr>
        <w:pStyle w:val="BodyText"/>
      </w:pPr>
      <w:r>
        <w:t xml:space="preserve">So the total market changes quite a lot (2.3 to 3.6 million), but in every case the Seagull’s sales peak in 2025 or 2026 and then go down.</w:t>
      </w:r>
    </w:p>
    <w:bookmarkEnd w:id="39"/>
    <w:bookmarkStart w:id="40" w:name="conclusion"/>
    <w:p>
      <w:pPr>
        <w:pStyle w:val="Heading1"/>
      </w:pPr>
      <w:r>
        <w:t xml:space="preserve">8. Conclusion</w:t>
      </w:r>
    </w:p>
    <w:p>
      <w:pPr>
        <w:pStyle w:val="FirstParagraph"/>
      </w:pPr>
      <w:r>
        <w:t xml:space="preserve">I used Tesla as the look-alike for the BYD Seagull. For Tesla I got p = 0.00028, q = 0.625 and M = 11.9 million cars, with a very good fit. Simply copying Tesla’s parameters didn’t work for the Seagull, because cheap EVs entered a market that already trusted electric cars, so people bought them much faster. Keeping Tesla’s q and fitting p and M to the Seagull’s real sales gives p = 0.088 and M = 2.7 million. In this forecast, sales peak in 2025 at about 0.54 million and the total reaches about 2.6 million by 2030. The 2026 numbers so far show an even faster decline, probably because of the new second-generation model and strong competition.</w:t>
      </w:r>
    </w:p>
    <w:p>
      <w:pPr>
        <w:pStyle w:val="BodyText"/>
      </w:pPr>
      <w:r>
        <w:rPr>
          <w:bCs/>
          <w:b/>
        </w:rPr>
        <w:t xml:space="preserve">Limitations:</w:t>
      </w:r>
    </w:p>
    <w:p>
      <w:pPr>
        <w:numPr>
          <w:ilvl w:val="0"/>
          <w:numId w:val="1005"/>
        </w:numPr>
        <w:pStyle w:val="Compact"/>
      </w:pPr>
      <w:r>
        <w:t xml:space="preserve">Deliveries and sales count cars, not people.</w:t>
      </w:r>
    </w:p>
    <w:p>
      <w:pPr>
        <w:numPr>
          <w:ilvl w:val="0"/>
          <w:numId w:val="1005"/>
        </w:numPr>
        <w:pStyle w:val="Compact"/>
      </w:pPr>
      <w:r>
        <w:t xml:space="preserve">2023 is only about 8 months of Seagull sales, so the first period is shorter than the others.</w:t>
      </w:r>
    </w:p>
    <w:p>
      <w:pPr>
        <w:numPr>
          <w:ilvl w:val="0"/>
          <w:numId w:val="1005"/>
        </w:numPr>
        <w:pStyle w:val="Compact"/>
      </w:pPr>
      <w:r>
        <w:t xml:space="preserve">My Fermi assumptions (12%, 30%, 7 years) are guesses, and q is borrowed from Tesla.</w:t>
      </w:r>
    </w:p>
    <w:p>
      <w:pPr>
        <w:numPr>
          <w:ilvl w:val="0"/>
          <w:numId w:val="1005"/>
        </w:numPr>
        <w:pStyle w:val="Compact"/>
      </w:pPr>
      <w:r>
        <w:t xml:space="preserve">The basic Bass model doesn’t include price, subsidies, competition or new generations. The second-generation Seagull could start a new adoption curve, which would need a model with generations (like Norton–Bass).</w:t>
      </w:r>
    </w:p>
    <w:bookmarkEnd w:id="40"/>
    <w:bookmarkStart w:id="49" w:name="references"/>
    <w:p>
      <w:pPr>
        <w:pStyle w:val="Heading1"/>
      </w:pPr>
      <w:r>
        <w:t xml:space="preserve">References</w:t>
      </w:r>
    </w:p>
    <w:p>
      <w:pPr>
        <w:pStyle w:val="FirstParagraph"/>
      </w:pPr>
      <w:r>
        <w:t xml:space="preserve">[1] TIME. (2025, October 9).</w:t>
      </w:r>
      <w:r>
        <w:t xml:space="preserve"> </w:t>
      </w:r>
      <w:r>
        <w:rPr>
          <w:iCs/>
          <w:i/>
        </w:rPr>
        <w:t xml:space="preserve">BYD Seagull: The Best Inventions of 2025</w:t>
      </w:r>
      <w:r>
        <w:t xml:space="preserve">.</w:t>
      </w:r>
      <w:r>
        <w:t xml:space="preserve"> </w:t>
      </w:r>
      <w:hyperlink r:id="rId20">
        <w:r>
          <w:rPr>
            <w:rStyle w:val="Hyperlink"/>
          </w:rPr>
          <w:t xml:space="preserve">https://time.com/collections/best-inventions-2025/7318540/byd-seagull/</w:t>
        </w:r>
      </w:hyperlink>
    </w:p>
    <w:p>
      <w:pPr>
        <w:pStyle w:val="BodyText"/>
      </w:pPr>
      <w:r>
        <w:t xml:space="preserve">[2] Wikipedia.</w:t>
      </w:r>
      <w:r>
        <w:t xml:space="preserve"> </w:t>
      </w:r>
      <w:r>
        <w:rPr>
          <w:iCs/>
          <w:i/>
        </w:rPr>
        <w:t xml:space="preserve">BYD Seagull</w:t>
      </w:r>
      <w:r>
        <w:t xml:space="preserve"> </w:t>
      </w:r>
      <w:r>
        <w:t xml:space="preserve">(launch, prices, export names, production by year and country).</w:t>
      </w:r>
      <w:r>
        <w:t xml:space="preserve"> </w:t>
      </w:r>
      <w:hyperlink r:id="rId41">
        <w:r>
          <w:rPr>
            <w:rStyle w:val="Hyperlink"/>
          </w:rPr>
          <w:t xml:space="preserve">https://en.wikipedia.org/wiki/BYD_Seagull</w:t>
        </w:r>
      </w:hyperlink>
    </w:p>
    <w:p>
      <w:pPr>
        <w:pStyle w:val="BodyText"/>
      </w:pPr>
      <w:r>
        <w:t xml:space="preserve">[3] CnEVPost. (2024, August 1).</w:t>
      </w:r>
      <w:r>
        <w:t xml:space="preserve"> </w:t>
      </w:r>
      <w:r>
        <w:rPr>
          <w:iCs/>
          <w:i/>
        </w:rPr>
        <w:t xml:space="preserve">BYD launches 2025 Seagull with unchanged starting price of $9,650</w:t>
      </w:r>
      <w:r>
        <w:t xml:space="preserve">.</w:t>
      </w:r>
      <w:r>
        <w:t xml:space="preserve"> </w:t>
      </w:r>
      <w:hyperlink r:id="rId42">
        <w:r>
          <w:rPr>
            <w:rStyle w:val="Hyperlink"/>
          </w:rPr>
          <w:t xml:space="preserve">https://cnevpost.com/2024/08/01/byd-launches-2025-seagull/</w:t>
        </w:r>
      </w:hyperlink>
    </w:p>
    <w:p>
      <w:pPr>
        <w:pStyle w:val="BodyText"/>
      </w:pPr>
      <w:r>
        <w:t xml:space="preserve">[4] CleanTechnica. (2025, April 30).</w:t>
      </w:r>
      <w:r>
        <w:t xml:space="preserve"> </w:t>
      </w:r>
      <w:r>
        <w:rPr>
          <w:iCs/>
          <w:i/>
        </w:rPr>
        <w:t xml:space="preserve">BYD Dolphin Mini secures World Urban Car award</w:t>
      </w:r>
      <w:r>
        <w:t xml:space="preserve">.</w:t>
      </w:r>
      <w:r>
        <w:t xml:space="preserve"> </w:t>
      </w:r>
      <w:hyperlink r:id="rId43">
        <w:r>
          <w:rPr>
            <w:rStyle w:val="Hyperlink"/>
          </w:rPr>
          <w:t xml:space="preserve">https://cleantechnica.com/2025/04/30/byd-dolphin-mini-the-car-the-us-will-never-have-secures-world-urban-car-award/</w:t>
        </w:r>
      </w:hyperlink>
    </w:p>
    <w:p>
      <w:pPr>
        <w:pStyle w:val="BodyText"/>
      </w:pPr>
      <w:r>
        <w:t xml:space="preserve">[5] EV Seekers.</w:t>
      </w:r>
      <w:r>
        <w:t xml:space="preserve"> </w:t>
      </w:r>
      <w:r>
        <w:rPr>
          <w:iCs/>
          <w:i/>
        </w:rPr>
        <w:t xml:space="preserve">Tesla sales by year</w:t>
      </w:r>
      <w:r>
        <w:t xml:space="preserve"> </w:t>
      </w:r>
      <w:r>
        <w:t xml:space="preserve">(compiled from Tesla’s quarterly delivery reports).</w:t>
      </w:r>
      <w:r>
        <w:t xml:space="preserve"> </w:t>
      </w:r>
      <w:hyperlink r:id="rId44">
        <w:r>
          <w:rPr>
            <w:rStyle w:val="Hyperlink"/>
          </w:rPr>
          <w:t xml:space="preserve">https://evseekers.com/tesla-sales-by-year/</w:t>
        </w:r>
      </w:hyperlink>
    </w:p>
    <w:p>
      <w:pPr>
        <w:pStyle w:val="BodyText"/>
      </w:pPr>
      <w:r>
        <w:t xml:space="preserve">[6] Tesla, Inc. (2026, January 2).</w:t>
      </w:r>
      <w:r>
        <w:t xml:space="preserve"> </w:t>
      </w:r>
      <w:r>
        <w:rPr>
          <w:iCs/>
          <w:i/>
        </w:rPr>
        <w:t xml:space="preserve">Tesla Fourth Quarter 2025 Production, Deliveries &amp; Deployments</w:t>
      </w:r>
      <w:r>
        <w:t xml:space="preserve">.</w:t>
      </w:r>
      <w:r>
        <w:t xml:space="preserve"> </w:t>
      </w:r>
      <w:hyperlink r:id="rId45">
        <w:r>
          <w:rPr>
            <w:rStyle w:val="Hyperlink"/>
          </w:rPr>
          <w:t xml:space="preserve">https://ir.tesla.com/press-release/tesla-fourth-quarter-2025-production-deliveries-deployments</w:t>
        </w:r>
      </w:hyperlink>
    </w:p>
    <w:p>
      <w:pPr>
        <w:pStyle w:val="BodyText"/>
      </w:pPr>
      <w:r>
        <w:t xml:space="preserve">[7] CnEVPost. (2026, January 3).</w:t>
      </w:r>
      <w:r>
        <w:t xml:space="preserve"> </w:t>
      </w:r>
      <w:r>
        <w:rPr>
          <w:iCs/>
          <w:i/>
        </w:rPr>
        <w:t xml:space="preserve">BYD Dec 2025 sales breakdown</w:t>
      </w:r>
      <w:r>
        <w:t xml:space="preserve">.</w:t>
      </w:r>
      <w:r>
        <w:t xml:space="preserve"> </w:t>
      </w:r>
      <w:hyperlink r:id="rId46">
        <w:r>
          <w:rPr>
            <w:rStyle w:val="Hyperlink"/>
          </w:rPr>
          <w:t xml:space="preserve">https://cnevpost.com/2026/01/03/byd-dec-2025-sales-breakdown/</w:t>
        </w:r>
      </w:hyperlink>
    </w:p>
    <w:p>
      <w:pPr>
        <w:pStyle w:val="BodyText"/>
      </w:pPr>
      <w:r>
        <w:t xml:space="preserve">[8] CnEVPost. (2026, October 9).</w:t>
      </w:r>
      <w:r>
        <w:t xml:space="preserve"> </w:t>
      </w:r>
      <w:r>
        <w:rPr>
          <w:iCs/>
          <w:i/>
        </w:rPr>
        <w:t xml:space="preserve">BYD opens pre-orders for larger second-gen Seagull ahead of launch this year</w:t>
      </w:r>
      <w:r>
        <w:t xml:space="preserve"> </w:t>
      </w:r>
      <w:r>
        <w:t xml:space="preserve">(includes 2026 monthly Seagull sales).</w:t>
      </w:r>
      <w:r>
        <w:t xml:space="preserve"> </w:t>
      </w:r>
      <w:hyperlink r:id="rId47">
        <w:r>
          <w:rPr>
            <w:rStyle w:val="Hyperlink"/>
          </w:rPr>
          <w:t xml:space="preserve">https://cnevpost.com/2026/10/09/byd-opens-pre-orders-second-gen-seagull/</w:t>
        </w:r>
      </w:hyperlink>
    </w:p>
    <w:p>
      <w:pPr>
        <w:pStyle w:val="BodyText"/>
      </w:pPr>
      <w:r>
        <w:t xml:space="preserve">[9] Bass, F. M. (1969). A new product growth for model consumer durables.</w:t>
      </w:r>
      <w:r>
        <w:t xml:space="preserve"> </w:t>
      </w:r>
      <w:r>
        <w:rPr>
          <w:iCs/>
          <w:i/>
        </w:rPr>
        <w:t xml:space="preserve">Management Science, 15</w:t>
      </w:r>
      <w:r>
        <w:t xml:space="preserve">(5), 215–227.</w:t>
      </w:r>
    </w:p>
    <w:p>
      <w:pPr>
        <w:pStyle w:val="BodyText"/>
      </w:pPr>
      <w:r>
        <w:t xml:space="preserve">[10] Srinivasan, V., &amp; Mason, C. H. (1986). Nonlinear least squares estimation of new product diffusion models.</w:t>
      </w:r>
      <w:r>
        <w:t xml:space="preserve"> </w:t>
      </w:r>
      <w:r>
        <w:rPr>
          <w:iCs/>
          <w:i/>
        </w:rPr>
        <w:t xml:space="preserve">Marketing Science, 5</w:t>
      </w:r>
      <w:r>
        <w:t xml:space="preserve">(2), 169–178.</w:t>
      </w:r>
    </w:p>
    <w:p>
      <w:pPr>
        <w:pStyle w:val="BodyText"/>
      </w:pPr>
      <w:r>
        <w:t xml:space="preserve">[11] Sultan, F., Farley, J. U., &amp; Lehmann, D. R. (1990). A meta-analysis of applications of diffusion models.</w:t>
      </w:r>
      <w:r>
        <w:t xml:space="preserve"> </w:t>
      </w:r>
      <w:r>
        <w:rPr>
          <w:iCs/>
          <w:i/>
        </w:rPr>
        <w:t xml:space="preserve">Journal of Marketing Research, 27</w:t>
      </w:r>
      <w:r>
        <w:t xml:space="preserve">(1), 70–77.</w:t>
      </w:r>
    </w:p>
    <w:p>
      <w:pPr>
        <w:pStyle w:val="BodyText"/>
      </w:pPr>
      <w:r>
        <w:t xml:space="preserve">[12] International Energy Agency. (2025).</w:t>
      </w:r>
      <w:r>
        <w:t xml:space="preserve"> </w:t>
      </w:r>
      <w:r>
        <w:rPr>
          <w:iCs/>
          <w:i/>
        </w:rPr>
        <w:t xml:space="preserve">Global EV Outlook 2025: Executive summary</w:t>
      </w:r>
      <w:r>
        <w:t xml:space="preserve">.</w:t>
      </w:r>
      <w:r>
        <w:t xml:space="preserve"> </w:t>
      </w:r>
      <w:hyperlink r:id="rId48">
        <w:r>
          <w:rPr>
            <w:rStyle w:val="Hyperlink"/>
          </w:rPr>
          <w:t xml:space="preserve">https://www.iea.org/reports/global-ev-outlook-2025/executive-summary</w:t>
        </w:r>
      </w:hyperlink>
    </w:p>
    <w:bookmarkEnd w:id="49"/>
    <w:sectPr>
      <w:pgMar w:left="1361" w:right="1361" w:top="1361" w:bottom="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cs="Calibri"/>
      <w:sz w:val="22"/>
    </w:rPr>
  </w:style>
  <w:style w:styleId="BodyText" w:type="paragraph">
    <w:name w:val="Body Text"/>
    <w:basedOn w:val="Normal"/>
    <w:link w:val="BodyTextChar"/>
    <w:pPr>
      <w:spacing w:after="180" w:before="180"/>
    </w:pPr>
    <w:qFormat/>
    <w:rPr>
      <w:rFonts w:ascii="Calibri" w:hAnsi="Calibri" w:eastAsia="Calibri" w:cs="Calibri"/>
      <w:sz w:val="22"/>
    </w:rPr>
  </w:style>
  <w:style w:customStyle="1" w:styleId="FirstParagraph" w:type="paragraph">
    <w:name w:val="First Paragraph"/>
    <w:basedOn w:val="BodyText"/>
    <w:next w:val="BodyText"/>
    <w:qFormat/>
    <w:rPr>
      <w:rFonts w:ascii="Calibri" w:hAnsi="Calibri" w:eastAsia="Calibri" w:cs="Calibri"/>
      <w:sz w:val="22"/>
    </w:rPr>
  </w:style>
  <w:style w:customStyle="1" w:styleId="Compact" w:type="paragraph">
    <w:name w:val="Compact"/>
    <w:basedOn w:val="BodyText"/>
    <w:qFormat/>
    <w:pPr>
      <w:spacing w:after="36" w:before="36"/>
    </w:pPr>
    <w:rPr>
      <w:rFonts w:ascii="Calibri" w:hAnsi="Calibri" w:eastAsia="Calibri" w:cs="Calibri"/>
      <w:sz w:val="22"/>
    </w:rPr>
  </w:style>
  <w:style w:styleId="Title" w:type="paragraph">
    <w:name w:val="Title"/>
    <w:basedOn w:val="Normal"/>
    <w:next w:val="BodyText"/>
    <w:qFormat/>
    <w:pPr>
      <w:keepNext/>
      <w:keepLines/>
      <w:spacing w:after="240" w:before="480"/>
      <w:jc w:val="center"/>
    </w:pPr>
    <w:rPr>
      <w:rFonts w:ascii="Calibri" w:hAnsi="Calibri" w:eastAsia="Calibri" w:cs="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Fonts w:ascii="Calibri" w:hAnsi="Calibri" w:eastAsia="Calibri" w:cs="Calibri"/>
    </w:rPr>
  </w:style>
  <w:style w:customStyle="1" w:styleId="Author" w:type="paragraph">
    <w:name w:val="Author"/>
    <w:next w:val="BodyText"/>
    <w:qFormat/>
    <w:pPr>
      <w:keepNext/>
      <w:keepLines/>
      <w:jc w:val="center"/>
    </w:pPr>
    <w:rPr>
      <w:rFonts w:ascii="Calibri" w:hAnsi="Calibri" w:eastAsia="Calibri" w:cs="Calibri"/>
    </w:rPr>
  </w:style>
  <w:style w:styleId="Date" w:type="paragraph">
    <w:name w:val="Date"/>
    <w:next w:val="BodyText"/>
    <w:qFormat/>
    <w:pPr>
      <w:keepNext/>
      <w:keepLines/>
      <w:jc w:val="center"/>
    </w:pPr>
    <w:rPr>
      <w:rFonts w:ascii="Calibri" w:hAnsi="Calibri" w:eastAsia="Calibri" w:cs="Calibri"/>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Calibri" w:hAnsi="Calibri" w:eastAsia="Calibri" w:cs="Calibri"/>
    </w:rPr>
  </w:style>
  <w:style w:styleId="Heading1" w:type="paragraph">
    <w:name w:val="Heading 1"/>
    <w:basedOn w:val="Normal"/>
    <w:next w:val="BodyText"/>
    <w:uiPriority w:val="9"/>
    <w:qFormat/>
    <w:pPr>
      <w:keepNext/>
      <w:keepLines/>
      <w:spacing w:after="0" w:before="480"/>
      <w:outlineLvl w:val="0"/>
    </w:pPr>
    <w:rPr>
      <w:rFonts w:ascii="Calibri" w:hAnsi="Calibri" w:eastAsia="Calibri" w:cs="Calibri"/>
      <w:b/>
      <w:bCs/>
      <w:color w:val="1B7F5C"/>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hAnsi="Calibri" w:eastAsia="Calibri" w:cs="Calibri"/>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31" Type="http://schemas.openxmlformats.org/officeDocument/2006/relationships/image" Target="media/rId31.png"/><Relationship Id="rId27" Type="http://schemas.openxmlformats.org/officeDocument/2006/relationships/image" Target="media/rId27.png"/><Relationship Id="rId24" Type="http://schemas.openxmlformats.org/officeDocument/2006/relationships/image" Target="media/rId24.png"/><Relationship Id="rId43" Type="http://schemas.openxmlformats.org/officeDocument/2006/relationships/hyperlink" Target="https://cleantechnica.com/2025/04/30/byd-dolphin-mini-the-car-the-us-will-never-have-secures-world-urban-car-award/" TargetMode="External"/><Relationship Id="rId42" Type="http://schemas.openxmlformats.org/officeDocument/2006/relationships/hyperlink" Target="https://cnevpost.com/2024/08/01/byd-launches-2025-seagull/" TargetMode="External"/><Relationship Id="rId46" Type="http://schemas.openxmlformats.org/officeDocument/2006/relationships/hyperlink" Target="https://cnevpost.com/2026/01/03/byd-dec-2025-sales-breakdown/" TargetMode="External"/><Relationship Id="rId47" Type="http://schemas.openxmlformats.org/officeDocument/2006/relationships/hyperlink" Target="https://cnevpost.com/2026/10/09/byd-opens-pre-orders-second-gen-seagull/" TargetMode="External"/><Relationship Id="rId41" Type="http://schemas.openxmlformats.org/officeDocument/2006/relationships/hyperlink" Target="https://en.wikipedia.org/wiki/BYD_Seagull" TargetMode="External"/><Relationship Id="rId44" Type="http://schemas.openxmlformats.org/officeDocument/2006/relationships/hyperlink" Target="https://evseekers.com/tesla-sales-by-year/" TargetMode="External"/><Relationship Id="rId45" Type="http://schemas.openxmlformats.org/officeDocument/2006/relationships/hyperlink" Target="https://ir.tesla.com/press-release/tesla-fourth-quarter-2025-production-deliveries-deployments" TargetMode="External"/><Relationship Id="rId20" Type="http://schemas.openxmlformats.org/officeDocument/2006/relationships/hyperlink" Target="https://time.com/collections/best-inventions-2025/7318540/byd-seagull/" TargetMode="External"/><Relationship Id="rId48" Type="http://schemas.openxmlformats.org/officeDocument/2006/relationships/hyperlink" Target="https://www.iea.org/reports/global-ev-outlook-2025/executive-summary" TargetMode="External"/></Relationships>
</file>

<file path=word/_rels/footnotes.xml.rels><?xml version='1.0' encoding='UTF-8' standalone='yes'?>
<Relationships xmlns="http://schemas.openxmlformats.org/package/2006/relationships"><Relationship Id="rId43" Type="http://schemas.openxmlformats.org/officeDocument/2006/relationships/hyperlink" Target="https://cleantechnica.com/2025/04/30/byd-dolphin-mini-the-car-the-us-will-never-have-secures-world-urban-car-award/" TargetMode="External"/><Relationship Id="rId42" Type="http://schemas.openxmlformats.org/officeDocument/2006/relationships/hyperlink" Target="https://cnevpost.com/2024/08/01/byd-launches-2025-seagull/" TargetMode="External"/><Relationship Id="rId46" Type="http://schemas.openxmlformats.org/officeDocument/2006/relationships/hyperlink" Target="https://cnevpost.com/2026/01/03/byd-dec-2025-sales-breakdown/" TargetMode="External"/><Relationship Id="rId47" Type="http://schemas.openxmlformats.org/officeDocument/2006/relationships/hyperlink" Target="https://cnevpost.com/2026/10/09/byd-opens-pre-orders-second-gen-seagull/" TargetMode="External"/><Relationship Id="rId41" Type="http://schemas.openxmlformats.org/officeDocument/2006/relationships/hyperlink" Target="https://en.wikipedia.org/wiki/BYD_Seagull" TargetMode="External"/><Relationship Id="rId44" Type="http://schemas.openxmlformats.org/officeDocument/2006/relationships/hyperlink" Target="https://evseekers.com/tesla-sales-by-year/" TargetMode="External"/><Relationship Id="rId45" Type="http://schemas.openxmlformats.org/officeDocument/2006/relationships/hyperlink" Target="https://ir.tesla.com/press-release/tesla-fourth-quarter-2025-production-deliveries-deployments" TargetMode="External"/><Relationship Id="rId20" Type="http://schemas.openxmlformats.org/officeDocument/2006/relationships/hyperlink" Target="https://time.com/collections/best-inventions-2025/7318540/byd-seagull/" TargetMode="External"/><Relationship Id="rId48" Type="http://schemas.openxmlformats.org/officeDocument/2006/relationships/hyperlink" Target="https://www.iea.org/reports/global-ev-outlook-2025/executive-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Bass Model Homework: BYD Seagull</dc:title>
  <dc:creator>Elen Aydinyan</dc:creator>
  <cp:keywords/>
  <dcterms:created xsi:type="dcterms:W3CDTF">2026-10-18T12:34:34Z</dcterms:created>
  <dcterms:modified xsi:type="dcterms:W3CDTF">2026-10-18T12:34:34Z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DS 223 Marketing Analytics</vt:lpwstr>
  </property>
</Properties>
</file>