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Razoavelmente, Fala Razoavelmente, Lê Bem, Escreve Razoavelmente.</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bl>
    <w:p>
      <w:pPr>
        <w:pStyle w:val="Title"/>
      </w:pPr>
      <w:r>
        <w:t>Prêmios e títulos</w:t>
      </w:r>
    </w:p>
    <w:tbl>
      <w:tblPr>
        <w:tblW w:type="auto" w:w="0"/>
        <w:tblLook w:firstColumn="1" w:firstRow="1" w:lastColumn="0" w:lastRow="0" w:noHBand="0" w:noVBand="1" w:val="04A0"/>
      </w:tblPr>
      <w:tblGrid>
        <w:gridCol w:w="4320"/>
        <w:gridCol w:w="4320"/>
      </w:tblGrid>
      <w:tr>
        <w:tc>
          <w:tcPr>
            <w:tcW w:type="dxa" w:w="0"/>
          </w:tcPr>
          <w:p>
            <w:r>
              <w:rPr>
                <w:b/>
                <w:color w:val="0B306B"/>
              </w:rPr>
              <w:t>2020</w:t>
            </w:r>
          </w:p>
        </w:tc>
        <w:tc>
          <w:tcPr>
            <w:tcW w:type="dxa" w:w="10000"/>
          </w:tcPr>
          <w:p>
            <w:pPr>
              <w:jc w:val="both"/>
            </w:pPr>
            <w:r>
              <w:t>Best Paper Award/Academic Track - 10th Workshop on Circuits and Systems Design (WCAS 2020), SBMicro, SBC, IEEE CAS, ACM SIGDA</w:t>
            </w:r>
          </w:p>
        </w:tc>
      </w:tr>
      <w:tr>
        <w:tc>
          <w:tcPr>
            <w:tcW w:type="dxa" w:w="0"/>
          </w:tcPr>
          <w:p>
            <w:r>
              <w:rPr>
                <w:b/>
                <w:color w:val="0B306B"/>
              </w:rPr>
              <w:t>2020</w:t>
            </w:r>
          </w:p>
        </w:tc>
        <w:tc>
          <w:tcPr>
            <w:tcW w:type="dxa" w:w="10000"/>
          </w:tcPr>
          <w:p>
            <w:pPr>
              <w:jc w:val="both"/>
            </w:pPr>
            <w:r>
              <w:t>Menção Honrosa no Concurso de Teses e Dissertações do WSCAD 2020 - Categoria: Dissertação de Mestrado (Orientador), Sociedade Brasileira de Computação</w:t>
            </w:r>
          </w:p>
        </w:tc>
      </w:tr>
      <w:tr>
        <w:tc>
          <w:tcPr>
            <w:tcW w:type="dxa" w:w="0"/>
          </w:tcPr>
          <w:p>
            <w:r>
              <w:rPr>
                <w:b/>
                <w:color w:val="0B306B"/>
              </w:rPr>
              <w:t>2015</w:t>
            </w:r>
          </w:p>
        </w:tc>
        <w:tc>
          <w:tcPr>
            <w:tcW w:type="dxa" w:w="10000"/>
          </w:tcPr>
          <w:p>
            <w:pPr>
              <w:jc w:val="both"/>
            </w:pPr>
            <w:r>
              <w:t>Prêmio Destaque em Iniciação Científica - Modalidade Pôster - Ciências Exatas, da Terra e Engenharias (Orientador), Univali</w:t>
            </w:r>
          </w:p>
        </w:tc>
      </w:tr>
      <w:tr>
        <w:tc>
          <w:tcPr>
            <w:tcW w:type="dxa" w:w="0"/>
          </w:tcPr>
          <w:p>
            <w:r>
              <w:rPr>
                <w:b/>
                <w:color w:val="0B306B"/>
              </w:rPr>
              <w:t>2014</w:t>
            </w:r>
          </w:p>
        </w:tc>
        <w:tc>
          <w:tcPr>
            <w:tcW w:type="dxa" w:w="10000"/>
          </w:tcPr>
          <w:p>
            <w:pPr>
              <w:jc w:val="both"/>
            </w:pPr>
            <w:r>
              <w:t>Menção Honrosa no Concurso de Teses e Dissertações em Segurança (CTDSeg) do SBSeg 2014 - Categoria: Dissertação de Mestrado (Orientador), Sociedade Brasileira de Computação</w:t>
            </w:r>
          </w:p>
        </w:tc>
      </w:tr>
      <w:tr>
        <w:tc>
          <w:tcPr>
            <w:tcW w:type="dxa" w:w="0"/>
          </w:tcPr>
          <w:p>
            <w:r>
              <w:rPr>
                <w:b/>
                <w:color w:val="0B306B"/>
              </w:rPr>
              <w:t>2013</w:t>
            </w:r>
          </w:p>
        </w:tc>
        <w:tc>
          <w:tcPr>
            <w:tcW w:type="dxa" w:w="10000"/>
          </w:tcPr>
          <w:p>
            <w:pPr>
              <w:jc w:val="both"/>
            </w:pPr>
            <w:r>
              <w:t>Menção Honrosa no Concurso de Teses e Dissertações do CBIE 2013 - Categoria: Dissertação de Mestrado (Co-orientador), Sociedade Brasileira de Computação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