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Razoavelmente, Fala Razoavelmente, Lê Bem, Escreve Razoavelmente.</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