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99" w:rsidRDefault="00342E5D">
      <w:pPr>
        <w:spacing w:after="0" w:line="259" w:lineRule="auto"/>
        <w:ind w:left="0" w:firstLine="0"/>
      </w:pPr>
      <w:r>
        <w:rPr>
          <w:color w:val="323E4F"/>
          <w:sz w:val="52"/>
        </w:rPr>
        <w:t>King’s Super Math Saga experiment</w:t>
      </w:r>
      <w:r w:rsidR="00D14261">
        <w:rPr>
          <w:color w:val="323E4F"/>
          <w:sz w:val="52"/>
        </w:rPr>
        <w:t xml:space="preserve"> </w:t>
      </w:r>
    </w:p>
    <w:p w:rsidR="00796F99" w:rsidRDefault="00D14261">
      <w:pPr>
        <w:spacing w:after="335" w:line="259" w:lineRule="auto"/>
        <w:ind w:left="-29" w:right="-4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64683" cy="12192"/>
                <wp:effectExtent l="0" t="0" r="0" b="0"/>
                <wp:docPr id="17648" name="Group 17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683" cy="12192"/>
                          <a:chOff x="0" y="0"/>
                          <a:chExt cx="5964683" cy="12192"/>
                        </a:xfrm>
                      </wpg:grpSpPr>
                      <wps:wsp>
                        <wps:cNvPr id="20401" name="Shape 20401"/>
                        <wps:cNvSpPr/>
                        <wps:spPr>
                          <a:xfrm>
                            <a:off x="0" y="0"/>
                            <a:ext cx="596468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683" h="12192">
                                <a:moveTo>
                                  <a:pt x="0" y="0"/>
                                </a:moveTo>
                                <a:lnTo>
                                  <a:pt x="5964683" y="0"/>
                                </a:lnTo>
                                <a:lnTo>
                                  <a:pt x="596468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48" style="width:469.66pt;height:0.960022pt;mso-position-horizontal-relative:char;mso-position-vertical-relative:line" coordsize="59646,121">
                <v:shape id="Shape 20402" style="position:absolute;width:59646;height:121;left:0;top:0;" coordsize="5964683,12192" path="m0,0l5964683,0l5964683,12192l0,12192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:rsidR="00796F99" w:rsidRDefault="00D14261" w:rsidP="0012553F">
      <w:pPr>
        <w:spacing w:after="603"/>
        <w:ind w:left="-5"/>
      </w:pPr>
      <w:r>
        <w:t xml:space="preserve">The purpose of this report is to provide </w:t>
      </w:r>
      <w:r w:rsidR="00342E5D">
        <w:t>the Head of Studio</w:t>
      </w:r>
      <w:r>
        <w:t xml:space="preserve"> </w:t>
      </w:r>
      <w:r w:rsidR="00342E5D">
        <w:t xml:space="preserve">the conclusions about the Super Math Saga experiment performed </w:t>
      </w:r>
      <w:r w:rsidR="00744E0C">
        <w:t xml:space="preserve">in 2017 </w:t>
      </w:r>
      <w:r w:rsidR="00342E5D">
        <w:t xml:space="preserve">between </w:t>
      </w:r>
      <w:proofErr w:type="gramStart"/>
      <w:r w:rsidR="00744E0C">
        <w:t>May,</w:t>
      </w:r>
      <w:proofErr w:type="gramEnd"/>
      <w:r w:rsidR="00744E0C">
        <w:t xml:space="preserve"> 4</w:t>
      </w:r>
      <w:r w:rsidR="00744E0C" w:rsidRPr="00744E0C">
        <w:rPr>
          <w:vertAlign w:val="superscript"/>
        </w:rPr>
        <w:t>th</w:t>
      </w:r>
      <w:r w:rsidR="00744E0C">
        <w:t xml:space="preserve"> </w:t>
      </w:r>
      <w:r w:rsidR="00342E5D">
        <w:t xml:space="preserve">and </w:t>
      </w:r>
      <w:r w:rsidR="00744E0C">
        <w:t>May 22</w:t>
      </w:r>
      <w:r w:rsidR="00744E0C" w:rsidRPr="00744E0C">
        <w:rPr>
          <w:vertAlign w:val="superscript"/>
        </w:rPr>
        <w:t>nd</w:t>
      </w:r>
      <w:r>
        <w:t xml:space="preserve">, and highlight </w:t>
      </w:r>
      <w:r w:rsidR="00342E5D">
        <w:t>the difference in the behaviour of the two groups object of the A/B test</w:t>
      </w:r>
      <w:r>
        <w:t>.</w:t>
      </w:r>
      <w:r w:rsidR="00744E0C">
        <w:t xml:space="preserve"> Data for the period April 2</w:t>
      </w:r>
      <w:r w:rsidR="0057289B">
        <w:t>0</w:t>
      </w:r>
      <w:r w:rsidR="005C6319">
        <w:rPr>
          <w:vertAlign w:val="superscript"/>
        </w:rPr>
        <w:t>t</w:t>
      </w:r>
      <w:r w:rsidR="00D75D72">
        <w:rPr>
          <w:vertAlign w:val="superscript"/>
        </w:rPr>
        <w:t>h</w:t>
      </w:r>
      <w:r w:rsidR="00744E0C">
        <w:t xml:space="preserve"> - May 3</w:t>
      </w:r>
      <w:r w:rsidR="00744E0C" w:rsidRPr="00744E0C">
        <w:rPr>
          <w:vertAlign w:val="superscript"/>
        </w:rPr>
        <w:t>rd</w:t>
      </w:r>
      <w:r w:rsidR="00744E0C">
        <w:t xml:space="preserve"> were also available</w:t>
      </w:r>
      <w:r w:rsidR="0012553F">
        <w:t>,</w:t>
      </w:r>
      <w:r w:rsidR="00744E0C">
        <w:t xml:space="preserve"> and the analysis</w:t>
      </w:r>
      <w:r w:rsidR="0012553F">
        <w:t xml:space="preserve"> includes all the data available</w:t>
      </w:r>
      <w:r w:rsidR="00744E0C">
        <w:t>.</w:t>
      </w:r>
    </w:p>
    <w:p w:rsidR="00796F99" w:rsidRDefault="00D14261">
      <w:pPr>
        <w:pStyle w:val="Heading1"/>
        <w:tabs>
          <w:tab w:val="center" w:pos="6139"/>
        </w:tabs>
        <w:spacing w:after="0"/>
        <w:ind w:left="-15"/>
      </w:pPr>
      <w:r>
        <w:rPr>
          <w:sz w:val="28"/>
        </w:rPr>
        <w:t xml:space="preserve">Summary of portfolio </w:t>
      </w:r>
      <w:r>
        <w:rPr>
          <w:sz w:val="28"/>
        </w:rPr>
        <w:tab/>
      </w:r>
      <w:r>
        <w:rPr>
          <w:color w:val="000000"/>
          <w:sz w:val="28"/>
          <w:vertAlign w:val="subscript"/>
        </w:rPr>
        <w:t xml:space="preserve"> </w:t>
      </w:r>
    </w:p>
    <w:tbl>
      <w:tblPr>
        <w:tblStyle w:val="TableGrid"/>
        <w:tblpPr w:vertAnchor="text" w:horzAnchor="margin" w:tblpY="424"/>
        <w:tblOverlap w:val="never"/>
        <w:tblW w:w="9124" w:type="dxa"/>
        <w:tblInd w:w="0" w:type="dxa"/>
        <w:tblCellMar>
          <w:top w:w="35" w:type="dxa"/>
        </w:tblCellMar>
        <w:tblLook w:val="04A0" w:firstRow="1" w:lastRow="0" w:firstColumn="1" w:lastColumn="0" w:noHBand="0" w:noVBand="1"/>
      </w:tblPr>
      <w:tblGrid>
        <w:gridCol w:w="1549"/>
        <w:gridCol w:w="1126"/>
        <w:gridCol w:w="1126"/>
        <w:gridCol w:w="1034"/>
        <w:gridCol w:w="1063"/>
        <w:gridCol w:w="1064"/>
        <w:gridCol w:w="1098"/>
        <w:gridCol w:w="1064"/>
      </w:tblGrid>
      <w:tr w:rsidR="00B4210E" w:rsidTr="00B4210E">
        <w:trPr>
          <w:trHeight w:val="252"/>
        </w:trPr>
        <w:tc>
          <w:tcPr>
            <w:tcW w:w="1567" w:type="dxa"/>
          </w:tcPr>
          <w:p w:rsidR="00EC1E2E" w:rsidRPr="00744E0C" w:rsidRDefault="00EC1E2E" w:rsidP="00C04234">
            <w:pPr>
              <w:spacing w:after="0" w:line="259" w:lineRule="auto"/>
              <w:ind w:left="0" w:right="39" w:firstLine="0"/>
              <w:jc w:val="center"/>
              <w:rPr>
                <w:i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:rsidR="00EC1E2E" w:rsidRPr="00744E0C" w:rsidRDefault="00EC1E2E" w:rsidP="00744E0C">
            <w:pPr>
              <w:spacing w:after="0" w:line="259" w:lineRule="auto"/>
              <w:ind w:left="0" w:right="41" w:firstLine="0"/>
              <w:jc w:val="center"/>
              <w:rPr>
                <w:b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:rsidR="00EC1E2E" w:rsidRPr="00744E0C" w:rsidRDefault="00EC1E2E" w:rsidP="00744E0C">
            <w:pPr>
              <w:spacing w:after="0" w:line="259" w:lineRule="auto"/>
              <w:ind w:left="0" w:right="41" w:firstLine="0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bottom w:val="single" w:sz="4" w:space="0" w:color="auto"/>
              <w:right w:val="single" w:sz="4" w:space="0" w:color="auto"/>
            </w:tcBorders>
          </w:tcPr>
          <w:p w:rsidR="00EC1E2E" w:rsidRPr="00744E0C" w:rsidRDefault="00EC1E2E" w:rsidP="00744E0C">
            <w:pPr>
              <w:spacing w:after="0" w:line="259" w:lineRule="auto"/>
              <w:ind w:left="0" w:right="41" w:firstLine="0"/>
              <w:jc w:val="center"/>
              <w:rPr>
                <w:b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C1E2E" w:rsidRPr="00744E0C" w:rsidRDefault="00EC1E2E" w:rsidP="00744E0C">
            <w:pPr>
              <w:spacing w:after="0" w:line="259" w:lineRule="auto"/>
              <w:ind w:left="0" w:right="41" w:firstLine="0"/>
              <w:jc w:val="center"/>
              <w:rPr>
                <w:b/>
              </w:rPr>
            </w:pPr>
            <w:r w:rsidRPr="00744E0C">
              <w:rPr>
                <w:b/>
              </w:rPr>
              <w:t>2</w:t>
            </w:r>
            <w:r w:rsidR="00D75D72">
              <w:rPr>
                <w:b/>
              </w:rPr>
              <w:t>0</w:t>
            </w:r>
            <w:r w:rsidR="00D75D72">
              <w:rPr>
                <w:b/>
                <w:vertAlign w:val="superscript"/>
              </w:rPr>
              <w:t>th</w:t>
            </w:r>
            <w:r w:rsidRPr="00744E0C">
              <w:rPr>
                <w:b/>
              </w:rPr>
              <w:t xml:space="preserve"> Apr – 3</w:t>
            </w:r>
            <w:r w:rsidRPr="00744E0C">
              <w:rPr>
                <w:b/>
                <w:vertAlign w:val="superscript"/>
              </w:rPr>
              <w:t>rd</w:t>
            </w:r>
            <w:r w:rsidRPr="00744E0C">
              <w:rPr>
                <w:b/>
              </w:rPr>
              <w:t xml:space="preserve"> May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9CC2E5"/>
              <w:right w:val="single" w:sz="4" w:space="0" w:color="000000"/>
            </w:tcBorders>
          </w:tcPr>
          <w:p w:rsidR="00EC1E2E" w:rsidRPr="00744E0C" w:rsidRDefault="00EC1E2E" w:rsidP="00744E0C">
            <w:pPr>
              <w:spacing w:after="0" w:line="259" w:lineRule="auto"/>
              <w:ind w:left="0" w:right="41" w:firstLine="0"/>
              <w:jc w:val="center"/>
              <w:rPr>
                <w:b/>
              </w:rPr>
            </w:pPr>
            <w:r w:rsidRPr="00744E0C">
              <w:rPr>
                <w:b/>
              </w:rPr>
              <w:t>4</w:t>
            </w:r>
            <w:r w:rsidRPr="00744E0C">
              <w:rPr>
                <w:b/>
                <w:vertAlign w:val="superscript"/>
              </w:rPr>
              <w:t>th</w:t>
            </w:r>
            <w:r w:rsidRPr="00744E0C">
              <w:rPr>
                <w:b/>
              </w:rPr>
              <w:t xml:space="preserve"> May – 22</w:t>
            </w:r>
            <w:r w:rsidRPr="00744E0C">
              <w:rPr>
                <w:b/>
                <w:vertAlign w:val="superscript"/>
              </w:rPr>
              <w:t>nd</w:t>
            </w:r>
            <w:r w:rsidRPr="00744E0C">
              <w:rPr>
                <w:b/>
              </w:rPr>
              <w:t xml:space="preserve"> May</w:t>
            </w:r>
          </w:p>
        </w:tc>
      </w:tr>
      <w:tr w:rsidR="00B4210E" w:rsidTr="00B4210E">
        <w:trPr>
          <w:trHeight w:val="252"/>
        </w:trPr>
        <w:tc>
          <w:tcPr>
            <w:tcW w:w="1567" w:type="dxa"/>
            <w:tcBorders>
              <w:bottom w:val="single" w:sz="4" w:space="0" w:color="auto"/>
              <w:right w:val="single" w:sz="4" w:space="0" w:color="auto"/>
            </w:tcBorders>
          </w:tcPr>
          <w:p w:rsidR="00EC1E2E" w:rsidRPr="00744E0C" w:rsidRDefault="00C346B2" w:rsidP="00C346B2">
            <w:pPr>
              <w:pStyle w:val="Caption"/>
              <w:jc w:val="center"/>
              <w:rPr>
                <w:i w:val="0"/>
              </w:rPr>
            </w:pPr>
            <w:bookmarkStart w:id="0" w:name="_Ref26296430"/>
            <w:r>
              <w:t xml:space="preserve">Table </w:t>
            </w:r>
            <w:fldSimple w:instr=" SEQ Table \* ARABIC ">
              <w:r w:rsidR="00FE6C70">
                <w:rPr>
                  <w:noProof/>
                </w:rPr>
                <w:t>1</w:t>
              </w:r>
            </w:fldSimple>
            <w:bookmarkEnd w:id="0"/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C1E2E" w:rsidRPr="00744E0C" w:rsidRDefault="00EC1E2E" w:rsidP="00744E0C">
            <w:pPr>
              <w:spacing w:after="0" w:line="259" w:lineRule="auto"/>
              <w:ind w:left="0" w:right="41" w:firstLine="0"/>
              <w:jc w:val="center"/>
              <w:rPr>
                <w:b/>
              </w:rPr>
            </w:pPr>
            <w:r w:rsidRPr="00744E0C">
              <w:rPr>
                <w:b/>
              </w:rPr>
              <w:t>Total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E2E" w:rsidRPr="00744E0C" w:rsidRDefault="00EC1E2E" w:rsidP="00744E0C">
            <w:pPr>
              <w:spacing w:after="0" w:line="259" w:lineRule="auto"/>
              <w:ind w:left="0" w:right="41" w:firstLine="0"/>
              <w:jc w:val="center"/>
              <w:rPr>
                <w:b/>
              </w:rPr>
            </w:pPr>
            <w:r w:rsidRPr="00744E0C">
              <w:rPr>
                <w:b/>
              </w:rPr>
              <w:t>Group A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E2E" w:rsidRPr="00744E0C" w:rsidRDefault="00EC1E2E" w:rsidP="00744E0C">
            <w:pPr>
              <w:spacing w:after="0" w:line="259" w:lineRule="auto"/>
              <w:ind w:left="0" w:right="41" w:firstLine="0"/>
              <w:jc w:val="center"/>
              <w:rPr>
                <w:b/>
              </w:rPr>
            </w:pPr>
            <w:r w:rsidRPr="00744E0C">
              <w:rPr>
                <w:b/>
              </w:rPr>
              <w:t>Group B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9CC2E5"/>
              <w:right w:val="single" w:sz="4" w:space="0" w:color="000000"/>
            </w:tcBorders>
          </w:tcPr>
          <w:p w:rsidR="00EC1E2E" w:rsidRPr="00744E0C" w:rsidRDefault="00EC1E2E" w:rsidP="00744E0C">
            <w:pPr>
              <w:spacing w:after="0" w:line="259" w:lineRule="auto"/>
              <w:ind w:left="0" w:right="41" w:firstLine="0"/>
              <w:jc w:val="center"/>
              <w:rPr>
                <w:b/>
              </w:rPr>
            </w:pPr>
            <w:r w:rsidRPr="00744E0C">
              <w:rPr>
                <w:b/>
              </w:rPr>
              <w:t>Group A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9CC2E5"/>
              <w:right w:val="single" w:sz="4" w:space="0" w:color="000000"/>
            </w:tcBorders>
          </w:tcPr>
          <w:p w:rsidR="00EC1E2E" w:rsidRPr="00744E0C" w:rsidRDefault="00EC1E2E" w:rsidP="00744E0C">
            <w:pPr>
              <w:spacing w:after="0" w:line="259" w:lineRule="auto"/>
              <w:ind w:left="0" w:right="41" w:firstLine="0"/>
              <w:jc w:val="center"/>
              <w:rPr>
                <w:b/>
              </w:rPr>
            </w:pPr>
            <w:r w:rsidRPr="00744E0C">
              <w:rPr>
                <w:b/>
              </w:rPr>
              <w:t>Group B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9CC2E5"/>
              <w:right w:val="single" w:sz="4" w:space="0" w:color="000000"/>
            </w:tcBorders>
          </w:tcPr>
          <w:p w:rsidR="00EC1E2E" w:rsidRPr="00744E0C" w:rsidRDefault="00EC1E2E" w:rsidP="00744E0C">
            <w:pPr>
              <w:spacing w:after="0" w:line="259" w:lineRule="auto"/>
              <w:ind w:left="0" w:right="41" w:firstLine="0"/>
              <w:jc w:val="center"/>
              <w:rPr>
                <w:b/>
              </w:rPr>
            </w:pPr>
            <w:r w:rsidRPr="00744E0C">
              <w:rPr>
                <w:b/>
              </w:rPr>
              <w:t>Group A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9CC2E5"/>
              <w:right w:val="single" w:sz="4" w:space="0" w:color="000000"/>
            </w:tcBorders>
          </w:tcPr>
          <w:p w:rsidR="00EC1E2E" w:rsidRPr="00744E0C" w:rsidRDefault="00EC1E2E" w:rsidP="00744E0C">
            <w:pPr>
              <w:spacing w:after="0" w:line="259" w:lineRule="auto"/>
              <w:ind w:left="0" w:right="41" w:firstLine="0"/>
              <w:jc w:val="center"/>
              <w:rPr>
                <w:b/>
              </w:rPr>
            </w:pPr>
            <w:r w:rsidRPr="00744E0C">
              <w:rPr>
                <w:b/>
              </w:rPr>
              <w:t>Group B</w:t>
            </w:r>
          </w:p>
        </w:tc>
      </w:tr>
      <w:tr w:rsidR="00B4210E" w:rsidTr="00B4210E">
        <w:trPr>
          <w:trHeight w:val="252"/>
        </w:trPr>
        <w:tc>
          <w:tcPr>
            <w:tcW w:w="1567" w:type="dxa"/>
            <w:tcBorders>
              <w:top w:val="single" w:sz="4" w:space="0" w:color="auto"/>
              <w:left w:val="single" w:sz="4" w:space="0" w:color="000000"/>
              <w:bottom w:val="single" w:sz="4" w:space="0" w:color="9CC2E5"/>
              <w:right w:val="single" w:sz="4" w:space="0" w:color="000000"/>
            </w:tcBorders>
          </w:tcPr>
          <w:p w:rsidR="00EC1E2E" w:rsidRDefault="00EC1E2E" w:rsidP="00C04234">
            <w:pPr>
              <w:spacing w:after="0" w:line="259" w:lineRule="auto"/>
              <w:ind w:left="0" w:right="39" w:firstLine="0"/>
            </w:pPr>
            <w:r>
              <w:t>Users</w:t>
            </w:r>
            <w:r w:rsidR="00694595">
              <w:rPr>
                <w:rStyle w:val="FootnoteReference"/>
              </w:rPr>
              <w:footnoteReference w:id="1"/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9CC2E5"/>
              <w:right w:val="single" w:sz="4" w:space="0" w:color="000000"/>
            </w:tcBorders>
          </w:tcPr>
          <w:p w:rsidR="00EC1E2E" w:rsidRDefault="00694595" w:rsidP="00C04234">
            <w:pPr>
              <w:spacing w:after="0" w:line="259" w:lineRule="auto"/>
              <w:ind w:left="0" w:right="41" w:firstLine="0"/>
              <w:jc w:val="right"/>
            </w:pPr>
            <w:r>
              <w:t>204,103,781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9CC2E5"/>
              <w:right w:val="single" w:sz="4" w:space="0" w:color="000000"/>
            </w:tcBorders>
          </w:tcPr>
          <w:p w:rsidR="00EC1E2E" w:rsidRDefault="00694595" w:rsidP="00C04234">
            <w:pPr>
              <w:spacing w:after="0" w:line="259" w:lineRule="auto"/>
              <w:ind w:left="0" w:right="41" w:firstLine="0"/>
              <w:jc w:val="right"/>
            </w:pPr>
            <w:r>
              <w:t>163,317,198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9CC2E5"/>
              <w:right w:val="single" w:sz="4" w:space="0" w:color="000000"/>
            </w:tcBorders>
          </w:tcPr>
          <w:p w:rsidR="00EC1E2E" w:rsidRDefault="00694595" w:rsidP="00C04234">
            <w:pPr>
              <w:spacing w:after="0" w:line="259" w:lineRule="auto"/>
              <w:ind w:left="0" w:right="41" w:firstLine="0"/>
              <w:jc w:val="right"/>
            </w:pPr>
            <w:r>
              <w:t>40,786,583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9CC2E5"/>
              <w:right w:val="single" w:sz="4" w:space="0" w:color="000000"/>
            </w:tcBorders>
          </w:tcPr>
          <w:p w:rsidR="00EC1E2E" w:rsidRDefault="00694595" w:rsidP="00C04234">
            <w:pPr>
              <w:spacing w:after="0" w:line="259" w:lineRule="auto"/>
              <w:ind w:left="0" w:right="41" w:firstLine="0"/>
              <w:jc w:val="right"/>
            </w:pPr>
            <w:r>
              <w:t>63,897,583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9CC2E5"/>
              <w:right w:val="single" w:sz="4" w:space="0" w:color="000000"/>
            </w:tcBorders>
          </w:tcPr>
          <w:p w:rsidR="00EC1E2E" w:rsidRDefault="00694595" w:rsidP="00C04234">
            <w:pPr>
              <w:spacing w:after="0" w:line="259" w:lineRule="auto"/>
              <w:ind w:left="0" w:right="41" w:firstLine="0"/>
              <w:jc w:val="right"/>
            </w:pPr>
            <w:r>
              <w:t>15,952,936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9CC2E5"/>
              <w:right w:val="single" w:sz="4" w:space="0" w:color="000000"/>
            </w:tcBorders>
          </w:tcPr>
          <w:p w:rsidR="00EC1E2E" w:rsidRDefault="00694595" w:rsidP="00C04234">
            <w:pPr>
              <w:spacing w:after="0" w:line="259" w:lineRule="auto"/>
              <w:ind w:left="0" w:right="41" w:firstLine="0"/>
              <w:jc w:val="right"/>
            </w:pPr>
            <w:r>
              <w:t>99,419,615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9CC2E5"/>
              <w:right w:val="single" w:sz="4" w:space="0" w:color="000000"/>
            </w:tcBorders>
          </w:tcPr>
          <w:p w:rsidR="00EC1E2E" w:rsidRDefault="00694595" w:rsidP="00C04234">
            <w:pPr>
              <w:spacing w:after="0" w:line="259" w:lineRule="auto"/>
              <w:ind w:left="0" w:right="41" w:firstLine="0"/>
              <w:jc w:val="right"/>
            </w:pPr>
            <w:r>
              <w:t>24,833,657</w:t>
            </w:r>
          </w:p>
        </w:tc>
      </w:tr>
      <w:tr w:rsidR="00B4210E" w:rsidTr="00B4210E">
        <w:trPr>
          <w:trHeight w:val="245"/>
        </w:trPr>
        <w:tc>
          <w:tcPr>
            <w:tcW w:w="1567" w:type="dxa"/>
            <w:tcBorders>
              <w:top w:val="single" w:sz="4" w:space="0" w:color="9CC2E5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 w:rsidR="00EC1E2E" w:rsidRDefault="00EC1E2E" w:rsidP="00C04234">
            <w:pPr>
              <w:spacing w:after="0" w:line="259" w:lineRule="auto"/>
              <w:ind w:left="0" w:right="39" w:firstLine="0"/>
            </w:pPr>
            <w:r>
              <w:t>Unique users</w:t>
            </w:r>
            <w:r w:rsidR="00B4210E">
              <w:rPr>
                <w:rStyle w:val="FootnoteReference"/>
              </w:rPr>
              <w:footnoteReference w:id="2"/>
            </w:r>
          </w:p>
        </w:tc>
        <w:tc>
          <w:tcPr>
            <w:tcW w:w="1127" w:type="dxa"/>
            <w:tcBorders>
              <w:top w:val="single" w:sz="4" w:space="0" w:color="9CC2E5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 w:rsidR="00EC1E2E" w:rsidRDefault="00694595" w:rsidP="00C04234">
            <w:pPr>
              <w:spacing w:after="0" w:line="259" w:lineRule="auto"/>
              <w:ind w:left="0" w:right="41" w:firstLine="0"/>
              <w:jc w:val="right"/>
            </w:pPr>
            <w:r>
              <w:t>10,331,056</w:t>
            </w:r>
          </w:p>
        </w:tc>
        <w:tc>
          <w:tcPr>
            <w:tcW w:w="1127" w:type="dxa"/>
            <w:tcBorders>
              <w:top w:val="single" w:sz="4" w:space="0" w:color="9CC2E5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 w:rsidR="00EC1E2E" w:rsidRDefault="00694595" w:rsidP="00C04234">
            <w:pPr>
              <w:spacing w:after="0" w:line="259" w:lineRule="auto"/>
              <w:ind w:left="0" w:right="41" w:firstLine="0"/>
              <w:jc w:val="right"/>
            </w:pPr>
            <w:r>
              <w:t>8,265,610</w:t>
            </w:r>
          </w:p>
        </w:tc>
        <w:tc>
          <w:tcPr>
            <w:tcW w:w="1036" w:type="dxa"/>
            <w:tcBorders>
              <w:top w:val="single" w:sz="4" w:space="0" w:color="9CC2E5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 w:rsidR="00EC1E2E" w:rsidRDefault="00694595" w:rsidP="00C04234">
            <w:pPr>
              <w:spacing w:after="0" w:line="259" w:lineRule="auto"/>
              <w:ind w:left="0" w:right="41" w:firstLine="0"/>
              <w:jc w:val="right"/>
            </w:pPr>
            <w:r>
              <w:t>2,065,445</w:t>
            </w:r>
          </w:p>
        </w:tc>
        <w:tc>
          <w:tcPr>
            <w:tcW w:w="1066" w:type="dxa"/>
            <w:tcBorders>
              <w:top w:val="single" w:sz="4" w:space="0" w:color="9CC2E5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 w:rsidR="00EC1E2E" w:rsidRDefault="00694595" w:rsidP="00C04234">
            <w:pPr>
              <w:spacing w:after="0" w:line="259" w:lineRule="auto"/>
              <w:ind w:left="0" w:right="41" w:firstLine="0"/>
              <w:jc w:val="right"/>
            </w:pPr>
            <w:r>
              <w:t>6,776,037</w:t>
            </w:r>
          </w:p>
        </w:tc>
        <w:tc>
          <w:tcPr>
            <w:tcW w:w="1067" w:type="dxa"/>
            <w:tcBorders>
              <w:top w:val="single" w:sz="4" w:space="0" w:color="9CC2E5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 w:rsidR="00EC1E2E" w:rsidRDefault="00694595" w:rsidP="00C04234">
            <w:pPr>
              <w:spacing w:after="0" w:line="259" w:lineRule="auto"/>
              <w:ind w:left="0" w:right="41" w:firstLine="0"/>
              <w:jc w:val="right"/>
            </w:pPr>
            <w:r>
              <w:t>1,692,085</w:t>
            </w:r>
          </w:p>
        </w:tc>
        <w:tc>
          <w:tcPr>
            <w:tcW w:w="1067" w:type="dxa"/>
            <w:tcBorders>
              <w:top w:val="single" w:sz="4" w:space="0" w:color="9CC2E5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 w:rsidR="00EC1E2E" w:rsidRDefault="00694595" w:rsidP="00C04234">
            <w:pPr>
              <w:spacing w:after="0" w:line="259" w:lineRule="auto"/>
              <w:ind w:left="0" w:right="41" w:firstLine="0"/>
              <w:jc w:val="right"/>
            </w:pPr>
            <w:r>
              <w:t>8,265,610</w:t>
            </w:r>
          </w:p>
        </w:tc>
        <w:tc>
          <w:tcPr>
            <w:tcW w:w="1067" w:type="dxa"/>
            <w:tcBorders>
              <w:top w:val="single" w:sz="4" w:space="0" w:color="9CC2E5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 w:rsidR="00EC1E2E" w:rsidRDefault="00694595" w:rsidP="00C04234">
            <w:pPr>
              <w:spacing w:after="0" w:line="259" w:lineRule="auto"/>
              <w:ind w:left="0" w:right="41" w:firstLine="0"/>
              <w:jc w:val="right"/>
            </w:pPr>
            <w:r>
              <w:t>2,065,446</w:t>
            </w:r>
          </w:p>
        </w:tc>
      </w:tr>
      <w:tr w:rsidR="00B4210E" w:rsidTr="00B4210E">
        <w:trPr>
          <w:trHeight w:val="247"/>
        </w:trPr>
        <w:tc>
          <w:tcPr>
            <w:tcW w:w="156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C1E2E" w:rsidRDefault="00EC1E2E" w:rsidP="00C04234">
            <w:pPr>
              <w:spacing w:after="0" w:line="259" w:lineRule="auto"/>
              <w:ind w:left="0" w:right="39" w:firstLine="0"/>
            </w:pPr>
            <w:r>
              <w:t xml:space="preserve">Gamerounds 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C1E2E" w:rsidRDefault="00B4210E" w:rsidP="00C04234">
            <w:pPr>
              <w:spacing w:after="0" w:line="259" w:lineRule="auto"/>
              <w:ind w:left="0" w:right="40" w:firstLine="0"/>
              <w:jc w:val="right"/>
            </w:pPr>
            <w:r>
              <w:t>2,684,253,732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C1E2E" w:rsidRDefault="00B4210E" w:rsidP="00C04234">
            <w:pPr>
              <w:spacing w:after="0" w:line="259" w:lineRule="auto"/>
              <w:ind w:left="0" w:right="40" w:firstLine="0"/>
              <w:jc w:val="right"/>
            </w:pPr>
            <w:r>
              <w:t>2,152,940,504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C1E2E" w:rsidRDefault="00B4210E" w:rsidP="00C04234">
            <w:pPr>
              <w:spacing w:after="0" w:line="259" w:lineRule="auto"/>
              <w:ind w:left="0" w:right="40" w:firstLine="0"/>
              <w:jc w:val="right"/>
            </w:pPr>
            <w:r>
              <w:t>531,313,228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C1E2E" w:rsidRDefault="00B4210E" w:rsidP="00C04234">
            <w:pPr>
              <w:spacing w:after="0" w:line="259" w:lineRule="auto"/>
              <w:ind w:left="0" w:right="40" w:firstLine="0"/>
              <w:jc w:val="right"/>
            </w:pPr>
            <w:r>
              <w:t>842,316,960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C1E2E" w:rsidRDefault="00B4210E" w:rsidP="00C04234">
            <w:pPr>
              <w:spacing w:after="0" w:line="259" w:lineRule="auto"/>
              <w:ind w:left="0" w:right="40" w:firstLine="0"/>
              <w:jc w:val="right"/>
            </w:pPr>
            <w:r>
              <w:t>210,156,002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C1E2E" w:rsidRDefault="00B4210E" w:rsidP="00C04234">
            <w:pPr>
              <w:spacing w:after="0" w:line="259" w:lineRule="auto"/>
              <w:ind w:left="0" w:right="40" w:firstLine="0"/>
              <w:jc w:val="right"/>
            </w:pPr>
            <w:r>
              <w:t>1,310,623,544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C1E2E" w:rsidRDefault="00B4210E" w:rsidP="00C04234">
            <w:pPr>
              <w:spacing w:after="0" w:line="259" w:lineRule="auto"/>
              <w:ind w:left="0" w:right="40" w:firstLine="0"/>
              <w:jc w:val="right"/>
            </w:pPr>
            <w:r>
              <w:t>321,157,226</w:t>
            </w:r>
          </w:p>
        </w:tc>
      </w:tr>
      <w:tr w:rsidR="00B4210E" w:rsidTr="00B4210E">
        <w:trPr>
          <w:trHeight w:val="245"/>
        </w:trPr>
        <w:tc>
          <w:tcPr>
            <w:tcW w:w="156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EEAF6"/>
          </w:tcPr>
          <w:p w:rsidR="00EC1E2E" w:rsidRDefault="00EC1E2E" w:rsidP="00C04234">
            <w:pPr>
              <w:spacing w:after="0" w:line="259" w:lineRule="auto"/>
              <w:ind w:left="0" w:right="39" w:firstLine="0"/>
            </w:pPr>
            <w:r>
              <w:t>Purchases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EEAF6"/>
          </w:tcPr>
          <w:p w:rsidR="00EC1E2E" w:rsidRDefault="00B4210E" w:rsidP="00C04234">
            <w:pPr>
              <w:spacing w:after="0" w:line="259" w:lineRule="auto"/>
              <w:ind w:left="0" w:right="41" w:firstLine="0"/>
              <w:jc w:val="right"/>
            </w:pPr>
            <w:r>
              <w:t>6,283,916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EEAF6"/>
          </w:tcPr>
          <w:p w:rsidR="00EC1E2E" w:rsidRDefault="00B4210E" w:rsidP="00C04234">
            <w:pPr>
              <w:spacing w:after="0" w:line="259" w:lineRule="auto"/>
              <w:ind w:left="0" w:right="41" w:firstLine="0"/>
              <w:jc w:val="right"/>
            </w:pPr>
            <w:r>
              <w:t>4,982,140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EEAF6"/>
          </w:tcPr>
          <w:p w:rsidR="00EC1E2E" w:rsidRDefault="00B4210E" w:rsidP="00C04234">
            <w:pPr>
              <w:spacing w:after="0" w:line="259" w:lineRule="auto"/>
              <w:ind w:left="0" w:right="41" w:firstLine="0"/>
              <w:jc w:val="right"/>
            </w:pPr>
            <w:r>
              <w:t>1,301,776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EEAF6"/>
          </w:tcPr>
          <w:p w:rsidR="00EC1E2E" w:rsidRDefault="00B4210E" w:rsidP="00C04234">
            <w:pPr>
              <w:spacing w:after="0" w:line="259" w:lineRule="auto"/>
              <w:ind w:left="0" w:right="41" w:firstLine="0"/>
              <w:jc w:val="right"/>
            </w:pPr>
            <w:r>
              <w:t>1,955,183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EEAF6"/>
          </w:tcPr>
          <w:p w:rsidR="00EC1E2E" w:rsidRDefault="00B4210E" w:rsidP="00C04234">
            <w:pPr>
              <w:spacing w:after="0" w:line="259" w:lineRule="auto"/>
              <w:ind w:left="0" w:right="41" w:firstLine="0"/>
              <w:jc w:val="right"/>
            </w:pPr>
            <w:r>
              <w:t>490,943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EEAF6"/>
          </w:tcPr>
          <w:p w:rsidR="00EC1E2E" w:rsidRDefault="00B4210E" w:rsidP="00C04234">
            <w:pPr>
              <w:spacing w:after="0" w:line="259" w:lineRule="auto"/>
              <w:ind w:left="0" w:right="41" w:firstLine="0"/>
              <w:jc w:val="right"/>
            </w:pPr>
            <w:r>
              <w:t>3,026,957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EEAF6"/>
          </w:tcPr>
          <w:p w:rsidR="00EC1E2E" w:rsidRDefault="00B4210E" w:rsidP="00C04234">
            <w:pPr>
              <w:spacing w:after="0" w:line="259" w:lineRule="auto"/>
              <w:ind w:left="0" w:right="41" w:firstLine="0"/>
              <w:jc w:val="right"/>
            </w:pPr>
            <w:bookmarkStart w:id="1" w:name="OLE_LINK5"/>
            <w:r>
              <w:t>810,833</w:t>
            </w:r>
            <w:bookmarkEnd w:id="1"/>
          </w:p>
        </w:tc>
      </w:tr>
      <w:tr w:rsidR="00B4210E" w:rsidTr="00B4210E">
        <w:trPr>
          <w:trHeight w:val="247"/>
        </w:trPr>
        <w:tc>
          <w:tcPr>
            <w:tcW w:w="156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EC1E2E" w:rsidRDefault="00813040" w:rsidP="00C04234">
            <w:pPr>
              <w:spacing w:after="0" w:line="259" w:lineRule="auto"/>
              <w:ind w:left="39" w:firstLine="0"/>
            </w:pPr>
            <w:r>
              <w:t>G</w:t>
            </w:r>
            <w:r w:rsidR="00694595">
              <w:t>ames</w:t>
            </w:r>
            <w:r>
              <w:t xml:space="preserve"> per u</w:t>
            </w:r>
            <w:r w:rsidR="00694595">
              <w:t>ser</w:t>
            </w:r>
            <w:r w:rsidR="009C4943">
              <w:rPr>
                <w:rStyle w:val="FootnoteReference"/>
              </w:rPr>
              <w:footnoteReference w:id="3"/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EC1E2E" w:rsidRDefault="00B4210E" w:rsidP="00C04234">
            <w:pPr>
              <w:spacing w:after="0" w:line="259" w:lineRule="auto"/>
              <w:ind w:left="0" w:right="41" w:firstLine="0"/>
              <w:jc w:val="right"/>
            </w:pPr>
            <w:r>
              <w:t>259.82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EC1E2E" w:rsidRDefault="00B4210E" w:rsidP="00C04234">
            <w:pPr>
              <w:spacing w:after="0" w:line="259" w:lineRule="auto"/>
              <w:ind w:left="0" w:right="41" w:firstLine="0"/>
              <w:jc w:val="right"/>
            </w:pPr>
            <w:r>
              <w:t>260.47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EC1E2E" w:rsidRDefault="00B4210E" w:rsidP="00C04234">
            <w:pPr>
              <w:spacing w:after="0" w:line="259" w:lineRule="auto"/>
              <w:ind w:left="0" w:right="41" w:firstLine="0"/>
              <w:jc w:val="right"/>
            </w:pPr>
            <w:r>
              <w:t>257.24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EC1E2E" w:rsidRDefault="009C4943" w:rsidP="00C04234">
            <w:pPr>
              <w:spacing w:after="0" w:line="259" w:lineRule="auto"/>
              <w:ind w:left="0" w:right="41" w:firstLine="0"/>
              <w:jc w:val="right"/>
            </w:pPr>
            <w:r>
              <w:t>124.31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EC1E2E" w:rsidRDefault="009C4943" w:rsidP="00C04234">
            <w:pPr>
              <w:spacing w:after="0" w:line="259" w:lineRule="auto"/>
              <w:ind w:left="0" w:right="41" w:firstLine="0"/>
              <w:jc w:val="right"/>
            </w:pPr>
            <w:r>
              <w:t>124.20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EC1E2E" w:rsidRPr="00ED08D9" w:rsidRDefault="009C4943" w:rsidP="00C04234">
            <w:pPr>
              <w:spacing w:after="0" w:line="259" w:lineRule="auto"/>
              <w:ind w:left="0" w:right="41" w:firstLine="0"/>
              <w:jc w:val="right"/>
              <w:rPr>
                <w:color w:val="9C0006"/>
              </w:rPr>
            </w:pPr>
            <w:r w:rsidRPr="00ED08D9">
              <w:rPr>
                <w:color w:val="9C0006"/>
              </w:rPr>
              <w:t>158.56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EC1E2E" w:rsidRPr="00ED08D9" w:rsidRDefault="009C4943" w:rsidP="00C04234">
            <w:pPr>
              <w:spacing w:after="0" w:line="259" w:lineRule="auto"/>
              <w:ind w:left="0" w:right="41" w:firstLine="0"/>
              <w:jc w:val="right"/>
              <w:rPr>
                <w:color w:val="9C0006"/>
              </w:rPr>
            </w:pPr>
            <w:r w:rsidRPr="00ED08D9">
              <w:rPr>
                <w:color w:val="9C0006"/>
              </w:rPr>
              <w:t>155.49</w:t>
            </w:r>
          </w:p>
        </w:tc>
      </w:tr>
      <w:tr w:rsidR="00B4210E" w:rsidTr="00B4210E">
        <w:trPr>
          <w:trHeight w:val="245"/>
        </w:trPr>
        <w:tc>
          <w:tcPr>
            <w:tcW w:w="156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EEAF6"/>
          </w:tcPr>
          <w:p w:rsidR="00EC1E2E" w:rsidRDefault="00EC1E2E" w:rsidP="00C04234">
            <w:pPr>
              <w:spacing w:after="0" w:line="259" w:lineRule="auto"/>
              <w:ind w:left="0" w:right="39" w:firstLine="0"/>
            </w:pPr>
            <w:r>
              <w:t>Conversion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112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EEAF6"/>
          </w:tcPr>
          <w:p w:rsidR="00EC1E2E" w:rsidRDefault="009C4943" w:rsidP="00C04234">
            <w:pPr>
              <w:spacing w:after="0" w:line="259" w:lineRule="auto"/>
              <w:ind w:left="0" w:right="41" w:firstLine="0"/>
              <w:jc w:val="right"/>
            </w:pPr>
            <w:r>
              <w:t>0.23%</w:t>
            </w:r>
          </w:p>
        </w:tc>
        <w:tc>
          <w:tcPr>
            <w:tcW w:w="112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EEAF6"/>
          </w:tcPr>
          <w:p w:rsidR="00EC1E2E" w:rsidRDefault="009C4943" w:rsidP="00C04234">
            <w:pPr>
              <w:spacing w:after="0" w:line="259" w:lineRule="auto"/>
              <w:ind w:left="0" w:right="41" w:firstLine="0"/>
              <w:jc w:val="right"/>
            </w:pPr>
            <w:r>
              <w:t>0.23%</w:t>
            </w:r>
          </w:p>
        </w:tc>
        <w:tc>
          <w:tcPr>
            <w:tcW w:w="10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EEAF6"/>
          </w:tcPr>
          <w:p w:rsidR="00EC1E2E" w:rsidRDefault="009C4943" w:rsidP="00C04234">
            <w:pPr>
              <w:spacing w:after="0" w:line="259" w:lineRule="auto"/>
              <w:ind w:left="0" w:right="41" w:firstLine="0"/>
              <w:jc w:val="right"/>
            </w:pPr>
            <w:r>
              <w:t>0.25%</w:t>
            </w:r>
          </w:p>
        </w:tc>
        <w:tc>
          <w:tcPr>
            <w:tcW w:w="106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EEAF6"/>
          </w:tcPr>
          <w:p w:rsidR="00EC1E2E" w:rsidRDefault="009C4943" w:rsidP="00C04234">
            <w:pPr>
              <w:spacing w:after="0" w:line="259" w:lineRule="auto"/>
              <w:ind w:left="0" w:right="41" w:firstLine="0"/>
              <w:jc w:val="right"/>
            </w:pPr>
            <w:r>
              <w:t>0.23%</w:t>
            </w:r>
          </w:p>
        </w:tc>
        <w:tc>
          <w:tcPr>
            <w:tcW w:w="106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EEAF6"/>
          </w:tcPr>
          <w:p w:rsidR="00EC1E2E" w:rsidRDefault="009C4943" w:rsidP="00C04234">
            <w:pPr>
              <w:spacing w:after="0" w:line="259" w:lineRule="auto"/>
              <w:ind w:left="0" w:right="41" w:firstLine="0"/>
              <w:jc w:val="right"/>
            </w:pPr>
            <w:r>
              <w:t>0.23%</w:t>
            </w:r>
          </w:p>
        </w:tc>
        <w:tc>
          <w:tcPr>
            <w:tcW w:w="106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EEAF6"/>
          </w:tcPr>
          <w:p w:rsidR="00EC1E2E" w:rsidRPr="00ED08D9" w:rsidRDefault="009C4943" w:rsidP="00C04234">
            <w:pPr>
              <w:spacing w:after="0" w:line="259" w:lineRule="auto"/>
              <w:ind w:left="0" w:right="41" w:firstLine="0"/>
              <w:jc w:val="right"/>
              <w:rPr>
                <w:color w:val="006100"/>
              </w:rPr>
            </w:pPr>
            <w:r w:rsidRPr="00ED08D9">
              <w:rPr>
                <w:color w:val="006100"/>
              </w:rPr>
              <w:t>0.23%</w:t>
            </w:r>
          </w:p>
        </w:tc>
        <w:tc>
          <w:tcPr>
            <w:tcW w:w="106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EEAF6"/>
          </w:tcPr>
          <w:p w:rsidR="00EC1E2E" w:rsidRPr="00ED08D9" w:rsidRDefault="009C4943" w:rsidP="00C04234">
            <w:pPr>
              <w:spacing w:after="0" w:line="259" w:lineRule="auto"/>
              <w:ind w:left="0" w:right="41" w:firstLine="0"/>
              <w:jc w:val="right"/>
              <w:rPr>
                <w:color w:val="006100"/>
              </w:rPr>
            </w:pPr>
            <w:r w:rsidRPr="00ED08D9">
              <w:rPr>
                <w:color w:val="006100"/>
              </w:rPr>
              <w:t>0.25%</w:t>
            </w:r>
          </w:p>
        </w:tc>
      </w:tr>
      <w:tr w:rsidR="00B4210E" w:rsidTr="00B4210E">
        <w:trPr>
          <w:trHeight w:val="24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E2E" w:rsidRPr="00C04234" w:rsidRDefault="00EC1E2E" w:rsidP="00C04234">
            <w:pPr>
              <w:spacing w:after="0" w:line="259" w:lineRule="auto"/>
              <w:ind w:left="0" w:right="38" w:firstLine="0"/>
              <w:rPr>
                <w:vertAlign w:val="superscript"/>
              </w:rPr>
            </w:pPr>
            <w:r>
              <w:t>Purchase by client</w:t>
            </w:r>
            <w:r w:rsidR="009C4943">
              <w:rPr>
                <w:rStyle w:val="FootnoteReference"/>
              </w:rPr>
              <w:footnoteReference w:id="5"/>
            </w:r>
          </w:p>
        </w:tc>
        <w:tc>
          <w:tcPr>
            <w:tcW w:w="1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E2E" w:rsidRDefault="009C4943" w:rsidP="00C04234">
            <w:pPr>
              <w:spacing w:after="0" w:line="259" w:lineRule="auto"/>
              <w:ind w:left="0" w:right="41" w:firstLine="0"/>
              <w:jc w:val="right"/>
            </w:pPr>
            <w:r>
              <w:t>0.6083</w:t>
            </w:r>
          </w:p>
        </w:tc>
        <w:tc>
          <w:tcPr>
            <w:tcW w:w="1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E2E" w:rsidRDefault="009C4943" w:rsidP="00C04234">
            <w:pPr>
              <w:spacing w:after="0" w:line="259" w:lineRule="auto"/>
              <w:ind w:left="0" w:right="41" w:firstLine="0"/>
              <w:jc w:val="right"/>
            </w:pPr>
            <w:r>
              <w:t>0.6028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E2E" w:rsidRDefault="009C4943" w:rsidP="00C04234">
            <w:pPr>
              <w:spacing w:after="0" w:line="259" w:lineRule="auto"/>
              <w:ind w:left="0" w:right="41" w:firstLine="0"/>
              <w:jc w:val="right"/>
            </w:pPr>
            <w:r>
              <w:t>0.6303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E2E" w:rsidRDefault="009C4943" w:rsidP="00C04234">
            <w:pPr>
              <w:spacing w:after="0" w:line="259" w:lineRule="auto"/>
              <w:ind w:left="0" w:right="41" w:firstLine="0"/>
              <w:jc w:val="right"/>
            </w:pPr>
            <w:r>
              <w:t>0.2885</w:t>
            </w:r>
          </w:p>
        </w:tc>
        <w:tc>
          <w:tcPr>
            <w:tcW w:w="10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E2E" w:rsidRDefault="009C4943" w:rsidP="00C04234">
            <w:pPr>
              <w:spacing w:after="0" w:line="259" w:lineRule="auto"/>
              <w:ind w:left="0" w:right="41" w:firstLine="0"/>
              <w:jc w:val="right"/>
            </w:pPr>
            <w:r>
              <w:t>0.2901</w:t>
            </w:r>
          </w:p>
        </w:tc>
        <w:tc>
          <w:tcPr>
            <w:tcW w:w="10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E2E" w:rsidRPr="00ED08D9" w:rsidRDefault="009C4943" w:rsidP="00C04234">
            <w:pPr>
              <w:spacing w:after="0" w:line="259" w:lineRule="auto"/>
              <w:ind w:left="0" w:right="41" w:firstLine="0"/>
              <w:jc w:val="right"/>
              <w:rPr>
                <w:color w:val="006100"/>
              </w:rPr>
            </w:pPr>
            <w:r w:rsidRPr="00ED08D9">
              <w:rPr>
                <w:color w:val="006100"/>
              </w:rPr>
              <w:t>0.3662</w:t>
            </w:r>
          </w:p>
        </w:tc>
        <w:tc>
          <w:tcPr>
            <w:tcW w:w="10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E2E" w:rsidRPr="00ED08D9" w:rsidRDefault="009C4943" w:rsidP="00C04234">
            <w:pPr>
              <w:spacing w:after="0" w:line="259" w:lineRule="auto"/>
              <w:ind w:left="0" w:right="41" w:firstLine="0"/>
              <w:jc w:val="right"/>
              <w:rPr>
                <w:color w:val="006100"/>
              </w:rPr>
            </w:pPr>
            <w:r w:rsidRPr="00ED08D9">
              <w:rPr>
                <w:color w:val="006100"/>
              </w:rPr>
              <w:t>0.3926</w:t>
            </w:r>
          </w:p>
        </w:tc>
      </w:tr>
    </w:tbl>
    <w:p w:rsidR="00E27C80" w:rsidRDefault="00D14261">
      <w:pPr>
        <w:ind w:left="-5"/>
      </w:pPr>
      <w:r>
        <w:t xml:space="preserve">Table 1 shows summary data for the portfolio since inception date for the most important measures considered in this report. </w:t>
      </w:r>
    </w:p>
    <w:p w:rsidR="00E27C80" w:rsidRDefault="00E27C80">
      <w:pPr>
        <w:ind w:left="-5"/>
      </w:pPr>
    </w:p>
    <w:p w:rsidR="00E30AA1" w:rsidRDefault="00DF1B7D" w:rsidP="00E30AA1">
      <w:pPr>
        <w:ind w:left="-5"/>
      </w:pPr>
      <w:r>
        <w:t xml:space="preserve">The assignment date for some users is before the start of the experiment and the pre-experiment period data are useful to highlight differences in Group B with the period of the </w:t>
      </w:r>
      <w:r w:rsidR="00941253">
        <w:t>test</w:t>
      </w:r>
      <w:r>
        <w:t xml:space="preserve">. This report refers to the period </w:t>
      </w:r>
      <w:r w:rsidR="00D75D72">
        <w:t>20</w:t>
      </w:r>
      <w:r>
        <w:rPr>
          <w:vertAlign w:val="superscript"/>
        </w:rPr>
        <w:t>t</w:t>
      </w:r>
      <w:r w:rsidR="00D75D72">
        <w:rPr>
          <w:vertAlign w:val="superscript"/>
        </w:rPr>
        <w:t>h</w:t>
      </w:r>
      <w:r>
        <w:t xml:space="preserve"> Apr - </w:t>
      </w:r>
      <w:r w:rsidR="00E30AA1">
        <w:t>3</w:t>
      </w:r>
      <w:r w:rsidR="00E30AA1">
        <w:rPr>
          <w:vertAlign w:val="superscript"/>
        </w:rPr>
        <w:t>rd</w:t>
      </w:r>
      <w:r>
        <w:t xml:space="preserve"> May as the </w:t>
      </w:r>
      <w:r w:rsidR="00E30AA1">
        <w:rPr>
          <w:i/>
          <w:u w:val="single"/>
        </w:rPr>
        <w:t>pre-experiment</w:t>
      </w:r>
      <w:r w:rsidRPr="00940D6C">
        <w:rPr>
          <w:i/>
          <w:u w:val="single"/>
        </w:rPr>
        <w:t xml:space="preserve"> period</w:t>
      </w:r>
      <w:r>
        <w:t xml:space="preserve">, namely the period </w:t>
      </w:r>
      <w:r w:rsidR="00E30AA1">
        <w:t>before the experiment began</w:t>
      </w:r>
      <w:r>
        <w:t xml:space="preserve">. The name </w:t>
      </w:r>
      <w:r w:rsidRPr="00940D6C">
        <w:rPr>
          <w:i/>
          <w:u w:val="single"/>
        </w:rPr>
        <w:t>experiment period</w:t>
      </w:r>
      <w:r w:rsidRPr="00940D6C">
        <w:rPr>
          <w:i/>
        </w:rPr>
        <w:t xml:space="preserve"> </w:t>
      </w:r>
      <w:r>
        <w:t>refers to the period 4</w:t>
      </w:r>
      <w:r w:rsidRPr="00940D6C">
        <w:rPr>
          <w:vertAlign w:val="superscript"/>
        </w:rPr>
        <w:t>th</w:t>
      </w:r>
      <w:r>
        <w:t xml:space="preserve"> May - 22</w:t>
      </w:r>
      <w:r w:rsidRPr="00940D6C">
        <w:rPr>
          <w:vertAlign w:val="superscript"/>
        </w:rPr>
        <w:t>nd</w:t>
      </w:r>
      <w:r>
        <w:t xml:space="preserve"> May.</w:t>
      </w:r>
    </w:p>
    <w:p w:rsidR="00796F99" w:rsidRDefault="00EC1E2E" w:rsidP="00E30AA1">
      <w:pPr>
        <w:ind w:left="-5"/>
      </w:pPr>
      <w:r>
        <w:t xml:space="preserve">Group B is the experimental group </w:t>
      </w:r>
      <w:r w:rsidR="003A34D9">
        <w:t>made of</w:t>
      </w:r>
      <w:r>
        <w:t xml:space="preserve"> 20% of </w:t>
      </w:r>
      <w:r w:rsidR="0012553F">
        <w:t xml:space="preserve">the </w:t>
      </w:r>
      <w:r w:rsidR="003A34D9">
        <w:t xml:space="preserve">total </w:t>
      </w:r>
      <w:r>
        <w:t xml:space="preserve">sample. </w:t>
      </w:r>
      <w:r w:rsidR="00D14261">
        <w:t xml:space="preserve">The </w:t>
      </w:r>
      <w:r w:rsidR="00DF1B7D">
        <w:t>overall number of</w:t>
      </w:r>
      <w:r w:rsidR="00E27C80">
        <w:t xml:space="preserve"> games</w:t>
      </w:r>
      <w:r w:rsidR="00ED08D9">
        <w:t xml:space="preserve"> per user</w:t>
      </w:r>
      <w:r w:rsidR="00E27C80">
        <w:t xml:space="preserve"> </w:t>
      </w:r>
      <w:r w:rsidR="00ED08D9">
        <w:t>i</w:t>
      </w:r>
      <w:r w:rsidR="00E27C80">
        <w:t>s</w:t>
      </w:r>
      <w:r w:rsidR="00D14261">
        <w:t xml:space="preserve"> </w:t>
      </w:r>
      <w:r w:rsidR="00DF1B7D">
        <w:t>259.52</w:t>
      </w:r>
      <w:r w:rsidR="009F3BBF">
        <w:t>,</w:t>
      </w:r>
      <w:r w:rsidR="00DF1B7D">
        <w:t xml:space="preserve"> </w:t>
      </w:r>
      <w:r w:rsidR="00E27C80">
        <w:t xml:space="preserve">with a conversion of </w:t>
      </w:r>
      <w:r w:rsidR="00DF1B7D">
        <w:t>0.23%</w:t>
      </w:r>
      <w:r>
        <w:t xml:space="preserve">. The difference in gamerounds </w:t>
      </w:r>
      <w:r w:rsidR="00DF1B7D">
        <w:t xml:space="preserve">per user </w:t>
      </w:r>
      <w:r>
        <w:t xml:space="preserve">between group </w:t>
      </w:r>
      <w:r w:rsidR="00DF1B7D">
        <w:t xml:space="preserve">B </w:t>
      </w:r>
      <w:r>
        <w:t xml:space="preserve">and group </w:t>
      </w:r>
      <w:r w:rsidR="00DF1B7D">
        <w:t>A</w:t>
      </w:r>
      <w:r>
        <w:t xml:space="preserve"> is </w:t>
      </w:r>
      <w:r w:rsidR="00DF1B7D">
        <w:t>-3.07 in the period of the experiment,</w:t>
      </w:r>
      <w:r>
        <w:t xml:space="preserve"> and the difference in conversion is </w:t>
      </w:r>
      <w:r w:rsidR="00DF1B7D">
        <w:t>0.02%</w:t>
      </w:r>
      <w:r>
        <w:t xml:space="preserve">. </w:t>
      </w:r>
      <w:r w:rsidR="00C154B6">
        <w:t>The number of days in row users play the game is another valid measure for the engagement.</w:t>
      </w:r>
      <w:r w:rsidR="003A34D9">
        <w:t xml:space="preserve"> As sanity checks, it is </w:t>
      </w:r>
      <w:r w:rsidR="00941253">
        <w:t>essential</w:t>
      </w:r>
      <w:r w:rsidR="003A34D9">
        <w:t xml:space="preserve"> to notice the number of users (unique and total) reflects the assumptions of the experiment (80%-20%)</w:t>
      </w:r>
      <w:r w:rsidR="0012553F">
        <w:t>,</w:t>
      </w:r>
      <w:r w:rsidR="003A34D9">
        <w:t xml:space="preserve"> and there </w:t>
      </w:r>
      <w:r w:rsidR="0012553F">
        <w:t>is</w:t>
      </w:r>
      <w:r w:rsidR="003A34D9">
        <w:t xml:space="preserve"> no </w:t>
      </w:r>
      <w:r w:rsidR="0012553F">
        <w:t xml:space="preserve">user </w:t>
      </w:r>
      <w:r w:rsidR="003A34D9">
        <w:t>id</w:t>
      </w:r>
      <w:r w:rsidR="0012553F">
        <w:t xml:space="preserve"> </w:t>
      </w:r>
      <w:r w:rsidR="003A34D9">
        <w:t>in common between the two groups</w:t>
      </w:r>
      <w:r w:rsidR="003A34D9">
        <w:rPr>
          <w:rStyle w:val="FootnoteReference"/>
        </w:rPr>
        <w:footnoteReference w:id="6"/>
      </w:r>
      <w:r w:rsidR="00DF1B7D">
        <w:t>.</w:t>
      </w:r>
      <w:r w:rsidR="00A446BD">
        <w:t xml:space="preserve"> Before the </w:t>
      </w:r>
      <w:r w:rsidR="00941253">
        <w:t>research</w:t>
      </w:r>
      <w:r w:rsidR="00A446BD">
        <w:t xml:space="preserve"> on average</w:t>
      </w:r>
      <w:r w:rsidR="00941253">
        <w:t>,</w:t>
      </w:r>
      <w:r w:rsidR="00A446BD">
        <w:t xml:space="preserve"> each user plays 124 gamerounds</w:t>
      </w:r>
      <w:r w:rsidR="00941253">
        <w:t>;</w:t>
      </w:r>
      <w:r w:rsidR="00A446BD">
        <w:t xml:space="preserve"> during the experiment</w:t>
      </w:r>
      <w:r w:rsidR="00941253">
        <w:t>,</w:t>
      </w:r>
      <w:r w:rsidR="00A446BD">
        <w:t xml:space="preserve"> this number jumps to more than </w:t>
      </w:r>
      <w:r w:rsidR="00941253">
        <w:t xml:space="preserve">155. However, the </w:t>
      </w:r>
      <w:r w:rsidR="00A446BD">
        <w:t xml:space="preserve">average </w:t>
      </w:r>
      <w:r w:rsidR="00941253">
        <w:t>amount</w:t>
      </w:r>
      <w:r w:rsidR="00A446BD">
        <w:t xml:space="preserve"> for the control group (group A) is higher than the experimental group (group B), this hints that the experiment did not result in increasing the number of games played by </w:t>
      </w:r>
      <w:r w:rsidR="00941253">
        <w:t xml:space="preserve">the </w:t>
      </w:r>
      <w:r w:rsidR="00A446BD">
        <w:t>user for group B</w:t>
      </w:r>
      <w:r w:rsidR="00E63456">
        <w:t>, the conversion instead improved of 0.02% and the purchase by client of 0.0264.</w:t>
      </w:r>
    </w:p>
    <w:p w:rsidR="00796F99" w:rsidRDefault="00C154B6" w:rsidP="0012553F">
      <w:pPr>
        <w:ind w:left="-5"/>
      </w:pPr>
      <w:r>
        <w:t>T</w:t>
      </w:r>
      <w:r w:rsidR="00D14261">
        <w:t xml:space="preserve">he </w:t>
      </w:r>
      <w:hyperlink w:anchor="_EDA_–_Exploratory" w:history="1">
        <w:r w:rsidRPr="00C154B6">
          <w:rPr>
            <w:rStyle w:val="Hyperlink"/>
            <w:i/>
          </w:rPr>
          <w:t>EDA (Exploratory Data Analysis)</w:t>
        </w:r>
      </w:hyperlink>
      <w:r>
        <w:t xml:space="preserve"> section</w:t>
      </w:r>
      <w:r w:rsidR="00D14261">
        <w:t xml:space="preserve">, will </w:t>
      </w:r>
      <w:r>
        <w:t>present the data exploration,</w:t>
      </w:r>
      <w:r w:rsidR="00D14261">
        <w:t xml:space="preserve"> </w:t>
      </w:r>
      <w:r>
        <w:t xml:space="preserve">then the </w:t>
      </w:r>
      <w:hyperlink w:anchor="_Analysis" w:history="1">
        <w:r w:rsidRPr="00976ED8">
          <w:rPr>
            <w:rStyle w:val="Hyperlink"/>
            <w:i/>
          </w:rPr>
          <w:t>Analysis</w:t>
        </w:r>
      </w:hyperlink>
      <w:r w:rsidRPr="00C154B6">
        <w:rPr>
          <w:i/>
        </w:rPr>
        <w:t xml:space="preserve"> section</w:t>
      </w:r>
      <w:r>
        <w:t xml:space="preserve"> highlights the methodology used to formulate the conclusions</w:t>
      </w:r>
      <w:r w:rsidR="0012553F">
        <w:t>,</w:t>
      </w:r>
      <w:r>
        <w:t xml:space="preserve"> and finally</w:t>
      </w:r>
      <w:r w:rsidR="0012553F">
        <w:t>,</w:t>
      </w:r>
      <w:r>
        <w:t xml:space="preserve"> the </w:t>
      </w:r>
      <w:hyperlink w:anchor="_Insights_1" w:history="1">
        <w:r w:rsidRPr="00976ED8">
          <w:rPr>
            <w:rStyle w:val="Hyperlink"/>
            <w:i/>
          </w:rPr>
          <w:t>Insight</w:t>
        </w:r>
      </w:hyperlink>
      <w:r>
        <w:t xml:space="preserve"> section summarises the </w:t>
      </w:r>
      <w:r w:rsidR="00941253">
        <w:t>critical</w:t>
      </w:r>
      <w:r>
        <w:t xml:space="preserve"> indications for King emerging from this study.</w:t>
      </w:r>
    </w:p>
    <w:p w:rsidR="00796F99" w:rsidRDefault="00D14261">
      <w:pPr>
        <w:spacing w:after="293" w:line="259" w:lineRule="auto"/>
        <w:ind w:left="0" w:firstLine="0"/>
      </w:pPr>
      <w:r>
        <w:t xml:space="preserve"> </w:t>
      </w:r>
    </w:p>
    <w:p w:rsidR="00796F99" w:rsidRDefault="00C154B6">
      <w:pPr>
        <w:pStyle w:val="Heading2"/>
        <w:ind w:left="-5"/>
      </w:pPr>
      <w:bookmarkStart w:id="3" w:name="_EDA_–_Exploratory"/>
      <w:bookmarkEnd w:id="3"/>
      <w:r>
        <w:lastRenderedPageBreak/>
        <w:t>EDA – Exploratory Data Analysis</w:t>
      </w:r>
      <w:r w:rsidR="00D14261">
        <w:t xml:space="preserve"> </w:t>
      </w:r>
    </w:p>
    <w:tbl>
      <w:tblPr>
        <w:tblStyle w:val="TableGrid0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52"/>
        <w:gridCol w:w="4653"/>
      </w:tblGrid>
      <w:tr w:rsidR="00C346B2" w:rsidTr="00FF317D">
        <w:trPr>
          <w:trHeight w:hRule="exact" w:val="284"/>
          <w:jc w:val="center"/>
        </w:trPr>
        <w:tc>
          <w:tcPr>
            <w:tcW w:w="4652" w:type="dxa"/>
            <w:vAlign w:val="center"/>
          </w:tcPr>
          <w:p w:rsidR="00C346B2" w:rsidRDefault="00C346B2" w:rsidP="00C346B2">
            <w:pPr>
              <w:pStyle w:val="Caption"/>
              <w:keepNext/>
              <w:jc w:val="center"/>
            </w:pPr>
            <w:bookmarkStart w:id="4" w:name="_Ref26297047"/>
            <w:r>
              <w:t xml:space="preserve">Figure </w:t>
            </w:r>
            <w:fldSimple w:instr=" SEQ Figure \* ARABIC ">
              <w:r w:rsidR="00A02B6E">
                <w:rPr>
                  <w:noProof/>
                </w:rPr>
                <w:t>1</w:t>
              </w:r>
            </w:fldSimple>
            <w:bookmarkEnd w:id="4"/>
          </w:p>
        </w:tc>
        <w:tc>
          <w:tcPr>
            <w:tcW w:w="4653" w:type="dxa"/>
            <w:vAlign w:val="center"/>
          </w:tcPr>
          <w:p w:rsidR="00C346B2" w:rsidRDefault="00C346B2" w:rsidP="00C346B2">
            <w:pPr>
              <w:pStyle w:val="Caption"/>
              <w:keepNext/>
              <w:jc w:val="center"/>
            </w:pPr>
            <w:bookmarkStart w:id="5" w:name="_Ref26297049"/>
            <w:r>
              <w:t xml:space="preserve">Figure </w:t>
            </w:r>
            <w:fldSimple w:instr=" SEQ Figure \* ARABIC ">
              <w:r w:rsidR="00A02B6E">
                <w:rPr>
                  <w:noProof/>
                </w:rPr>
                <w:t>2</w:t>
              </w:r>
            </w:fldSimple>
            <w:bookmarkEnd w:id="5"/>
          </w:p>
        </w:tc>
      </w:tr>
      <w:tr w:rsidR="00C346B2" w:rsidTr="00FF317D">
        <w:trPr>
          <w:jc w:val="center"/>
        </w:trPr>
        <w:tc>
          <w:tcPr>
            <w:tcW w:w="4652" w:type="dxa"/>
            <w:vAlign w:val="center"/>
          </w:tcPr>
          <w:p w:rsidR="00C346B2" w:rsidRDefault="00C346B2" w:rsidP="00C346B2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52CE880" wp14:editId="16E05177">
                  <wp:extent cx="2880000" cy="1920000"/>
                  <wp:effectExtent l="0" t="0" r="0" b="4445"/>
                  <wp:docPr id="4" name="Picture 4" descr="A screenshot of a video game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oxPlotPurchasesPerUsersByGroupPreStud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3" w:type="dxa"/>
            <w:vAlign w:val="center"/>
          </w:tcPr>
          <w:p w:rsidR="00C346B2" w:rsidRDefault="00C346B2" w:rsidP="00C346B2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4807858" wp14:editId="4F958543">
                  <wp:extent cx="2880000" cy="1920000"/>
                  <wp:effectExtent l="0" t="0" r="0" b="4445"/>
                  <wp:docPr id="5" name="Picture 5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oxPlotPurchasesPerUsersByGroupStudy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17D" w:rsidTr="00FF317D">
        <w:trPr>
          <w:trHeight w:hRule="exact" w:val="284"/>
          <w:jc w:val="center"/>
        </w:trPr>
        <w:tc>
          <w:tcPr>
            <w:tcW w:w="4652" w:type="dxa"/>
            <w:vAlign w:val="center"/>
          </w:tcPr>
          <w:p w:rsidR="00FF317D" w:rsidRDefault="00FF317D" w:rsidP="00FF317D">
            <w:pPr>
              <w:pStyle w:val="Caption"/>
              <w:keepNext/>
              <w:jc w:val="center"/>
              <w:rPr>
                <w:noProof/>
              </w:rPr>
            </w:pPr>
            <w:bookmarkStart w:id="6" w:name="_Ref26297364"/>
            <w:r>
              <w:t xml:space="preserve">Figure </w:t>
            </w:r>
            <w:fldSimple w:instr=" SEQ Figure \* ARABIC ">
              <w:r w:rsidR="00A02B6E">
                <w:rPr>
                  <w:noProof/>
                </w:rPr>
                <w:t>3</w:t>
              </w:r>
            </w:fldSimple>
            <w:bookmarkEnd w:id="6"/>
          </w:p>
        </w:tc>
        <w:tc>
          <w:tcPr>
            <w:tcW w:w="4653" w:type="dxa"/>
            <w:vAlign w:val="center"/>
          </w:tcPr>
          <w:p w:rsidR="00FF317D" w:rsidRDefault="00FF317D" w:rsidP="00FF317D">
            <w:pPr>
              <w:pStyle w:val="Caption"/>
              <w:keepNext/>
              <w:jc w:val="center"/>
              <w:rPr>
                <w:noProof/>
              </w:rPr>
            </w:pPr>
            <w:bookmarkStart w:id="7" w:name="_Ref26297366"/>
            <w:r>
              <w:t xml:space="preserve">Figure </w:t>
            </w:r>
            <w:fldSimple w:instr=" SEQ Figure \* ARABIC ">
              <w:r w:rsidR="00A02B6E">
                <w:rPr>
                  <w:noProof/>
                </w:rPr>
                <w:t>4</w:t>
              </w:r>
            </w:fldSimple>
            <w:bookmarkEnd w:id="7"/>
          </w:p>
        </w:tc>
      </w:tr>
      <w:tr w:rsidR="00FF317D" w:rsidTr="00FF317D">
        <w:trPr>
          <w:jc w:val="center"/>
        </w:trPr>
        <w:tc>
          <w:tcPr>
            <w:tcW w:w="4652" w:type="dxa"/>
            <w:vAlign w:val="center"/>
          </w:tcPr>
          <w:p w:rsidR="00FF317D" w:rsidRDefault="00FF317D" w:rsidP="00FF317D">
            <w:pPr>
              <w:ind w:left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880000" cy="1920000"/>
                  <wp:effectExtent l="0" t="0" r="0" b="4445"/>
                  <wp:docPr id="6" name="Picture 6" descr="A picture containing screensho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ensityPurchasesPerUserPreStud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3" w:type="dxa"/>
            <w:vAlign w:val="center"/>
          </w:tcPr>
          <w:p w:rsidR="00FF317D" w:rsidRDefault="00FF317D" w:rsidP="00C346B2">
            <w:pPr>
              <w:ind w:left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1C547E" wp14:editId="40E21641">
                  <wp:extent cx="2880000" cy="1920000"/>
                  <wp:effectExtent l="0" t="0" r="0" b="4445"/>
                  <wp:docPr id="7" name="Picture 7" descr="A screenshot of a cell phone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nsityPurchasesPerUserStudy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6F99" w:rsidRDefault="008E7BFD" w:rsidP="0012553F">
      <w:pPr>
        <w:ind w:left="-5"/>
      </w:pPr>
      <w:r>
        <w:t xml:space="preserve">There are two groups of users that the report calls A or control and B or experimental. The users in group B are subject to a </w:t>
      </w:r>
      <w:r w:rsidR="003A34D9">
        <w:t xml:space="preserve">change, that is the object of the experiment, and therefore their engagement should be higher. </w:t>
      </w:r>
      <w:r w:rsidR="00C346B2">
        <w:t>The KPI</w:t>
      </w:r>
      <w:r w:rsidR="00941253">
        <w:t>s</w:t>
      </w:r>
      <w:r w:rsidR="00C346B2">
        <w:t xml:space="preserve"> that proposed for the engagement are those defined in the bottom rows of </w:t>
      </w:r>
      <w:r w:rsidR="00C346B2">
        <w:fldChar w:fldCharType="begin"/>
      </w:r>
      <w:r w:rsidR="00C346B2">
        <w:instrText xml:space="preserve"> REF _Ref26296430 \h </w:instrText>
      </w:r>
      <w:r w:rsidR="00C346B2">
        <w:fldChar w:fldCharType="separate"/>
      </w:r>
      <w:r w:rsidR="00C346B2">
        <w:t xml:space="preserve">Table </w:t>
      </w:r>
      <w:r w:rsidR="00C346B2">
        <w:rPr>
          <w:noProof/>
        </w:rPr>
        <w:t>1</w:t>
      </w:r>
      <w:r w:rsidR="00C346B2">
        <w:fldChar w:fldCharType="end"/>
      </w:r>
      <w:r w:rsidR="00941253">
        <w:t>,</w:t>
      </w:r>
      <w:r w:rsidR="00C346B2">
        <w:t xml:space="preserve"> namely: games per user, conversion and purchases per user</w:t>
      </w:r>
      <w:r w:rsidR="003A34D9">
        <w:t>.</w:t>
      </w:r>
      <w:r w:rsidR="00C346B2">
        <w:t xml:space="preserve"> </w:t>
      </w:r>
      <w:r w:rsidR="00C346B2">
        <w:fldChar w:fldCharType="begin"/>
      </w:r>
      <w:r w:rsidR="00C346B2">
        <w:instrText xml:space="preserve"> REF _Ref26296430 \h </w:instrText>
      </w:r>
      <w:r w:rsidR="00C346B2">
        <w:fldChar w:fldCharType="separate"/>
      </w:r>
      <w:r w:rsidR="00C346B2">
        <w:t xml:space="preserve">Table </w:t>
      </w:r>
      <w:r w:rsidR="00C346B2">
        <w:rPr>
          <w:noProof/>
        </w:rPr>
        <w:t>1</w:t>
      </w:r>
      <w:r w:rsidR="00C346B2">
        <w:fldChar w:fldCharType="end"/>
      </w:r>
      <w:r w:rsidR="00C346B2">
        <w:t xml:space="preserve"> shows that the value for the games per user does not improve for group B compared to group A (the figure is in red for this purpose).</w:t>
      </w:r>
      <w:r w:rsidR="003A34D9">
        <w:t xml:space="preserve"> </w:t>
      </w:r>
      <w:r w:rsidR="00FF317D">
        <w:rPr>
          <w:highlight w:val="yellow"/>
        </w:rPr>
        <w:fldChar w:fldCharType="begin"/>
      </w:r>
      <w:r w:rsidR="00FF317D">
        <w:instrText xml:space="preserve"> REF _Ref26297047 \h </w:instrText>
      </w:r>
      <w:r w:rsidR="00FF317D">
        <w:rPr>
          <w:highlight w:val="yellow"/>
        </w:rPr>
      </w:r>
      <w:r w:rsidR="00FF317D">
        <w:rPr>
          <w:highlight w:val="yellow"/>
        </w:rPr>
        <w:fldChar w:fldCharType="separate"/>
      </w:r>
      <w:r w:rsidR="00FF317D">
        <w:t xml:space="preserve">Figure </w:t>
      </w:r>
      <w:r w:rsidR="00FF317D">
        <w:rPr>
          <w:noProof/>
        </w:rPr>
        <w:t>1</w:t>
      </w:r>
      <w:r w:rsidR="00FF317D">
        <w:rPr>
          <w:highlight w:val="yellow"/>
        </w:rPr>
        <w:fldChar w:fldCharType="end"/>
      </w:r>
      <w:r w:rsidR="00FF317D" w:rsidRPr="00FF317D">
        <w:t xml:space="preserve"> and </w:t>
      </w:r>
      <w:r w:rsidR="00FF317D">
        <w:rPr>
          <w:highlight w:val="yellow"/>
        </w:rPr>
        <w:fldChar w:fldCharType="begin"/>
      </w:r>
      <w:r w:rsidR="00FF317D">
        <w:rPr>
          <w:highlight w:val="yellow"/>
        </w:rPr>
        <w:instrText xml:space="preserve"> REF _Ref26297049 \h </w:instrText>
      </w:r>
      <w:r w:rsidR="00FF317D">
        <w:rPr>
          <w:highlight w:val="yellow"/>
        </w:rPr>
      </w:r>
      <w:r w:rsidR="00FF317D">
        <w:rPr>
          <w:highlight w:val="yellow"/>
        </w:rPr>
        <w:fldChar w:fldCharType="separate"/>
      </w:r>
      <w:r w:rsidR="00FF317D">
        <w:t xml:space="preserve">Figure </w:t>
      </w:r>
      <w:r w:rsidR="00FF317D">
        <w:rPr>
          <w:noProof/>
        </w:rPr>
        <w:t>2</w:t>
      </w:r>
      <w:r w:rsidR="00FF317D">
        <w:rPr>
          <w:highlight w:val="yellow"/>
        </w:rPr>
        <w:fldChar w:fldCharType="end"/>
      </w:r>
      <w:r w:rsidR="00FF317D">
        <w:t xml:space="preserve"> show</w:t>
      </w:r>
      <w:r w:rsidR="003A34D9">
        <w:t xml:space="preserve"> a boxplot for the </w:t>
      </w:r>
      <w:r w:rsidR="00FF317D">
        <w:t>period before the experiment and after</w:t>
      </w:r>
      <w:r w:rsidR="003A34D9">
        <w:t xml:space="preserve">. </w:t>
      </w:r>
      <w:r w:rsidR="00FF317D">
        <w:t>T</w:t>
      </w:r>
      <w:r w:rsidR="003A34D9">
        <w:t>he difference in the median value is</w:t>
      </w:r>
      <w:r w:rsidR="00FF317D">
        <w:t xml:space="preserve"> minimal before the </w:t>
      </w:r>
      <w:r w:rsidR="00941253">
        <w:t>test,</w:t>
      </w:r>
      <w:r w:rsidR="00FF317D">
        <w:t xml:space="preserve"> but after</w:t>
      </w:r>
      <w:r w:rsidR="00941253">
        <w:t xml:space="preserve"> it</w:t>
      </w:r>
      <w:r w:rsidR="00FF317D">
        <w:t xml:space="preserve"> is</w:t>
      </w:r>
      <w:r w:rsidR="003A34D9">
        <w:t xml:space="preserve"> </w:t>
      </w:r>
      <w:r w:rsidR="00FF317D">
        <w:t xml:space="preserve">decimal of percentage points. </w:t>
      </w:r>
      <w:r w:rsidR="00FF317D">
        <w:fldChar w:fldCharType="begin"/>
      </w:r>
      <w:r w:rsidR="00FF317D">
        <w:instrText xml:space="preserve"> REF _Ref26297364 \h </w:instrText>
      </w:r>
      <w:r w:rsidR="00FF317D">
        <w:fldChar w:fldCharType="separate"/>
      </w:r>
      <w:r w:rsidR="00FF317D">
        <w:t xml:space="preserve">Figure </w:t>
      </w:r>
      <w:r w:rsidR="00FF317D">
        <w:rPr>
          <w:noProof/>
        </w:rPr>
        <w:t>3</w:t>
      </w:r>
      <w:r w:rsidR="00FF317D">
        <w:fldChar w:fldCharType="end"/>
      </w:r>
      <w:r w:rsidR="00FF317D">
        <w:t xml:space="preserve"> and </w:t>
      </w:r>
      <w:r w:rsidR="00FF317D">
        <w:fldChar w:fldCharType="begin"/>
      </w:r>
      <w:r w:rsidR="00FF317D">
        <w:instrText xml:space="preserve"> REF _Ref26297366 \h </w:instrText>
      </w:r>
      <w:r w:rsidR="00FF317D">
        <w:fldChar w:fldCharType="separate"/>
      </w:r>
      <w:r w:rsidR="00FF317D">
        <w:t xml:space="preserve">Figure </w:t>
      </w:r>
      <w:r w:rsidR="00FF317D">
        <w:rPr>
          <w:noProof/>
        </w:rPr>
        <w:t>4</w:t>
      </w:r>
      <w:r w:rsidR="00FF317D">
        <w:fldChar w:fldCharType="end"/>
      </w:r>
      <w:r w:rsidR="00FF317D">
        <w:t xml:space="preserve"> show a density plot for the same variable</w:t>
      </w:r>
      <w:r w:rsidR="003A34D9">
        <w:t>.</w:t>
      </w:r>
      <w:r w:rsidR="00FF317D">
        <w:t xml:space="preserve"> We can observe that while before the experiment the purchase per user was between 0.029 and 0.031 with a probability not below 0.9 during the </w:t>
      </w:r>
      <w:r w:rsidR="00941253">
        <w:t>research</w:t>
      </w:r>
      <w:r w:rsidR="00FF317D">
        <w:t xml:space="preserve"> such probability becomes much lower</w:t>
      </w:r>
      <w:r w:rsidR="00941253">
        <w:t>,</w:t>
      </w:r>
      <w:r w:rsidR="00FF317D">
        <w:t xml:space="preserve"> and the interval widens</w:t>
      </w:r>
      <w:r w:rsidR="00941253">
        <w:t xml:space="preserve">; </w:t>
      </w:r>
      <w:proofErr w:type="gramStart"/>
      <w:r w:rsidR="00941253">
        <w:t>t</w:t>
      </w:r>
      <w:r w:rsidR="00FF317D">
        <w:t>herefore</w:t>
      </w:r>
      <w:proofErr w:type="gramEnd"/>
      <w:r w:rsidR="00FF317D">
        <w:t xml:space="preserve"> the purchase per user will be between 0.030 and 0.036 with a </w:t>
      </w:r>
      <w:r w:rsidR="00941253">
        <w:t>likelihood</w:t>
      </w:r>
      <w:r w:rsidR="00FF317D">
        <w:t xml:space="preserve"> of at least 0.9.</w:t>
      </w:r>
    </w:p>
    <w:p w:rsidR="00796F99" w:rsidRDefault="00381930" w:rsidP="0012553F">
      <w:pPr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92836" wp14:editId="0CB8A884">
                <wp:simplePos x="0" y="0"/>
                <wp:positionH relativeFrom="column">
                  <wp:posOffset>697230</wp:posOffset>
                </wp:positionH>
                <wp:positionV relativeFrom="paragraph">
                  <wp:posOffset>315595</wp:posOffset>
                </wp:positionV>
                <wp:extent cx="480060" cy="144780"/>
                <wp:effectExtent l="0" t="0" r="0" b="762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81930" w:rsidRPr="00486229" w:rsidRDefault="00381930" w:rsidP="00381930">
                            <w:pPr>
                              <w:pStyle w:val="Caption"/>
                              <w:rPr>
                                <w:noProof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928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4.9pt;margin-top:24.85pt;width:37.8pt;height: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" stroked="f">
                <v:textbox inset="0,0,0,0">
                  <w:txbxContent>
                    <w:p w:rsidR="00381930" w:rsidRPr="00486229" w:rsidRDefault="00381930" w:rsidP="00381930">
                      <w:pPr>
                        <w:pStyle w:val="Caption"/>
                        <w:rPr>
                          <w:noProof/>
                          <w:color w:val="00000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15FCD">
        <w:t>Furthermore</w:t>
      </w:r>
      <w:r w:rsidR="0012553F">
        <w:t>,</w:t>
      </w:r>
      <w:r w:rsidR="003A34D9">
        <w:t xml:space="preserve"> it is </w:t>
      </w:r>
      <w:r w:rsidR="00E5570F">
        <w:t>essential</w:t>
      </w:r>
      <w:r w:rsidR="003A34D9">
        <w:t xml:space="preserve"> to analyse the number of </w:t>
      </w:r>
      <w:r w:rsidR="000532AE">
        <w:t xml:space="preserve">gamerounds and </w:t>
      </w:r>
      <w:r w:rsidR="003A34D9">
        <w:t xml:space="preserve">purchases </w:t>
      </w:r>
      <w:r w:rsidR="000532AE">
        <w:t>by date. A dual-axis chart is useful in this situation since there is a big difference in the absolute numbers between the two groups</w:t>
      </w:r>
      <w:r>
        <w:t xml:space="preserve"> (</w:t>
      </w:r>
      <w:r>
        <w:fldChar w:fldCharType="begin"/>
      </w:r>
      <w:r>
        <w:instrText xml:space="preserve"> REF _Ref26298054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>
        <w:t>)</w:t>
      </w:r>
      <w:r w:rsidR="000532AE">
        <w:t>.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2"/>
        <w:gridCol w:w="4653"/>
      </w:tblGrid>
      <w:tr w:rsidR="00381930" w:rsidTr="00381930">
        <w:tc>
          <w:tcPr>
            <w:tcW w:w="4652" w:type="dxa"/>
            <w:vAlign w:val="center"/>
          </w:tcPr>
          <w:p w:rsidR="00381930" w:rsidRPr="00381930" w:rsidRDefault="00381930" w:rsidP="00381930">
            <w:pPr>
              <w:pStyle w:val="Caption"/>
              <w:jc w:val="center"/>
              <w:rPr>
                <w:noProof/>
                <w:color w:val="000000"/>
              </w:rPr>
            </w:pPr>
            <w:bookmarkStart w:id="8" w:name="_Ref26298054"/>
            <w:r>
              <w:t xml:space="preserve">Figure </w:t>
            </w:r>
            <w:fldSimple w:instr=" SEQ Figure \* ARABIC ">
              <w:r w:rsidR="00A02B6E">
                <w:rPr>
                  <w:noProof/>
                </w:rPr>
                <w:t>5</w:t>
              </w:r>
            </w:fldSimple>
            <w:bookmarkEnd w:id="8"/>
          </w:p>
        </w:tc>
        <w:tc>
          <w:tcPr>
            <w:tcW w:w="4653" w:type="dxa"/>
            <w:vAlign w:val="center"/>
          </w:tcPr>
          <w:p w:rsidR="00381930" w:rsidRDefault="00381930" w:rsidP="00381930">
            <w:pPr>
              <w:pStyle w:val="Caption"/>
              <w:keepNext/>
              <w:jc w:val="center"/>
            </w:pPr>
            <w:bookmarkStart w:id="9" w:name="_Ref26298404"/>
            <w:r>
              <w:t xml:space="preserve">Figure </w:t>
            </w:r>
            <w:fldSimple w:instr=" SEQ Figure \* ARABIC ">
              <w:r w:rsidR="00A02B6E">
                <w:rPr>
                  <w:noProof/>
                </w:rPr>
                <w:t>6</w:t>
              </w:r>
            </w:fldSimple>
            <w:bookmarkEnd w:id="9"/>
          </w:p>
        </w:tc>
      </w:tr>
      <w:tr w:rsidR="00381930" w:rsidTr="00381930">
        <w:tc>
          <w:tcPr>
            <w:tcW w:w="4652" w:type="dxa"/>
            <w:vAlign w:val="center"/>
          </w:tcPr>
          <w:p w:rsidR="00381930" w:rsidRDefault="00381930" w:rsidP="00381930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FDC4FC2">
                  <wp:extent cx="1847850" cy="111061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110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3" w:type="dxa"/>
            <w:vAlign w:val="center"/>
          </w:tcPr>
          <w:p w:rsidR="00381930" w:rsidRDefault="00381930" w:rsidP="00381930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7D1E70E">
                  <wp:extent cx="1850582" cy="1112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582" cy="111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1930" w:rsidRDefault="00381930" w:rsidP="00381930">
      <w:pPr>
        <w:ind w:left="0" w:firstLine="0"/>
      </w:pPr>
    </w:p>
    <w:p w:rsidR="00381930" w:rsidRDefault="00381930" w:rsidP="0012553F">
      <w:pPr>
        <w:ind w:left="-5"/>
      </w:pPr>
    </w:p>
    <w:p w:rsidR="00FF317D" w:rsidRDefault="00FF317D" w:rsidP="0012553F">
      <w:pPr>
        <w:ind w:left="-5"/>
      </w:pPr>
    </w:p>
    <w:p w:rsidR="00A02B6E" w:rsidRDefault="00381930" w:rsidP="00A02B6E">
      <w:pPr>
        <w:ind w:left="-5"/>
      </w:pPr>
      <w:r>
        <w:rPr>
          <w:highlight w:val="yellow"/>
        </w:rPr>
        <w:fldChar w:fldCharType="begin"/>
      </w:r>
      <w:r>
        <w:instrText xml:space="preserve"> REF _Ref26298054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9F3BBF">
        <w:t xml:space="preserve">Figure </w:t>
      </w:r>
      <w:r w:rsidR="009F3BBF">
        <w:rPr>
          <w:noProof/>
        </w:rPr>
        <w:t>5</w:t>
      </w:r>
      <w:r>
        <w:rPr>
          <w:highlight w:val="yellow"/>
        </w:rPr>
        <w:fldChar w:fldCharType="end"/>
      </w:r>
      <w:r w:rsidR="00D14261">
        <w:t xml:space="preserve"> </w:t>
      </w:r>
      <w:r w:rsidR="000532AE">
        <w:t xml:space="preserve">shows the absolute number gamerounds by date between the two groups. </w:t>
      </w:r>
      <w:r>
        <w:rPr>
          <w:highlight w:val="yellow"/>
        </w:rPr>
        <w:fldChar w:fldCharType="begin"/>
      </w:r>
      <w:r>
        <w:instrText xml:space="preserve"> REF _Ref26298404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9F3BBF">
        <w:t xml:space="preserve">Figure </w:t>
      </w:r>
      <w:r w:rsidR="009F3BBF">
        <w:rPr>
          <w:noProof/>
        </w:rPr>
        <w:t>6</w:t>
      </w:r>
      <w:r>
        <w:rPr>
          <w:highlight w:val="yellow"/>
        </w:rPr>
        <w:fldChar w:fldCharType="end"/>
      </w:r>
      <w:r w:rsidR="000532AE">
        <w:t xml:space="preserve"> shows the number of purchases by </w:t>
      </w:r>
      <w:r w:rsidR="0012553F">
        <w:t xml:space="preserve">the </w:t>
      </w:r>
      <w:r w:rsidR="000532AE">
        <w:t xml:space="preserve">group. Alongside with the </w:t>
      </w:r>
      <w:r w:rsidR="00E5570F">
        <w:t>value</w:t>
      </w:r>
      <w:r w:rsidR="0012553F">
        <w:t>,</w:t>
      </w:r>
      <w:r w:rsidR="006E0EF0">
        <w:t xml:space="preserve"> it is </w:t>
      </w:r>
      <w:r w:rsidR="00E5570F">
        <w:t>relevant</w:t>
      </w:r>
      <w:r w:rsidR="006E0EF0">
        <w:t xml:space="preserve"> to look at relative </w:t>
      </w:r>
      <w:r w:rsidR="00373B30">
        <w:t>values</w:t>
      </w:r>
      <w:r w:rsidR="008B73E8">
        <w:t xml:space="preserve"> defined with </w:t>
      </w:r>
      <w:r w:rsidR="0012553F">
        <w:t>four</w:t>
      </w:r>
      <w:r w:rsidR="008B73E8">
        <w:t xml:space="preserve"> ratios using the engagement metrics at disposal (gamerounds and purchases)</w:t>
      </w:r>
      <w:r w:rsidR="006E0EF0">
        <w:t>.</w:t>
      </w:r>
      <w:r w:rsidR="00A02B6E">
        <w:t xml:space="preserve"> For this case the conversion (</w:t>
      </w:r>
      <w:r w:rsidR="00373B30">
        <w:t xml:space="preserve">the </w:t>
      </w:r>
      <w:r w:rsidR="00A02B6E">
        <w:t xml:space="preserve">number of </w:t>
      </w:r>
      <w:r w:rsidR="00373B30">
        <w:t>sales</w:t>
      </w:r>
      <w:r w:rsidR="00A02B6E">
        <w:t xml:space="preserve"> divided by </w:t>
      </w:r>
      <w:r w:rsidR="00373B30">
        <w:t xml:space="preserve">the </w:t>
      </w:r>
      <w:r w:rsidR="00A02B6E">
        <w:t xml:space="preserve">number of </w:t>
      </w:r>
      <w:proofErr w:type="spellStart"/>
      <w:r w:rsidR="00A02B6E">
        <w:t>gamerounds</w:t>
      </w:r>
      <w:proofErr w:type="spellEnd"/>
      <w:r w:rsidR="00A02B6E">
        <w:t>) and purchases per user (number of purchases by distinct users)</w:t>
      </w:r>
      <w:r w:rsidR="00815FCD">
        <w:t xml:space="preserve"> are useful</w:t>
      </w:r>
      <w:r w:rsidR="00A02B6E">
        <w:t>.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5"/>
        <w:gridCol w:w="4654"/>
      </w:tblGrid>
      <w:tr w:rsidR="00A02B6E" w:rsidTr="00EB50CE">
        <w:tc>
          <w:tcPr>
            <w:tcW w:w="3103" w:type="dxa"/>
          </w:tcPr>
          <w:p w:rsidR="00A02B6E" w:rsidRDefault="00A02B6E" w:rsidP="00A02B6E">
            <w:pPr>
              <w:pStyle w:val="Caption"/>
              <w:keepNext/>
              <w:jc w:val="center"/>
            </w:pPr>
            <w:bookmarkStart w:id="10" w:name="_Ref26351146"/>
            <w:r>
              <w:t xml:space="preserve">Figure </w:t>
            </w:r>
            <w:fldSimple w:instr=" SEQ Figure \* ARABIC ">
              <w:r>
                <w:rPr>
                  <w:noProof/>
                </w:rPr>
                <w:t>7</w:t>
              </w:r>
            </w:fldSimple>
            <w:bookmarkEnd w:id="10"/>
          </w:p>
          <w:p w:rsidR="00A02B6E" w:rsidRDefault="00A02B6E" w:rsidP="00A02B6E">
            <w:pPr>
              <w:ind w:left="-5"/>
              <w:jc w:val="center"/>
            </w:pPr>
            <w:r>
              <w:rPr>
                <w:noProof/>
              </w:rPr>
              <w:drawing>
                <wp:inline distT="0" distB="0" distL="0" distR="0" wp14:anchorId="3190D385" wp14:editId="1C0F6FF2">
                  <wp:extent cx="1971210" cy="118491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220" cy="11885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4" w:type="dxa"/>
          </w:tcPr>
          <w:p w:rsidR="00A02B6E" w:rsidRDefault="00A02B6E" w:rsidP="00A02B6E">
            <w:pPr>
              <w:pStyle w:val="Caption"/>
              <w:keepNext/>
              <w:jc w:val="center"/>
            </w:pPr>
            <w:bookmarkStart w:id="11" w:name="_Ref26351451"/>
            <w:r>
              <w:t xml:space="preserve">Table </w:t>
            </w:r>
            <w:fldSimple w:instr=" SEQ Table \* ARABIC ">
              <w:r w:rsidR="00FE6C70">
                <w:rPr>
                  <w:noProof/>
                </w:rPr>
                <w:t>2</w:t>
              </w:r>
            </w:fldSimple>
            <w:bookmarkEnd w:id="11"/>
          </w:p>
          <w:p w:rsidR="00A02B6E" w:rsidRDefault="00EB50CE" w:rsidP="00A02B6E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3231277" wp14:editId="0353BD32">
                  <wp:extent cx="1699260" cy="473564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658" cy="482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2B6E" w:rsidRDefault="00A02B6E" w:rsidP="00A02B6E">
      <w:pPr>
        <w:ind w:left="-5"/>
      </w:pPr>
    </w:p>
    <w:p w:rsidR="00796F99" w:rsidRDefault="00F5078B" w:rsidP="0012553F">
      <w:pPr>
        <w:ind w:left="-5"/>
      </w:pPr>
      <w:r w:rsidRPr="00F5078B">
        <w:t>The proportion of the sales per user</w:t>
      </w:r>
      <w:r>
        <w:t xml:space="preserve"> per group</w:t>
      </w:r>
      <w:r w:rsidRPr="00F5078B">
        <w:t xml:space="preserve"> is calculated by each day for each group</w:t>
      </w:r>
      <w:r>
        <w:t>,</w:t>
      </w:r>
      <w:r w:rsidRPr="00F5078B">
        <w:t xml:space="preserve"> and </w:t>
      </w:r>
      <w:r w:rsidR="00A02B6E">
        <w:fldChar w:fldCharType="begin"/>
      </w:r>
      <w:r w:rsidR="00A02B6E">
        <w:instrText xml:space="preserve"> REF _Ref26351146 \h </w:instrText>
      </w:r>
      <w:r w:rsidR="00A02B6E">
        <w:fldChar w:fldCharType="separate"/>
      </w:r>
      <w:r w:rsidR="00A02B6E">
        <w:t xml:space="preserve">Figure </w:t>
      </w:r>
      <w:r w:rsidR="00A02B6E">
        <w:rPr>
          <w:noProof/>
        </w:rPr>
        <w:t>7</w:t>
      </w:r>
      <w:r w:rsidR="00A02B6E">
        <w:fldChar w:fldCharType="end"/>
      </w:r>
      <w:r>
        <w:t xml:space="preserve"> displays it. </w:t>
      </w:r>
      <w:r w:rsidR="00A02B6E">
        <w:fldChar w:fldCharType="begin"/>
      </w:r>
      <w:r w:rsidR="00A02B6E">
        <w:instrText xml:space="preserve"> REF _Ref26351451 \h </w:instrText>
      </w:r>
      <w:r w:rsidR="00A02B6E">
        <w:fldChar w:fldCharType="separate"/>
      </w:r>
      <w:r w:rsidR="00A02B6E">
        <w:t xml:space="preserve">Table </w:t>
      </w:r>
      <w:r w:rsidR="00A02B6E">
        <w:rPr>
          <w:noProof/>
        </w:rPr>
        <w:t>2</w:t>
      </w:r>
      <w:r w:rsidR="00A02B6E">
        <w:fldChar w:fldCharType="end"/>
      </w:r>
      <w:r w:rsidR="00A02B6E">
        <w:t xml:space="preserve"> gives </w:t>
      </w:r>
      <w:r w:rsidR="00EB50CE">
        <w:t>the average of purchases by</w:t>
      </w:r>
      <w:r>
        <w:t xml:space="preserve"> a</w:t>
      </w:r>
      <w:r w:rsidR="00EB50CE">
        <w:t xml:space="preserve"> user for the period before and during the </w:t>
      </w:r>
      <w:r>
        <w:t>test</w:t>
      </w:r>
      <w:r w:rsidR="00815FCD">
        <w:t xml:space="preserve">. </w:t>
      </w:r>
      <w:r w:rsidR="009F3BBF">
        <w:t xml:space="preserve">For </w:t>
      </w:r>
      <w:r w:rsidR="00815FCD">
        <w:t xml:space="preserve">the chart in </w:t>
      </w:r>
      <w:r w:rsidR="00815FCD">
        <w:fldChar w:fldCharType="begin"/>
      </w:r>
      <w:r w:rsidR="00815FCD">
        <w:instrText xml:space="preserve"> REF _Ref26351146 \h </w:instrText>
      </w:r>
      <w:r w:rsidR="00815FCD">
        <w:fldChar w:fldCharType="separate"/>
      </w:r>
      <w:r w:rsidR="00815FCD">
        <w:t xml:space="preserve">Figure </w:t>
      </w:r>
      <w:r w:rsidR="00815FCD">
        <w:rPr>
          <w:noProof/>
        </w:rPr>
        <w:t>7</w:t>
      </w:r>
      <w:r w:rsidR="00815FCD">
        <w:fldChar w:fldCharType="end"/>
      </w:r>
      <w:r>
        <w:t>,</w:t>
      </w:r>
      <w:r w:rsidR="00815FCD">
        <w:t xml:space="preserve"> the average</w:t>
      </w:r>
      <w:r w:rsidR="009F3BBF">
        <w:t xml:space="preserve"> of</w:t>
      </w:r>
      <w:r w:rsidR="00815FCD">
        <w:t xml:space="preserve"> purchases per user is calculated by each day for each group.</w:t>
      </w:r>
    </w:p>
    <w:p w:rsidR="00796F99" w:rsidRDefault="00D14261" w:rsidP="0012553F">
      <w:pPr>
        <w:spacing w:after="236"/>
        <w:ind w:left="-5"/>
      </w:pPr>
      <w:r>
        <w:t xml:space="preserve">The key findings are: </w:t>
      </w:r>
    </w:p>
    <w:p w:rsidR="00796F99" w:rsidRDefault="000C6454" w:rsidP="0012553F">
      <w:pPr>
        <w:numPr>
          <w:ilvl w:val="0"/>
          <w:numId w:val="1"/>
        </w:numPr>
        <w:spacing w:after="30" w:line="275" w:lineRule="auto"/>
        <w:ind w:hanging="360"/>
      </w:pPr>
      <w:r>
        <w:t xml:space="preserve">The gamerounds in </w:t>
      </w:r>
      <w:r w:rsidR="00703FB5">
        <w:t xml:space="preserve">the </w:t>
      </w:r>
      <w:proofErr w:type="gramStart"/>
      <w:r>
        <w:t xml:space="preserve">period </w:t>
      </w:r>
      <w:r w:rsidR="00703FB5">
        <w:t xml:space="preserve"> of</w:t>
      </w:r>
      <w:proofErr w:type="gramEnd"/>
      <w:r w:rsidR="00703FB5">
        <w:t xml:space="preserve"> the experiment </w:t>
      </w:r>
      <w:r>
        <w:t xml:space="preserve">for group </w:t>
      </w:r>
      <w:r w:rsidR="00703FB5">
        <w:t xml:space="preserve">B </w:t>
      </w:r>
      <w:r w:rsidR="00A02B6E">
        <w:t>are</w:t>
      </w:r>
      <w:r>
        <w:t xml:space="preserve"> not better compared to group </w:t>
      </w:r>
      <w:r w:rsidR="00703FB5">
        <w:t>A</w:t>
      </w:r>
    </w:p>
    <w:p w:rsidR="00796F99" w:rsidRDefault="000C6454" w:rsidP="0012553F">
      <w:pPr>
        <w:numPr>
          <w:ilvl w:val="0"/>
          <w:numId w:val="1"/>
        </w:numPr>
        <w:spacing w:after="35"/>
        <w:ind w:hanging="360"/>
      </w:pPr>
      <w:r>
        <w:t xml:space="preserve">The </w:t>
      </w:r>
      <w:r w:rsidR="00703FB5">
        <w:t xml:space="preserve">conversion during the period of </w:t>
      </w:r>
      <w:r w:rsidR="00F5078B">
        <w:t>the research</w:t>
      </w:r>
      <w:r>
        <w:t xml:space="preserve"> for group B looks better than group A</w:t>
      </w:r>
      <w:r w:rsidR="00F5078B">
        <w:t>,</w:t>
      </w:r>
      <w:r w:rsidR="00703FB5">
        <w:t xml:space="preserve"> but</w:t>
      </w:r>
      <w:r>
        <w:t xml:space="preserve"> the difference is</w:t>
      </w:r>
      <w:r w:rsidR="00815FCD">
        <w:t xml:space="preserve"> </w:t>
      </w:r>
      <w:r w:rsidR="00F5078B">
        <w:t>minimal</w:t>
      </w:r>
      <w:r>
        <w:t xml:space="preserve"> </w:t>
      </w:r>
      <w:r w:rsidR="00815FCD">
        <w:t>(</w:t>
      </w:r>
      <w:r w:rsidR="00703FB5">
        <w:t>0.02%</w:t>
      </w:r>
      <w:r>
        <w:t xml:space="preserve"> </w:t>
      </w:r>
      <w:r w:rsidR="00815FCD">
        <w:t>on average)</w:t>
      </w:r>
    </w:p>
    <w:p w:rsidR="00A02B6E" w:rsidRDefault="00F5078B" w:rsidP="0012553F">
      <w:pPr>
        <w:numPr>
          <w:ilvl w:val="0"/>
          <w:numId w:val="1"/>
        </w:numPr>
        <w:spacing w:after="35"/>
        <w:ind w:hanging="360"/>
      </w:pPr>
      <w:r>
        <w:t>Purchases per-</w:t>
      </w:r>
      <w:r w:rsidR="00A02B6E">
        <w:t xml:space="preserve">users improve from 3.08% to 3.27% on average for group B </w:t>
      </w:r>
    </w:p>
    <w:p w:rsidR="000C6454" w:rsidRDefault="000C6454" w:rsidP="0012553F">
      <w:pPr>
        <w:spacing w:after="35"/>
      </w:pPr>
    </w:p>
    <w:p w:rsidR="000C6454" w:rsidRDefault="000C6454" w:rsidP="0012553F">
      <w:pPr>
        <w:spacing w:after="35"/>
      </w:pPr>
      <w:r>
        <w:t xml:space="preserve">It is also possible to take into consideration the day of the week and check if there </w:t>
      </w:r>
      <w:r w:rsidR="0012553F">
        <w:t>are</w:t>
      </w:r>
      <w:r>
        <w:t xml:space="preserve"> one or more days that </w:t>
      </w:r>
      <w:r w:rsidR="00F766C6">
        <w:t xml:space="preserve">present better value for the engagement. </w:t>
      </w:r>
      <w:r w:rsidR="00703FB5">
        <w:t>For</w:t>
      </w:r>
      <w:r w:rsidR="00F766C6">
        <w:t xml:space="preserve"> this purpose, the report considers the day of the week for each day in the period and calculates the avera</w:t>
      </w:r>
      <w:r w:rsidR="00AC638D">
        <w:t xml:space="preserve">ge for gamerounds and purchases. Then the total value for gamerounds and purchases for each calendar day is divided by the average of the correspondent day of the week. This ratio </w:t>
      </w:r>
      <w:r w:rsidR="0012553F">
        <w:t>would give</w:t>
      </w:r>
      <w:r w:rsidR="00AC638D">
        <w:t xml:space="preserve"> information if one </w:t>
      </w:r>
      <w:r w:rsidR="00703FB5">
        <w:t>day</w:t>
      </w:r>
      <w:r w:rsidR="00AC638D">
        <w:t xml:space="preserve"> of the week showed a higher number of users. Th</w:t>
      </w:r>
      <w:r w:rsidR="0012553F">
        <w:t xml:space="preserve">is document </w:t>
      </w:r>
      <w:r w:rsidR="00815FCD">
        <w:t>considers an analysis o</w:t>
      </w:r>
      <w:r w:rsidR="00F5078B">
        <w:t>f</w:t>
      </w:r>
      <w:r w:rsidR="00AC638D">
        <w:t xml:space="preserve"> the average in the </w:t>
      </w:r>
      <w:r w:rsidR="00254433">
        <w:t>period before the experiment</w:t>
      </w:r>
      <w:r w:rsidR="00AC638D">
        <w:rPr>
          <w:rStyle w:val="FootnoteReference"/>
        </w:rPr>
        <w:footnoteReference w:id="7"/>
      </w:r>
      <w:r w:rsidR="00254433">
        <w:t xml:space="preserve"> and during the experiment</w:t>
      </w:r>
      <w:r w:rsidR="00AC638D">
        <w:rPr>
          <w:rStyle w:val="FootnoteReference"/>
        </w:rPr>
        <w:footnoteReference w:id="8"/>
      </w:r>
      <w:r w:rsidR="00AC638D">
        <w:t xml:space="preserve">. The seasonality index </w:t>
      </w:r>
      <w:r w:rsidR="00815FCD">
        <w:t xml:space="preserve">calculated using the averages by day of the week </w:t>
      </w:r>
      <w:r w:rsidR="00F5078B">
        <w:t>presented</w:t>
      </w:r>
      <w:r w:rsidR="00AC638D">
        <w:t xml:space="preserve"> in </w:t>
      </w:r>
      <w:r w:rsidR="00254433">
        <w:rPr>
          <w:highlight w:val="yellow"/>
        </w:rPr>
        <w:fldChar w:fldCharType="begin"/>
      </w:r>
      <w:r w:rsidR="00254433">
        <w:instrText xml:space="preserve"> REF _Ref26300132 \h </w:instrText>
      </w:r>
      <w:r w:rsidR="00254433">
        <w:rPr>
          <w:highlight w:val="yellow"/>
        </w:rPr>
      </w:r>
      <w:r w:rsidR="00254433">
        <w:rPr>
          <w:highlight w:val="yellow"/>
        </w:rPr>
        <w:fldChar w:fldCharType="separate"/>
      </w:r>
      <w:r w:rsidR="00254433">
        <w:t xml:space="preserve">Figure </w:t>
      </w:r>
      <w:r w:rsidR="00254433">
        <w:rPr>
          <w:noProof/>
        </w:rPr>
        <w:t>7</w:t>
      </w:r>
      <w:r w:rsidR="00254433">
        <w:rPr>
          <w:highlight w:val="yellow"/>
        </w:rPr>
        <w:fldChar w:fldCharType="end"/>
      </w:r>
      <w:r w:rsidR="00AC638D">
        <w:t>. Looking at the</w:t>
      </w:r>
      <w:r w:rsidR="00815FCD">
        <w:t xml:space="preserve"> chart</w:t>
      </w:r>
      <w:r w:rsidR="0012553F">
        <w:t>,</w:t>
      </w:r>
      <w:r w:rsidR="00AC638D">
        <w:t xml:space="preserve"> it is evident that </w:t>
      </w:r>
      <w:r w:rsidR="00815FCD">
        <w:t>at the commencing of the experiment</w:t>
      </w:r>
      <w:r w:rsidR="00F5078B">
        <w:t>,</w:t>
      </w:r>
      <w:r w:rsidR="00815FCD">
        <w:t xml:space="preserve"> there is a 0.2% improvement for group B</w:t>
      </w:r>
      <w:r w:rsidR="00F5078B">
        <w:t>,</w:t>
      </w:r>
      <w:r w:rsidR="00815FCD">
        <w:t xml:space="preserve"> but then it quenches towards the end</w:t>
      </w:r>
      <w:r w:rsidR="00456F0D">
        <w:t>. Looking at the seasonality index calculated by day of the week before the ex</w:t>
      </w:r>
      <w:r w:rsidR="00815FCD">
        <w:t xml:space="preserve">periment and after, displayed in </w:t>
      </w:r>
      <w:r w:rsidR="00815FCD">
        <w:fldChar w:fldCharType="begin"/>
      </w:r>
      <w:r w:rsidR="00815FCD">
        <w:instrText xml:space="preserve"> REF _Ref26354188 \h </w:instrText>
      </w:r>
      <w:r w:rsidR="00815FCD">
        <w:fldChar w:fldCharType="separate"/>
      </w:r>
      <w:r w:rsidR="00815FCD">
        <w:t xml:space="preserve">Table </w:t>
      </w:r>
      <w:r w:rsidR="00815FCD">
        <w:rPr>
          <w:noProof/>
        </w:rPr>
        <w:t>3</w:t>
      </w:r>
      <w:r w:rsidR="00815FCD">
        <w:fldChar w:fldCharType="end"/>
      </w:r>
      <w:r w:rsidR="00456F0D">
        <w:t>, it is evident that there is no bigger variation</w:t>
      </w:r>
      <w:r w:rsidR="00AC638D">
        <w:t>.</w:t>
      </w:r>
    </w:p>
    <w:tbl>
      <w:tblPr>
        <w:tblStyle w:val="TableGrid0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5549"/>
      </w:tblGrid>
      <w:tr w:rsidR="00FC58AE" w:rsidTr="00456F0D">
        <w:tc>
          <w:tcPr>
            <w:tcW w:w="3077" w:type="dxa"/>
          </w:tcPr>
          <w:p w:rsidR="00FC58AE" w:rsidRDefault="00FC58AE" w:rsidP="00FC58AE">
            <w:pPr>
              <w:pStyle w:val="Caption"/>
              <w:keepNext/>
              <w:jc w:val="center"/>
            </w:pPr>
            <w:r>
              <w:t xml:space="preserve">Figure </w:t>
            </w:r>
            <w:fldSimple w:instr=" SEQ Figure \* ARABIC ">
              <w:r w:rsidR="00A02B6E">
                <w:rPr>
                  <w:noProof/>
                </w:rPr>
                <w:t>8</w:t>
              </w:r>
            </w:fldSimple>
          </w:p>
        </w:tc>
        <w:tc>
          <w:tcPr>
            <w:tcW w:w="6228" w:type="dxa"/>
          </w:tcPr>
          <w:p w:rsidR="00FC58AE" w:rsidRDefault="00456F0D" w:rsidP="00456F0D">
            <w:pPr>
              <w:pStyle w:val="Caption"/>
              <w:keepNext/>
              <w:jc w:val="center"/>
            </w:pPr>
            <w:bookmarkStart w:id="12" w:name="_Ref26354188"/>
            <w:r>
              <w:t xml:space="preserve">Table </w:t>
            </w:r>
            <w:fldSimple w:instr=" SEQ Table \* ARABIC ">
              <w:r w:rsidR="00FE6C70">
                <w:rPr>
                  <w:noProof/>
                </w:rPr>
                <w:t>3</w:t>
              </w:r>
            </w:fldSimple>
            <w:bookmarkEnd w:id="12"/>
          </w:p>
        </w:tc>
      </w:tr>
      <w:tr w:rsidR="00FC58AE" w:rsidTr="00456F0D">
        <w:tc>
          <w:tcPr>
            <w:tcW w:w="3077" w:type="dxa"/>
          </w:tcPr>
          <w:p w:rsidR="00FC58AE" w:rsidRDefault="00FC58AE" w:rsidP="00FC58AE">
            <w:pPr>
              <w:spacing w:after="35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1729F88" wp14:editId="655F04E9">
                  <wp:extent cx="2245393" cy="1440000"/>
                  <wp:effectExtent l="0" t="0" r="254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393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1" w:type="dxa"/>
          </w:tcPr>
          <w:p w:rsidR="00FC58AE" w:rsidRDefault="00456F0D" w:rsidP="0012553F">
            <w:pPr>
              <w:spacing w:after="35"/>
              <w:ind w:left="0" w:firstLine="0"/>
            </w:pPr>
            <w:r>
              <w:rPr>
                <w:noProof/>
              </w:rPr>
              <w:drawing>
                <wp:inline distT="0" distB="0" distL="0" distR="0" wp14:anchorId="18532813" wp14:editId="4ACEAFCE">
                  <wp:extent cx="2854945" cy="1418821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046" cy="143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58AE" w:rsidRDefault="00FC58AE" w:rsidP="0012553F">
      <w:pPr>
        <w:spacing w:after="35"/>
      </w:pPr>
    </w:p>
    <w:p w:rsidR="00254433" w:rsidRDefault="00254433" w:rsidP="00254433">
      <w:pPr>
        <w:spacing w:after="35"/>
        <w:jc w:val="center"/>
      </w:pPr>
    </w:p>
    <w:p w:rsidR="00796F99" w:rsidRDefault="00AC638D" w:rsidP="0012553F">
      <w:pPr>
        <w:spacing w:after="35"/>
      </w:pPr>
      <w:r>
        <w:t>Until now</w:t>
      </w:r>
      <w:r w:rsidR="0012553F">
        <w:t>,</w:t>
      </w:r>
      <w:r>
        <w:t xml:space="preserve"> the report considered the engagement basically as </w:t>
      </w:r>
      <w:r w:rsidR="0012553F">
        <w:t xml:space="preserve">a </w:t>
      </w:r>
      <w:r>
        <w:t>share of gamerounds and conversion</w:t>
      </w:r>
      <w:r w:rsidR="0012553F">
        <w:t>,</w:t>
      </w:r>
      <w:r>
        <w:t xml:space="preserve"> but another important measure is the str</w:t>
      </w:r>
      <w:r w:rsidR="00456F0D">
        <w:t>eak, defined a</w:t>
      </w:r>
      <w:r>
        <w:t xml:space="preserve">s the number of consecutive days in which users play the game. This report considers </w:t>
      </w:r>
      <w:r w:rsidR="00456F0D">
        <w:t xml:space="preserve">a </w:t>
      </w:r>
      <w:r>
        <w:t>5-days str</w:t>
      </w:r>
      <w:r w:rsidR="00456F0D">
        <w:t>eak as well</w:t>
      </w:r>
      <w:r w:rsidR="00591649">
        <w:t xml:space="preserve">. </w:t>
      </w:r>
      <w:r w:rsidR="006848A1">
        <w:rPr>
          <w:highlight w:val="yellow"/>
        </w:rPr>
        <w:fldChar w:fldCharType="begin"/>
      </w:r>
      <w:r w:rsidR="006848A1">
        <w:instrText xml:space="preserve"> REF _Ref26301395 \h </w:instrText>
      </w:r>
      <w:r w:rsidR="006848A1">
        <w:rPr>
          <w:highlight w:val="yellow"/>
        </w:rPr>
      </w:r>
      <w:r w:rsidR="006848A1">
        <w:rPr>
          <w:highlight w:val="yellow"/>
        </w:rPr>
        <w:fldChar w:fldCharType="separate"/>
      </w:r>
      <w:r w:rsidR="00815FCD">
        <w:t xml:space="preserve">Table </w:t>
      </w:r>
      <w:r w:rsidR="00815FCD">
        <w:rPr>
          <w:noProof/>
        </w:rPr>
        <w:t>4</w:t>
      </w:r>
      <w:r w:rsidR="006848A1">
        <w:rPr>
          <w:highlight w:val="yellow"/>
        </w:rPr>
        <w:fldChar w:fldCharType="end"/>
      </w:r>
      <w:r w:rsidR="0012553F">
        <w:t xml:space="preserve"> summarises the results.</w:t>
      </w:r>
      <w:r w:rsidR="006848A1">
        <w:t xml:space="preserve"> </w:t>
      </w:r>
      <w:r w:rsidR="00F5078B">
        <w:t>T</w:t>
      </w:r>
      <w:r w:rsidR="006848A1">
        <w:t xml:space="preserve">here is not much difference between the control and experiment group. It is not significant to check more streak because the analysis would be meaningless since the 5-days did not bear results. Considering a streak with less day is </w:t>
      </w:r>
      <w:r w:rsidR="00941253">
        <w:t>not very impactful on engagement</w:t>
      </w:r>
      <w:r w:rsidR="006848A1">
        <w:t>.</w:t>
      </w:r>
    </w:p>
    <w:p w:rsidR="007F356B" w:rsidRDefault="007F356B" w:rsidP="007F356B">
      <w:pPr>
        <w:pStyle w:val="Caption"/>
        <w:keepNext/>
        <w:jc w:val="center"/>
      </w:pPr>
      <w:bookmarkStart w:id="13" w:name="_Analysis"/>
      <w:bookmarkStart w:id="14" w:name="_Ref26301395"/>
      <w:bookmarkEnd w:id="13"/>
      <w:r>
        <w:t xml:space="preserve">Table </w:t>
      </w:r>
      <w:fldSimple w:instr=" SEQ Table \* ARABIC ">
        <w:r w:rsidR="00FE6C70">
          <w:rPr>
            <w:noProof/>
          </w:rPr>
          <w:t>4</w:t>
        </w:r>
      </w:fldSimple>
      <w:bookmarkEnd w:id="14"/>
    </w:p>
    <w:p w:rsidR="000C6454" w:rsidRDefault="007F356B" w:rsidP="007F356B">
      <w:pPr>
        <w:pStyle w:val="Heading2"/>
        <w:spacing w:after="144"/>
        <w:ind w:left="-5"/>
        <w:jc w:val="center"/>
      </w:pPr>
      <w:r>
        <w:rPr>
          <w:noProof/>
        </w:rPr>
        <w:drawing>
          <wp:inline distT="0" distB="0" distL="0" distR="0" wp14:anchorId="1DC08103" wp14:editId="2FFD0F7A">
            <wp:extent cx="2232660" cy="547553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6198" cy="5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99" w:rsidRDefault="00976ED8">
      <w:pPr>
        <w:pStyle w:val="Heading2"/>
        <w:spacing w:after="144"/>
        <w:ind w:left="-5"/>
      </w:pPr>
      <w:r>
        <w:t>Analysis</w:t>
      </w:r>
    </w:p>
    <w:p w:rsidR="00507A6E" w:rsidRDefault="00591649" w:rsidP="00507A6E">
      <w:r>
        <w:t>This section explains the methodology that is used to examine the data and draw conclusions. The language used is technical</w:t>
      </w:r>
      <w:r w:rsidR="0012553F">
        <w:t>,</w:t>
      </w:r>
      <w:r>
        <w:t xml:space="preserve"> but everything is explained to make this document readable even by a non-technical person.</w:t>
      </w:r>
    </w:p>
    <w:p w:rsidR="002008C0" w:rsidRDefault="00507A6E" w:rsidP="00941253">
      <w:r>
        <w:t xml:space="preserve">As stated before in the paper, the control group (group A) has 80% of the users while the experimental group only the remaining 20%, therefore using ratios will allow us to compare the two groups in an easy way. This paper </w:t>
      </w:r>
      <w:r w:rsidR="00F5078B">
        <w:t>also stated</w:t>
      </w:r>
      <w:r>
        <w:t xml:space="preserve"> that data pre-test </w:t>
      </w:r>
      <w:r w:rsidR="00F5078B">
        <w:t>is</w:t>
      </w:r>
      <w:r>
        <w:t xml:space="preserve"> present. These data are important because it is possible to see a difference between prior the experiment and after the experiment and this is </w:t>
      </w:r>
      <w:r w:rsidR="002008C0">
        <w:t>meaningful</w:t>
      </w:r>
      <w:r>
        <w:t xml:space="preserve"> for group B but also group A because it will tell if there is another factor that is acting that could not be singled out just looking at group B. 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980"/>
        <w:gridCol w:w="2409"/>
        <w:gridCol w:w="2410"/>
        <w:gridCol w:w="2496"/>
      </w:tblGrid>
      <w:tr w:rsidR="00C91EA8" w:rsidTr="00085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FFFFFF" w:themeColor="background1"/>
            </w:tcBorders>
            <w:vAlign w:val="center"/>
          </w:tcPr>
          <w:p w:rsidR="002008C0" w:rsidRDefault="002008C0" w:rsidP="002008C0">
            <w:pPr>
              <w:ind w:left="0" w:firstLine="0"/>
            </w:pPr>
          </w:p>
        </w:tc>
        <w:tc>
          <w:tcPr>
            <w:tcW w:w="2409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:rsidR="002008C0" w:rsidRPr="00085C96" w:rsidRDefault="002008C0" w:rsidP="00C91EA8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85C96">
              <w:rPr>
                <w:color w:val="FFFFFF" w:themeColor="background1"/>
              </w:rPr>
              <w:t>Pre-test (PT)</w:t>
            </w:r>
          </w:p>
        </w:tc>
        <w:tc>
          <w:tcPr>
            <w:tcW w:w="241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:rsidR="002008C0" w:rsidRPr="00085C96" w:rsidRDefault="002008C0" w:rsidP="00C91EA8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85C96">
              <w:rPr>
                <w:color w:val="FFFFFF" w:themeColor="background1"/>
              </w:rPr>
              <w:t>Test (T)</w:t>
            </w:r>
          </w:p>
        </w:tc>
        <w:tc>
          <w:tcPr>
            <w:tcW w:w="2496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:rsidR="002008C0" w:rsidRDefault="002008C0" w:rsidP="002008C0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EA8" w:rsidTr="0008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2008C0" w:rsidRPr="00085C96" w:rsidRDefault="002008C0" w:rsidP="002008C0">
            <w:pPr>
              <w:ind w:left="0" w:firstLine="0"/>
              <w:rPr>
                <w:color w:val="FFFFFF" w:themeColor="background1"/>
              </w:rPr>
            </w:pPr>
            <w:r w:rsidRPr="00085C96">
              <w:rPr>
                <w:color w:val="FFFFFF" w:themeColor="background1"/>
              </w:rPr>
              <w:t>Group A – control</w:t>
            </w:r>
          </w:p>
        </w:tc>
        <w:tc>
          <w:tcPr>
            <w:tcW w:w="2409" w:type="dxa"/>
            <w:tcBorders>
              <w:top w:val="nil"/>
            </w:tcBorders>
            <w:vAlign w:val="center"/>
          </w:tcPr>
          <w:p w:rsidR="002008C0" w:rsidRPr="002008C0" w:rsidRDefault="002008C0" w:rsidP="00C91EA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KPI</w:t>
            </w:r>
            <w:r>
              <w:rPr>
                <w:vertAlign w:val="subscript"/>
              </w:rPr>
              <w:t>A-PT</w:t>
            </w:r>
          </w:p>
        </w:tc>
        <w:tc>
          <w:tcPr>
            <w:tcW w:w="2410" w:type="dxa"/>
            <w:tcBorders>
              <w:top w:val="nil"/>
            </w:tcBorders>
            <w:vAlign w:val="center"/>
          </w:tcPr>
          <w:p w:rsidR="002008C0" w:rsidRDefault="002008C0" w:rsidP="00C91EA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KPI</w:t>
            </w:r>
            <w:r>
              <w:rPr>
                <w:vertAlign w:val="subscript"/>
              </w:rPr>
              <w:t>A-T</w:t>
            </w:r>
          </w:p>
        </w:tc>
        <w:tc>
          <w:tcPr>
            <w:tcW w:w="2496" w:type="dxa"/>
            <w:tcBorders>
              <w:top w:val="nil"/>
            </w:tcBorders>
            <w:vAlign w:val="center"/>
          </w:tcPr>
          <w:p w:rsidR="002008C0" w:rsidRPr="002008C0" w:rsidRDefault="002008C0" w:rsidP="002008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KPI</w:t>
            </w:r>
            <w:r>
              <w:rPr>
                <w:vertAlign w:val="subscript"/>
              </w:rPr>
              <w:t>A-T</w:t>
            </w:r>
            <w:r>
              <w:t xml:space="preserve"> - KPI</w:t>
            </w:r>
            <w:r>
              <w:rPr>
                <w:vertAlign w:val="subscript"/>
              </w:rPr>
              <w:t>A-</w:t>
            </w:r>
            <w:proofErr w:type="gramStart"/>
            <w:r>
              <w:rPr>
                <w:vertAlign w:val="subscript"/>
              </w:rPr>
              <w:t xml:space="preserve">PT </w:t>
            </w:r>
            <w:r>
              <w:t>:</w:t>
            </w:r>
            <w:proofErr w:type="gramEnd"/>
            <w:r>
              <w:t xml:space="preserve"> no difference</w:t>
            </w:r>
          </w:p>
        </w:tc>
      </w:tr>
      <w:tr w:rsidR="00C91EA8" w:rsidTr="00C91EA8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2008C0" w:rsidRPr="00085C96" w:rsidRDefault="002008C0" w:rsidP="002008C0">
            <w:pPr>
              <w:ind w:left="0" w:firstLine="0"/>
              <w:rPr>
                <w:color w:val="FFFFFF" w:themeColor="background1"/>
              </w:rPr>
            </w:pPr>
            <w:r w:rsidRPr="00085C96">
              <w:rPr>
                <w:color w:val="FFFFFF" w:themeColor="background1"/>
              </w:rPr>
              <w:t>Group B – experiment</w:t>
            </w:r>
          </w:p>
        </w:tc>
        <w:tc>
          <w:tcPr>
            <w:tcW w:w="2409" w:type="dxa"/>
            <w:vAlign w:val="center"/>
          </w:tcPr>
          <w:p w:rsidR="002008C0" w:rsidRDefault="002008C0" w:rsidP="00C91EA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KPI</w:t>
            </w:r>
            <w:r>
              <w:rPr>
                <w:vertAlign w:val="subscript"/>
              </w:rPr>
              <w:t>B-PT</w:t>
            </w:r>
          </w:p>
        </w:tc>
        <w:tc>
          <w:tcPr>
            <w:tcW w:w="2410" w:type="dxa"/>
            <w:vAlign w:val="center"/>
          </w:tcPr>
          <w:p w:rsidR="002008C0" w:rsidRDefault="002008C0" w:rsidP="00C91EA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KPI</w:t>
            </w:r>
            <w:r>
              <w:rPr>
                <w:vertAlign w:val="subscript"/>
              </w:rPr>
              <w:t>B-T</w:t>
            </w:r>
          </w:p>
        </w:tc>
        <w:tc>
          <w:tcPr>
            <w:tcW w:w="2496" w:type="dxa"/>
            <w:vAlign w:val="center"/>
          </w:tcPr>
          <w:p w:rsidR="002008C0" w:rsidRDefault="002008C0" w:rsidP="002008C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KPI</w:t>
            </w:r>
            <w:r>
              <w:rPr>
                <w:vertAlign w:val="subscript"/>
              </w:rPr>
              <w:t>B-T</w:t>
            </w:r>
            <w:r>
              <w:t xml:space="preserve"> - KPI</w:t>
            </w:r>
            <w:r>
              <w:rPr>
                <w:vertAlign w:val="subscript"/>
              </w:rPr>
              <w:t xml:space="preserve">A-PT </w:t>
            </w:r>
            <w:r>
              <w:t>&gt; 0 &amp; significant</w:t>
            </w:r>
          </w:p>
        </w:tc>
      </w:tr>
      <w:tr w:rsidR="00C91EA8" w:rsidTr="00C9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vAlign w:val="center"/>
          </w:tcPr>
          <w:p w:rsidR="002008C0" w:rsidRDefault="002008C0" w:rsidP="002008C0">
            <w:pPr>
              <w:ind w:left="0" w:firstLine="0"/>
            </w:pPr>
          </w:p>
        </w:tc>
        <w:tc>
          <w:tcPr>
            <w:tcW w:w="2409" w:type="dxa"/>
            <w:vAlign w:val="center"/>
          </w:tcPr>
          <w:p w:rsidR="002008C0" w:rsidRDefault="002008C0" w:rsidP="002008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KPI</w:t>
            </w:r>
            <w:r>
              <w:rPr>
                <w:vertAlign w:val="subscript"/>
              </w:rPr>
              <w:t>A-PT</w:t>
            </w:r>
            <w:r>
              <w:t xml:space="preserve"> – KPI</w:t>
            </w:r>
            <w:r>
              <w:rPr>
                <w:vertAlign w:val="subscript"/>
              </w:rPr>
              <w:t>B-</w:t>
            </w:r>
            <w:proofErr w:type="gramStart"/>
            <w:r>
              <w:rPr>
                <w:vertAlign w:val="subscript"/>
              </w:rPr>
              <w:t xml:space="preserve">PT </w:t>
            </w:r>
            <w:r>
              <w:t>:</w:t>
            </w:r>
            <w:proofErr w:type="gramEnd"/>
            <w:r>
              <w:t xml:space="preserve"> no difference</w:t>
            </w:r>
          </w:p>
        </w:tc>
        <w:tc>
          <w:tcPr>
            <w:tcW w:w="2410" w:type="dxa"/>
            <w:vAlign w:val="center"/>
          </w:tcPr>
          <w:p w:rsidR="002008C0" w:rsidRDefault="002008C0" w:rsidP="002008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KPI</w:t>
            </w:r>
            <w:r>
              <w:rPr>
                <w:vertAlign w:val="subscript"/>
              </w:rPr>
              <w:t>B-T</w:t>
            </w:r>
            <w:r>
              <w:t xml:space="preserve"> - KPI</w:t>
            </w:r>
            <w:r>
              <w:rPr>
                <w:vertAlign w:val="subscript"/>
              </w:rPr>
              <w:t xml:space="preserve">A-T </w:t>
            </w:r>
            <w:r>
              <w:t>&gt; 0 &amp; significant</w:t>
            </w:r>
          </w:p>
        </w:tc>
        <w:tc>
          <w:tcPr>
            <w:tcW w:w="2496" w:type="dxa"/>
            <w:shd w:val="clear" w:color="auto" w:fill="FFFFFF" w:themeFill="background1"/>
            <w:vAlign w:val="center"/>
          </w:tcPr>
          <w:p w:rsidR="002008C0" w:rsidRDefault="002008C0" w:rsidP="002008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96F99" w:rsidRDefault="00507A6E" w:rsidP="00507A6E">
      <w:r>
        <w:br/>
      </w:r>
      <w:r w:rsidR="00591649">
        <w:t>It is important to establish if the</w:t>
      </w:r>
      <w:r w:rsidR="00077A72">
        <w:t>s</w:t>
      </w:r>
      <w:r w:rsidR="00591649">
        <w:t>e difference</w:t>
      </w:r>
      <w:r w:rsidR="00077A72">
        <w:t>s</w:t>
      </w:r>
      <w:r w:rsidR="00591649">
        <w:t xml:space="preserve"> </w:t>
      </w:r>
      <w:r w:rsidR="00077A72">
        <w:t>are real or</w:t>
      </w:r>
      <w:r w:rsidR="00591649">
        <w:t xml:space="preserve"> due to chance. In the case of the experiment, the outcome of the events is binary (purchase/non-purchase, game/no-game)</w:t>
      </w:r>
      <w:r w:rsidR="0012553F">
        <w:t>;</w:t>
      </w:r>
      <w:r w:rsidR="00591649">
        <w:t xml:space="preserve"> therefore</w:t>
      </w:r>
      <w:r w:rsidR="0012553F">
        <w:t>,</w:t>
      </w:r>
      <w:r w:rsidR="00591649">
        <w:t xml:space="preserve"> the report uses </w:t>
      </w:r>
      <w:r w:rsidR="00077A72">
        <w:t>the</w:t>
      </w:r>
      <w:r w:rsidR="00591649">
        <w:t xml:space="preserve"> </w:t>
      </w:r>
      <w:r w:rsidR="00077A72" w:rsidRPr="00077A72">
        <w:rPr>
          <w:i/>
        </w:rPr>
        <w:t>b</w:t>
      </w:r>
      <w:r w:rsidR="00591649" w:rsidRPr="00077A72">
        <w:rPr>
          <w:i/>
        </w:rPr>
        <w:t>inomial distribution</w:t>
      </w:r>
      <w:r w:rsidR="00591649">
        <w:t xml:space="preserve">. </w:t>
      </w:r>
      <w:r w:rsidR="00C2201C">
        <w:t>T</w:t>
      </w:r>
      <w:r w:rsidR="00591649">
        <w:t xml:space="preserve">his section </w:t>
      </w:r>
      <w:r w:rsidR="00C2201C">
        <w:t xml:space="preserve">considers </w:t>
      </w:r>
      <w:r w:rsidR="00591649">
        <w:t>only purchases</w:t>
      </w:r>
      <w:r w:rsidR="00F5078B">
        <w:t>;</w:t>
      </w:r>
      <w:r w:rsidR="00591649">
        <w:t xml:space="preserve"> afterwards</w:t>
      </w:r>
      <w:r w:rsidR="00F5078B">
        <w:t>,</w:t>
      </w:r>
      <w:r w:rsidR="00591649">
        <w:t xml:space="preserve"> </w:t>
      </w:r>
      <w:r w:rsidR="00C2201C">
        <w:t xml:space="preserve">in the following section, </w:t>
      </w:r>
      <w:r w:rsidR="00753754">
        <w:t>the conclusions will be drawn</w:t>
      </w:r>
      <w:r w:rsidR="00C2201C">
        <w:t xml:space="preserve">. It is possible to define four metrics: </w:t>
      </w:r>
      <w:proofErr w:type="spellStart"/>
      <w:r w:rsidR="00C2201C" w:rsidRPr="00C2201C">
        <w:t>X</w:t>
      </w:r>
      <w:r w:rsidR="00C2201C">
        <w:rPr>
          <w:vertAlign w:val="subscript"/>
        </w:rPr>
        <w:t>exp</w:t>
      </w:r>
      <w:proofErr w:type="spellEnd"/>
      <w:r w:rsidR="00C2201C">
        <w:t xml:space="preserve"> sales in the experimental group (B), </w:t>
      </w:r>
      <w:proofErr w:type="spellStart"/>
      <w:r w:rsidR="00C2201C">
        <w:t>X</w:t>
      </w:r>
      <w:r w:rsidR="00C2201C">
        <w:rPr>
          <w:vertAlign w:val="subscript"/>
        </w:rPr>
        <w:t>c</w:t>
      </w:r>
      <w:proofErr w:type="spellEnd"/>
      <w:r w:rsidR="00C2201C">
        <w:t xml:space="preserve"> sales in the control group (A), </w:t>
      </w:r>
      <w:proofErr w:type="spellStart"/>
      <w:r w:rsidR="00C2201C">
        <w:t>N</w:t>
      </w:r>
      <w:r w:rsidR="00C2201C">
        <w:rPr>
          <w:vertAlign w:val="subscript"/>
        </w:rPr>
        <w:t>exp</w:t>
      </w:r>
      <w:proofErr w:type="spellEnd"/>
      <w:r w:rsidR="00C2201C">
        <w:t xml:space="preserve"> unique users in the experimental group and N</w:t>
      </w:r>
      <w:r w:rsidR="00C2201C">
        <w:rPr>
          <w:vertAlign w:val="subscript"/>
        </w:rPr>
        <w:t>c</w:t>
      </w:r>
      <w:r w:rsidR="00C2201C">
        <w:t xml:space="preserve"> unique users in control group. Th</w:t>
      </w:r>
      <w:r w:rsidR="0012553F">
        <w:t>erefore,</w:t>
      </w:r>
      <w:r w:rsidR="00C2201C">
        <w:t xml:space="preserve"> the probability that users in the experimental group buy some level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exp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exp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exp</m:t>
                </m:r>
              </m:sub>
            </m:sSub>
          </m:den>
        </m:f>
      </m:oMath>
      <w:r w:rsidR="00EB50CE">
        <w:t xml:space="preserve"> </w:t>
      </w:r>
      <w:r w:rsidR="00765437">
        <w:t xml:space="preserve">while in the control group is </w:t>
      </w:r>
      <w:r w:rsidR="00EB50C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 w:rsidR="00765437">
        <w:t>. It is crucial to establish if the difference observed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EB50CE">
        <w:t xml:space="preserve"> </w:t>
      </w:r>
      <w:r w:rsidR="00765437">
        <w:t>) is real</w:t>
      </w:r>
      <w:r w:rsidR="00765437">
        <w:rPr>
          <w:rStyle w:val="FootnoteReference"/>
        </w:rPr>
        <w:footnoteReference w:id="9"/>
      </w:r>
      <w:r w:rsidR="00941253">
        <w:t xml:space="preserve">. </w:t>
      </w:r>
      <w:proofErr w:type="gramStart"/>
      <w:r w:rsidR="00941253">
        <w:t>Therefore</w:t>
      </w:r>
      <w:proofErr w:type="gramEnd"/>
      <w:r w:rsidR="00765437">
        <w:t xml:space="preserve"> it is possible to build a confidence interval for the true difference between the probability of converting in the experimental sample and the control sample. This paper </w:t>
      </w:r>
      <w:r w:rsidR="00941253">
        <w:t>bases its conclusions on</w:t>
      </w:r>
      <w:r w:rsidR="00765437">
        <w:t xml:space="preserve"> a 95% confidence interval. At this point</w:t>
      </w:r>
      <w:r w:rsidR="0012553F">
        <w:t>, it is important to define</w:t>
      </w:r>
      <w:r w:rsidR="00765437">
        <w:t xml:space="preserve"> two hypothes</w:t>
      </w:r>
      <w:r w:rsidR="0012553F">
        <w:t>e</w:t>
      </w:r>
      <w:r w:rsidR="00765437">
        <w:t>s, H</w:t>
      </w:r>
      <w:r w:rsidR="00765437">
        <w:rPr>
          <w:vertAlign w:val="subscript"/>
        </w:rPr>
        <w:t>0</w:t>
      </w:r>
      <w:r w:rsidR="00765437">
        <w:t xml:space="preserve"> the null hypothesis that states that the true difference is 0</w:t>
      </w:r>
      <w:r w:rsidR="00765437">
        <w:rPr>
          <w:rStyle w:val="FootnoteReference"/>
        </w:rPr>
        <w:footnoteReference w:id="10"/>
      </w:r>
      <w:r w:rsidR="00765437">
        <w:t xml:space="preserve"> and the H</w:t>
      </w:r>
      <w:r w:rsidR="00765437">
        <w:rPr>
          <w:vertAlign w:val="subscript"/>
        </w:rPr>
        <w:t>1</w:t>
      </w:r>
      <w:r w:rsidR="00765437">
        <w:t xml:space="preserve"> alternative hypothesis that states that the difference is different from 0. </w:t>
      </w:r>
      <w:r w:rsidR="0012553F">
        <w:t>In building the confidence interval, it is essential to calculate the probability and standard error of the pool</w:t>
      </w:r>
      <w:r w:rsidR="0012553F">
        <w:rPr>
          <w:rStyle w:val="FootnoteReference"/>
        </w:rPr>
        <w:footnoteReference w:id="11"/>
      </w:r>
      <w:r w:rsidR="0012553F">
        <w:t xml:space="preserve">. </w:t>
      </w:r>
    </w:p>
    <w:p w:rsidR="00796F99" w:rsidRDefault="00976ED8">
      <w:pPr>
        <w:pStyle w:val="Heading2"/>
        <w:spacing w:after="154"/>
        <w:ind w:left="-5"/>
      </w:pPr>
      <w:bookmarkStart w:id="15" w:name="_Insights_1"/>
      <w:bookmarkEnd w:id="15"/>
      <w:r>
        <w:lastRenderedPageBreak/>
        <w:t>Insights</w:t>
      </w:r>
    </w:p>
    <w:p w:rsidR="00FE6C70" w:rsidRDefault="00FE6C70" w:rsidP="00FE6C70">
      <w:pPr>
        <w:pStyle w:val="Caption"/>
        <w:keepNext/>
        <w:jc w:val="center"/>
      </w:pPr>
      <w:bookmarkStart w:id="16" w:name="_Ref26352289"/>
      <w:r>
        <w:t xml:space="preserve">Table </w:t>
      </w:r>
      <w:fldSimple w:instr=" SEQ Table \* ARABIC ">
        <w:r>
          <w:rPr>
            <w:noProof/>
          </w:rPr>
          <w:t>5</w:t>
        </w:r>
      </w:fldSimple>
      <w:bookmarkEnd w:id="16"/>
    </w:p>
    <w:p w:rsidR="00FE6C70" w:rsidRPr="00765437" w:rsidRDefault="00D93534" w:rsidP="00FE6C70">
      <w:r>
        <w:rPr>
          <w:noProof/>
        </w:rPr>
        <w:drawing>
          <wp:inline distT="0" distB="0" distL="0" distR="0" wp14:anchorId="58DD8328" wp14:editId="594F4DE9">
            <wp:extent cx="5915025" cy="126555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70" w:rsidRDefault="00FE6C70" w:rsidP="00753754">
      <w:pPr>
        <w:tabs>
          <w:tab w:val="right" w:pos="8951"/>
        </w:tabs>
        <w:spacing w:after="166" w:line="259" w:lineRule="auto"/>
        <w:ind w:left="0" w:right="364" w:firstLine="0"/>
      </w:pPr>
    </w:p>
    <w:p w:rsidR="00796F99" w:rsidRDefault="00FE6C70" w:rsidP="00753754">
      <w:pPr>
        <w:tabs>
          <w:tab w:val="right" w:pos="8951"/>
        </w:tabs>
        <w:spacing w:after="166" w:line="259" w:lineRule="auto"/>
        <w:ind w:left="0" w:right="364" w:firstLine="0"/>
      </w:pPr>
      <w:r>
        <w:fldChar w:fldCharType="begin"/>
      </w:r>
      <w:r>
        <w:instrText xml:space="preserve"> REF _Ref26352289 \h </w:instrText>
      </w:r>
      <w:r>
        <w:fldChar w:fldCharType="separate"/>
      </w:r>
      <w:r>
        <w:t xml:space="preserve">Table </w:t>
      </w:r>
      <w:r>
        <w:rPr>
          <w:noProof/>
        </w:rPr>
        <w:t>5</w:t>
      </w:r>
      <w:r>
        <w:fldChar w:fldCharType="end"/>
      </w:r>
      <w:r>
        <w:t xml:space="preserve"> shows the hypothesis test on the purchases per user, considering four cases: before the experiment, after the experiment (comparison between group A and group B) and group A, group B (comparison between </w:t>
      </w:r>
      <w:r w:rsidR="00F5078B">
        <w:t xml:space="preserve">the </w:t>
      </w:r>
      <w:r>
        <w:t>period before and after the experiment). Before the experiment</w:t>
      </w:r>
      <w:r w:rsidR="00F5078B">
        <w:t>, the purchases per-</w:t>
      </w:r>
      <w:r>
        <w:t>users was equal between group A and group B</w:t>
      </w:r>
      <w:r w:rsidR="00F5078B">
        <w:t>,</w:t>
      </w:r>
      <w:r>
        <w:t xml:space="preserve"> but after the </w:t>
      </w:r>
      <w:r w:rsidR="00F5078B">
        <w:t>research,</w:t>
      </w:r>
      <w:r>
        <w:t xml:space="preserve"> there is a statistically significant difference of 2.64%. Looking at group A, whose users did not receive the treatment, between the period before and after the </w:t>
      </w:r>
      <w:r w:rsidR="00F5078B">
        <w:t>test,</w:t>
      </w:r>
      <w:r>
        <w:t xml:space="preserve"> there is an improvement of 7.77% that is statistically significant. For the users in group B</w:t>
      </w:r>
      <w:r w:rsidR="00F5078B">
        <w:t>,</w:t>
      </w:r>
      <w:r>
        <w:t xml:space="preserve"> the increase was of 10%</w:t>
      </w:r>
      <w:r w:rsidR="00F5078B">
        <w:t>; therefore,</w:t>
      </w:r>
      <w:r>
        <w:t xml:space="preserve"> they performed 2.64% better than group A. Such a change in purchases per user justifies implementing the changes tested. </w:t>
      </w:r>
      <w:r w:rsidR="00753754">
        <w:t>The report calculated</w:t>
      </w:r>
      <w:r w:rsidR="00611FFC">
        <w:t xml:space="preserve"> conversion and proposed analysis </w:t>
      </w:r>
      <w:proofErr w:type="gramStart"/>
      <w:r w:rsidR="00611FFC">
        <w:t xml:space="preserve">on </w:t>
      </w:r>
      <w:r w:rsidR="00753754">
        <w:t xml:space="preserve"> the</w:t>
      </w:r>
      <w:proofErr w:type="gramEnd"/>
      <w:r w:rsidR="00753754">
        <w:t xml:space="preserve"> streak (the details of the calculations are in the attached noteboo</w:t>
      </w:r>
      <w:r>
        <w:t>k) but, in th</w:t>
      </w:r>
      <w:r w:rsidR="00611FFC">
        <w:t>e</w:t>
      </w:r>
      <w:r>
        <w:t>s</w:t>
      </w:r>
      <w:r w:rsidR="00611FFC">
        <w:t>e</w:t>
      </w:r>
      <w:r>
        <w:t xml:space="preserve"> case</w:t>
      </w:r>
      <w:r w:rsidR="00611FFC">
        <w:t>s</w:t>
      </w:r>
      <w:r>
        <w:t xml:space="preserve">, there is </w:t>
      </w:r>
      <w:r w:rsidR="00753754">
        <w:t>no difference between the two groups</w:t>
      </w:r>
      <w:r w:rsidR="00611FFC">
        <w:t xml:space="preserve"> (for conversion look at </w:t>
      </w:r>
      <w:r w:rsidR="00611FFC">
        <w:fldChar w:fldCharType="begin"/>
      </w:r>
      <w:r w:rsidR="00611FFC">
        <w:instrText xml:space="preserve"> REF _Ref26352289 \h </w:instrText>
      </w:r>
      <w:r w:rsidR="00611FFC">
        <w:fldChar w:fldCharType="separate"/>
      </w:r>
      <w:r w:rsidR="00611FFC">
        <w:t xml:space="preserve">Table </w:t>
      </w:r>
      <w:r w:rsidR="00611FFC">
        <w:rPr>
          <w:noProof/>
        </w:rPr>
        <w:t>5</w:t>
      </w:r>
      <w:r w:rsidR="00611FFC">
        <w:fldChar w:fldCharType="end"/>
      </w:r>
      <w:r w:rsidR="00753754">
        <w:t>.</w:t>
      </w:r>
      <w:r w:rsidR="00611FFC">
        <w:t>)</w:t>
      </w:r>
      <w:r w:rsidR="00753754">
        <w:tab/>
      </w:r>
      <w:r w:rsidR="00D14261">
        <w:t xml:space="preserve"> </w:t>
      </w:r>
    </w:p>
    <w:p w:rsidR="00796F99" w:rsidRDefault="00796F99" w:rsidP="00591649">
      <w:pPr>
        <w:spacing w:after="216" w:line="259" w:lineRule="auto"/>
        <w:ind w:left="0" w:firstLine="0"/>
      </w:pPr>
      <w:bookmarkStart w:id="17" w:name="_Insights"/>
      <w:bookmarkEnd w:id="17"/>
    </w:p>
    <w:sectPr w:rsidR="00796F99" w:rsidSect="00E30AA1">
      <w:footerReference w:type="even" r:id="rId20"/>
      <w:footerReference w:type="default" r:id="rId21"/>
      <w:footerReference w:type="first" r:id="rId22"/>
      <w:pgSz w:w="11906" w:h="16838"/>
      <w:pgMar w:top="1475" w:right="1151" w:bottom="1418" w:left="144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0EF" w:rsidRDefault="000C10EF">
      <w:pPr>
        <w:spacing w:after="0" w:line="240" w:lineRule="auto"/>
      </w:pPr>
      <w:r>
        <w:separator/>
      </w:r>
    </w:p>
  </w:endnote>
  <w:endnote w:type="continuationSeparator" w:id="0">
    <w:p w:rsidR="000C10EF" w:rsidRDefault="000C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17D" w:rsidRDefault="00FF317D">
    <w:pPr>
      <w:spacing w:after="0" w:line="259" w:lineRule="auto"/>
      <w:ind w:left="0" w:right="-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FF317D" w:rsidRDefault="00FF317D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17D" w:rsidRDefault="00FF317D">
    <w:pPr>
      <w:spacing w:after="0" w:line="259" w:lineRule="auto"/>
      <w:ind w:left="0" w:right="-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FF317D" w:rsidRDefault="00FF317D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17D" w:rsidRDefault="00FF317D">
    <w:pPr>
      <w:spacing w:after="0" w:line="259" w:lineRule="auto"/>
      <w:ind w:left="0" w:right="-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FF317D" w:rsidRDefault="00FF317D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0EF" w:rsidRDefault="000C10EF">
      <w:pPr>
        <w:spacing w:after="198" w:line="280" w:lineRule="auto"/>
        <w:ind w:left="0" w:firstLine="0"/>
      </w:pPr>
      <w:r>
        <w:separator/>
      </w:r>
    </w:p>
  </w:footnote>
  <w:footnote w:type="continuationSeparator" w:id="0">
    <w:p w:rsidR="000C10EF" w:rsidRDefault="000C10EF">
      <w:pPr>
        <w:spacing w:after="198" w:line="280" w:lineRule="auto"/>
        <w:ind w:left="0" w:firstLine="0"/>
      </w:pPr>
      <w:r>
        <w:continuationSeparator/>
      </w:r>
    </w:p>
  </w:footnote>
  <w:footnote w:id="1">
    <w:p w:rsidR="00FF317D" w:rsidRDefault="00FF317D">
      <w:pPr>
        <w:pStyle w:val="FootnoteText"/>
      </w:pPr>
      <w:r>
        <w:rPr>
          <w:rStyle w:val="FootnoteReference"/>
        </w:rPr>
        <w:footnoteRef/>
      </w:r>
      <w:r>
        <w:t xml:space="preserve"> Number of </w:t>
      </w:r>
      <w:proofErr w:type="spellStart"/>
      <w:r>
        <w:t>user_id</w:t>
      </w:r>
      <w:proofErr w:type="spellEnd"/>
      <w:r>
        <w:t xml:space="preserve"> present in the activity table</w:t>
      </w:r>
    </w:p>
  </w:footnote>
  <w:footnote w:id="2">
    <w:p w:rsidR="00FF317D" w:rsidRDefault="00FF317D">
      <w:pPr>
        <w:pStyle w:val="FootnoteText"/>
      </w:pPr>
      <w:r>
        <w:rPr>
          <w:rStyle w:val="FootnoteReference"/>
        </w:rPr>
        <w:footnoteRef/>
      </w:r>
      <w:r>
        <w:t xml:space="preserve"> The breakdown does not add up because of double</w:t>
      </w:r>
      <w:r w:rsidR="009F3BBF">
        <w:t>-</w:t>
      </w:r>
      <w:r>
        <w:t>counting</w:t>
      </w:r>
    </w:p>
  </w:footnote>
  <w:footnote w:id="3">
    <w:p w:rsidR="00FF317D" w:rsidRDefault="00FF317D">
      <w:pPr>
        <w:pStyle w:val="FootnoteText"/>
      </w:pPr>
      <w:r>
        <w:rPr>
          <w:rStyle w:val="FootnoteReference"/>
        </w:rPr>
        <w:footnoteRef/>
      </w:r>
      <w:r>
        <w:t xml:space="preserve"> The denominator used is the unique number of users</w:t>
      </w:r>
    </w:p>
  </w:footnote>
  <w:footnote w:id="4">
    <w:p w:rsidR="00FF317D" w:rsidRDefault="00FF317D" w:rsidP="00C04234">
      <w:pPr>
        <w:pStyle w:val="FootnoteText"/>
      </w:pPr>
      <w:r>
        <w:rPr>
          <w:rStyle w:val="FootnoteReference"/>
        </w:rPr>
        <w:footnoteRef/>
      </w:r>
      <w:r>
        <w:t xml:space="preserve"> Average values calculated as </w:t>
      </w:r>
      <w:r w:rsidRPr="009C4943">
        <w:rPr>
          <w:i/>
          <w:u w:val="single"/>
        </w:rPr>
        <w:t>total purchases</w:t>
      </w:r>
      <w:r>
        <w:t xml:space="preserve"> divided by </w:t>
      </w:r>
      <w:r w:rsidR="009F3BBF">
        <w:t xml:space="preserve">the </w:t>
      </w:r>
      <w:r w:rsidRPr="009C4943">
        <w:rPr>
          <w:i/>
          <w:u w:val="single"/>
        </w:rPr>
        <w:t>total number of games</w:t>
      </w:r>
    </w:p>
  </w:footnote>
  <w:footnote w:id="5">
    <w:p w:rsidR="00FF317D" w:rsidRDefault="00FF317D">
      <w:pPr>
        <w:pStyle w:val="FootnoteText"/>
      </w:pPr>
      <w:r>
        <w:rPr>
          <w:rStyle w:val="FootnoteReference"/>
        </w:rPr>
        <w:footnoteRef/>
      </w:r>
      <w:r>
        <w:t xml:space="preserve"> Average values calculated as </w:t>
      </w:r>
      <w:r w:rsidRPr="009C4943">
        <w:rPr>
          <w:i/>
          <w:u w:val="single"/>
        </w:rPr>
        <w:t>total purchases</w:t>
      </w:r>
      <w:r>
        <w:t xml:space="preserve"> divided by</w:t>
      </w:r>
      <w:r w:rsidR="009F3BBF">
        <w:t xml:space="preserve"> the</w:t>
      </w:r>
      <w:bookmarkStart w:id="2" w:name="_GoBack"/>
      <w:bookmarkEnd w:id="2"/>
      <w:r>
        <w:t xml:space="preserve"> </w:t>
      </w:r>
      <w:r w:rsidRPr="009C4943">
        <w:rPr>
          <w:i/>
          <w:u w:val="single"/>
        </w:rPr>
        <w:t>number of unique users</w:t>
      </w:r>
    </w:p>
  </w:footnote>
  <w:footnote w:id="6">
    <w:p w:rsidR="00FF317D" w:rsidRDefault="00FF317D">
      <w:pPr>
        <w:pStyle w:val="FootnoteText"/>
      </w:pPr>
      <w:r>
        <w:rPr>
          <w:rStyle w:val="FootnoteReference"/>
        </w:rPr>
        <w:footnoteRef/>
      </w:r>
      <w:r>
        <w:t xml:space="preserve"> This has been checked with </w:t>
      </w:r>
      <w:r w:rsidRPr="00E30AA1">
        <w:t xml:space="preserve">query </w:t>
      </w:r>
      <w:r w:rsidR="00E30AA1">
        <w:t>5</w:t>
      </w:r>
      <w:r>
        <w:t xml:space="preserve"> – see attachment of query details</w:t>
      </w:r>
    </w:p>
  </w:footnote>
  <w:footnote w:id="7">
    <w:p w:rsidR="00FF317D" w:rsidRDefault="00FF317D">
      <w:pPr>
        <w:pStyle w:val="FootnoteText"/>
      </w:pPr>
      <w:r>
        <w:rPr>
          <w:rStyle w:val="FootnoteReference"/>
        </w:rPr>
        <w:footnoteRef/>
      </w:r>
      <w:r>
        <w:t xml:space="preserve"> 20/04 – 22/05</w:t>
      </w:r>
    </w:p>
  </w:footnote>
  <w:footnote w:id="8">
    <w:p w:rsidR="00FF317D" w:rsidRDefault="00FF317D">
      <w:pPr>
        <w:pStyle w:val="FootnoteText"/>
      </w:pPr>
      <w:r>
        <w:rPr>
          <w:rStyle w:val="FootnoteReference"/>
        </w:rPr>
        <w:footnoteRef/>
      </w:r>
      <w:r>
        <w:t xml:space="preserve"> 04/05 – 22/05</w:t>
      </w:r>
    </w:p>
  </w:footnote>
  <w:footnote w:id="9">
    <w:p w:rsidR="00FF317D" w:rsidRPr="00765437" w:rsidRDefault="00FF317D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The word used in</w:t>
      </w:r>
      <w:r w:rsidR="009F3BBF">
        <w:t xml:space="preserve"> the</w:t>
      </w:r>
      <w:r>
        <w:t xml:space="preserve"> statistic</w:t>
      </w:r>
      <w:r w:rsidR="009F3BBF">
        <w:t xml:space="preserve"> field</w:t>
      </w:r>
      <w:r>
        <w:t xml:space="preserve"> is </w:t>
      </w:r>
      <w:r>
        <w:rPr>
          <w:i/>
        </w:rPr>
        <w:t>statistically significant</w:t>
      </w:r>
    </w:p>
  </w:footnote>
  <w:footnote w:id="10">
    <w:p w:rsidR="00FF317D" w:rsidRDefault="00FF317D">
      <w:pPr>
        <w:pStyle w:val="FootnoteText"/>
      </w:pPr>
      <w:r>
        <w:rPr>
          <w:rStyle w:val="FootnoteReference"/>
        </w:rPr>
        <w:footnoteRef/>
      </w:r>
      <w:r>
        <w:t xml:space="preserve"> It is normally distributed with mean 0 and standard deviation equal to the standard deviation of the pool</w:t>
      </w:r>
    </w:p>
  </w:footnote>
  <w:footnote w:id="11">
    <w:p w:rsidR="00FF317D" w:rsidRDefault="00FF31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pool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exp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exp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 xml:space="preserve"> 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SE</m:t>
            </m:r>
          </m:e>
          <m:sub>
            <m:r>
              <w:rPr>
                <w:rFonts w:ascii="Cambria Math" w:hAnsi="Cambria Math"/>
              </w:rPr>
              <m:t>pool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pool</m:t>
                </m:r>
              </m:sub>
            </m:sSub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pool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exp</m:t>
                        </m:r>
                      </m:sub>
                    </m:sSub>
                  </m:den>
                </m:f>
              </m:e>
            </m:d>
          </m:e>
        </m:rad>
        <m:r>
          <w:rPr>
            <w:rFonts w:ascii="Cambria Math" w:hAnsi="Cambria Math"/>
          </w:rPr>
          <m:t xml:space="preserve"> ;CI for d=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±1.96*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SE</m:t>
            </m:r>
          </m:e>
          <m:sub>
            <m:r>
              <w:rPr>
                <w:rFonts w:ascii="Cambria Math" w:hAnsi="Cambria Math"/>
              </w:rPr>
              <m:t>pool</m:t>
            </m:r>
          </m:sub>
        </m:sSub>
      </m:oMath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5696"/>
    <w:multiLevelType w:val="hybridMultilevel"/>
    <w:tmpl w:val="F0DCF24A"/>
    <w:lvl w:ilvl="0" w:tplc="89BC8C1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C8EC8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6D4444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C857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42201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3286CC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90E8CD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0F26F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10E63E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43548E"/>
    <w:multiLevelType w:val="hybridMultilevel"/>
    <w:tmpl w:val="373C48A8"/>
    <w:lvl w:ilvl="0" w:tplc="B0402A6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77A448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2F40D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6607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48CE0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25C9CA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5F6EBE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40EA2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3A227B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954594"/>
    <w:multiLevelType w:val="hybridMultilevel"/>
    <w:tmpl w:val="E454EAE8"/>
    <w:lvl w:ilvl="0" w:tplc="8774D2D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94C6A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042D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49A4BD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90C85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DAEBF0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F2245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1C0603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84ACF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F15EFD"/>
    <w:multiLevelType w:val="hybridMultilevel"/>
    <w:tmpl w:val="C0422D82"/>
    <w:lvl w:ilvl="0" w:tplc="41164D4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2024DC8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3B2D93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7CB49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AD64B0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4107DB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D94931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0308F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2BCFC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zNLc0NTE1NgABJR2l4NTi4sz8PJAC41oAoAzWliwAAAA="/>
  </w:docVars>
  <w:rsids>
    <w:rsidRoot w:val="00796F99"/>
    <w:rsid w:val="000532AE"/>
    <w:rsid w:val="00077A72"/>
    <w:rsid w:val="00085C96"/>
    <w:rsid w:val="000C10EF"/>
    <w:rsid w:val="000C6454"/>
    <w:rsid w:val="0012553F"/>
    <w:rsid w:val="002008C0"/>
    <w:rsid w:val="00254433"/>
    <w:rsid w:val="00284CBD"/>
    <w:rsid w:val="00285DCD"/>
    <w:rsid w:val="002C4514"/>
    <w:rsid w:val="00342E5D"/>
    <w:rsid w:val="003632BE"/>
    <w:rsid w:val="00373B30"/>
    <w:rsid w:val="00381930"/>
    <w:rsid w:val="003A34D9"/>
    <w:rsid w:val="003C7797"/>
    <w:rsid w:val="00456F0D"/>
    <w:rsid w:val="00462128"/>
    <w:rsid w:val="00501330"/>
    <w:rsid w:val="00507A6E"/>
    <w:rsid w:val="0057289B"/>
    <w:rsid w:val="00591649"/>
    <w:rsid w:val="005C6319"/>
    <w:rsid w:val="005F3C91"/>
    <w:rsid w:val="00611FFC"/>
    <w:rsid w:val="006848A1"/>
    <w:rsid w:val="00694595"/>
    <w:rsid w:val="006E0EF0"/>
    <w:rsid w:val="00703FB5"/>
    <w:rsid w:val="00744E0C"/>
    <w:rsid w:val="00753754"/>
    <w:rsid w:val="00765437"/>
    <w:rsid w:val="00782F3A"/>
    <w:rsid w:val="00796F99"/>
    <w:rsid w:val="007F356B"/>
    <w:rsid w:val="00813040"/>
    <w:rsid w:val="00815FCD"/>
    <w:rsid w:val="008B6379"/>
    <w:rsid w:val="008B73E8"/>
    <w:rsid w:val="008E7BFD"/>
    <w:rsid w:val="00940D6C"/>
    <w:rsid w:val="00941253"/>
    <w:rsid w:val="00976ED8"/>
    <w:rsid w:val="009A7D4A"/>
    <w:rsid w:val="009C4943"/>
    <w:rsid w:val="009E4635"/>
    <w:rsid w:val="009F3BBF"/>
    <w:rsid w:val="00A02B6E"/>
    <w:rsid w:val="00A432D1"/>
    <w:rsid w:val="00A446BD"/>
    <w:rsid w:val="00AC638D"/>
    <w:rsid w:val="00B4210E"/>
    <w:rsid w:val="00C04234"/>
    <w:rsid w:val="00C154B6"/>
    <w:rsid w:val="00C2201C"/>
    <w:rsid w:val="00C346B2"/>
    <w:rsid w:val="00C91EA8"/>
    <w:rsid w:val="00D0094A"/>
    <w:rsid w:val="00D14261"/>
    <w:rsid w:val="00D75D72"/>
    <w:rsid w:val="00D93534"/>
    <w:rsid w:val="00DF1B7D"/>
    <w:rsid w:val="00E27C80"/>
    <w:rsid w:val="00E30AA1"/>
    <w:rsid w:val="00E5570F"/>
    <w:rsid w:val="00E56DCD"/>
    <w:rsid w:val="00E63456"/>
    <w:rsid w:val="00E90A8E"/>
    <w:rsid w:val="00EB50CE"/>
    <w:rsid w:val="00EC1E2E"/>
    <w:rsid w:val="00ED08D9"/>
    <w:rsid w:val="00F13987"/>
    <w:rsid w:val="00F5078B"/>
    <w:rsid w:val="00F766C6"/>
    <w:rsid w:val="00FC58AE"/>
    <w:rsid w:val="00FE6C70"/>
    <w:rsid w:val="00FF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F37F"/>
  <w15:docId w15:val="{16EB2676-C22A-4BD5-A2D1-B6EB4998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253"/>
    <w:pPr>
      <w:spacing w:after="207" w:line="270" w:lineRule="auto"/>
      <w:ind w:left="10" w:hanging="10"/>
      <w:jc w:val="both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5"/>
      <w:outlineLvl w:val="0"/>
    </w:pPr>
    <w:rPr>
      <w:rFonts w:ascii="Calibri" w:eastAsia="Calibri" w:hAnsi="Calibri" w:cs="Calibri"/>
      <w:color w:val="2E74B5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5B9BD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5B9BD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6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1"/>
    </w:pPr>
    <w:rPr>
      <w:rFonts w:ascii="Calibri" w:eastAsia="Calibri" w:hAnsi="Calibri" w:cs="Calibri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8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042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234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423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15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4B6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D14261"/>
    <w:rPr>
      <w:color w:val="808080"/>
    </w:rPr>
  </w:style>
  <w:style w:type="table" w:styleId="TableGrid0">
    <w:name w:val="Table Grid"/>
    <w:basedOn w:val="TableNormal"/>
    <w:uiPriority w:val="39"/>
    <w:rsid w:val="008B7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008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346B2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Header">
    <w:name w:val="header"/>
    <w:basedOn w:val="Normal"/>
    <w:link w:val="HeaderChar"/>
    <w:uiPriority w:val="99"/>
    <w:unhideWhenUsed/>
    <w:rsid w:val="007F3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56B"/>
    <w:rPr>
      <w:rFonts w:ascii="Calibri" w:eastAsia="Calibri" w:hAnsi="Calibri" w:cs="Calibri"/>
      <w:color w:val="000000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0A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6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A9F85-E1F1-4D0A-9E30-5205A1A8A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Shutie</dc:creator>
  <cp:keywords/>
  <cp:lastModifiedBy>Luigi Neri</cp:lastModifiedBy>
  <cp:revision>12</cp:revision>
  <dcterms:created xsi:type="dcterms:W3CDTF">2019-12-03T21:43:00Z</dcterms:created>
  <dcterms:modified xsi:type="dcterms:W3CDTF">2019-12-04T12:56:00Z</dcterms:modified>
</cp:coreProperties>
</file>