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Aptos" w:hAnsi="Aptos"/>
          <w:b/>
          <w:color w:val="17365D"/>
          <w:sz w:val="22"/>
        </w:rPr>
        <w:t>ROTEIRO DE APRESENTAÇÃO</w:t>
      </w:r>
    </w:p>
    <w:p>
      <w:pPr>
        <w:pStyle w:val="Title"/>
        <w:jc w:val="center"/>
      </w:pPr>
      <w:r>
        <w:t>Roteiro do Vídeo Executivo</w:t>
      </w:r>
    </w:p>
    <w:p>
      <w:pPr>
        <w:jc w:val="center"/>
      </w:pPr>
      <w:r>
        <w:rPr>
          <w:rFonts w:ascii="Aptos" w:hAnsi="Aptos"/>
          <w:b/>
          <w:color w:val="000000"/>
          <w:sz w:val="34"/>
        </w:rPr>
        <w:t>Tech Challenge Fase 3</w:t>
      </w:r>
    </w:p>
    <w:p>
      <w:pPr>
        <w:spacing w:before="240"/>
        <w:jc w:val="center"/>
      </w:pPr>
      <w:r>
        <w:rPr>
          <w:rFonts w:ascii="Aptos" w:hAnsi="Aptos"/>
          <w:color w:val="666666"/>
          <w:sz w:val="24"/>
        </w:rPr>
        <w:t>Predição e Inteligência Analítica para Alfabetização no Brasil</w:t>
      </w:r>
    </w:p>
    <w:p>
      <w:pPr>
        <w:spacing w:before="1040"/>
        <w:jc w:val="center"/>
      </w:pPr>
      <w:r>
        <w:rPr>
          <w:rFonts w:ascii="Aptos" w:hAnsi="Aptos"/>
          <w:b/>
          <w:color w:val="000000"/>
          <w:sz w:val="22"/>
        </w:rPr>
        <w:t>Duração planejada 4 minutos e 45 segundos</w:t>
      </w:r>
    </w:p>
    <w:p>
      <w:pPr>
        <w:jc w:val="center"/>
      </w:pPr>
      <w:r>
        <w:rPr>
          <w:rFonts w:ascii="Aptos" w:hAnsi="Aptos"/>
          <w:color w:val="666666"/>
          <w:sz w:val="20"/>
        </w:rPr>
        <w:t>Público gestores públicos lideranças educacionais e stakeholders</w:t>
      </w:r>
    </w:p>
    <w:p>
      <w:pPr>
        <w:spacing w:before="1200"/>
        <w:jc w:val="center"/>
      </w:pPr>
      <w:r>
        <w:rPr>
          <w:rFonts w:ascii="Aptos" w:hAnsi="Aptos"/>
          <w:b/>
          <w:color w:val="000000"/>
          <w:sz w:val="22"/>
        </w:rPr>
        <w:t>FIAP</w:t>
      </w:r>
    </w:p>
    <w:p>
      <w:pPr>
        <w:jc w:val="center"/>
      </w:pPr>
      <w:r>
        <w:rPr>
          <w:rFonts w:ascii="Aptos" w:hAnsi="Aptos"/>
          <w:color w:val="666666"/>
          <w:sz w:val="20"/>
        </w:rPr>
        <w:t>2026</w:t>
      </w:r>
    </w:p>
    <w:p>
      <w:r>
        <w:br w:type="page"/>
      </w:r>
    </w:p>
    <w:p>
      <w:pPr>
        <w:pStyle w:val="Heading1"/>
      </w:pPr>
      <w:r>
        <w:t>Como usar este roteiro</w:t>
      </w:r>
    </w:p>
    <w:p>
      <w:r>
        <w:rPr>
          <w:rFonts w:ascii="Aptos" w:hAnsi="Aptos"/>
          <w:color w:val="000000"/>
          <w:sz w:val="21"/>
        </w:rPr>
        <w:t>Este documento orienta a gravação de um vídeo executivo de até cinco minutos. Ele combina fala pronta, tempo, tela recomendada e cuidados de interpretação. O objetivo é apresentar o problema, os resultados, o valor estratégico e as limitações do projeto com clareza para gestores e stakeholders.</w:t>
      </w:r>
    </w:p>
    <w:p>
      <w:r>
        <w:rPr>
          <w:rFonts w:ascii="Aptos" w:hAnsi="Aptos"/>
          <w:b/>
          <w:color w:val="000000"/>
          <w:sz w:val="21"/>
        </w:rPr>
        <w:t xml:space="preserve">Mensagem central: </w:t>
      </w:r>
      <w:r>
        <w:rPr>
          <w:rFonts w:ascii="Aptos" w:hAnsi="Aptos"/>
          <w:color w:val="000000"/>
          <w:sz w:val="21"/>
        </w:rPr>
        <w:t>o modelo funciona como instrumento de priorização territorial e apoio à decisão, não como decisão automática sobre alunos ou municípios.</w:t>
      </w:r>
    </w:p>
    <w:p>
      <w:pPr>
        <w:pStyle w:val="Heading1"/>
      </w:pPr>
      <w:r>
        <w:t>1. Estrutura geral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Tempo</w:t>
            </w:r>
          </w:p>
        </w:tc>
        <w:tc>
          <w:tcPr>
            <w:tcW w:type="dxa" w:w="482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Tela recomendada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00:00–00:25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Abertura e problema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Capa do projeto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00:25–00:55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Dados e arquitetura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Diagrama da arquitetura/pipeline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00:55–01:20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EDA e preparação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Resumo da EDA ou contrato de modelagem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01:20–01:55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Modelos e seleção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Quadro com os quatro modelos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01:55–02:35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Resultados finais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Gráficos 01 e 02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02:35–03:05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Interpretabilidade e território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Gráficos 05 e 06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03:05–03:50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Aplicação estratégica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Gráficos 07, 08 e 11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03:50–04:15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Limitações e evolução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Slide executivo de limitações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04:15–04:35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Governança Git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Branches, commits e PR aprovada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04:35–04:45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Encerramento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Tela final com mensagem estratégica</w:t>
            </w:r>
          </w:p>
        </w:tc>
      </w:tr>
    </w:tbl>
    <w:p>
      <w:pPr>
        <w:spacing w:after="20"/>
      </w:pPr>
    </w:p>
    <w:p>
      <w:pPr>
        <w:pStyle w:val="Heading1"/>
      </w:pPr>
      <w:r>
        <w:t>2. Roteiro completo de fala e exibição</w:t>
      </w:r>
    </w:p>
    <w:p>
      <w:pPr>
        <w:pStyle w:val="Heading2"/>
      </w:pPr>
      <w:r>
        <w:t>00:00–00:25 — Abertura e problema educacional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Mostrar em tela: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Capa com o título do projeto;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subtítulo: “Predição e Inteligência Analítica para Alfabetização no Brasil”;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identificação da FIAP, da fase e dos integrantes.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Fala sugerida: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“Olá. Neste Tech Challenge, desenvolvemos uma solução de Ciência de Dados para apoiar a análise da alfabetização infantil no Brasil. O problema central é que observar somente indicadores já consolidados não permite antecipar vulnerabilidades. Por isso, nosso objetivo foi prever o risco de um aluno não ser alfabetizado e transformar essas previsões em inteligência aplicável à gestão educacional.”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Transição: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“Para isso, partimos da base Gold construída e enriquecida pelo grupo.”</w:t>
      </w:r>
    </w:p>
    <w:p>
      <w:pPr>
        <w:pStyle w:val="Heading2"/>
      </w:pPr>
      <w:r>
        <w:t>00:25–00:55 — Base de dados e arquitetura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Mostrar em tela: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Diagrama Mermaid da seção 3 do README; ou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 xml:space="preserve">uma imagem com o fluxo </w:t>
      </w:r>
      <w:r>
        <w:rPr>
          <w:rFonts w:ascii="Consolas" w:hAnsi="Consolas"/>
          <w:color w:val="000000"/>
          <w:sz w:val="18"/>
        </w:rPr>
        <w:t>Gold → EDA → preparação → modelagem → aplicação estratégica</w:t>
      </w:r>
      <w:r>
        <w:rPr>
          <w:rFonts w:ascii="Aptos" w:hAnsi="Aptos"/>
          <w:color w:val="000000"/>
          <w:sz w:val="21"/>
        </w:rPr>
        <w:t>.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Fala sugerida: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“A base analítica integra informações do Indicador Criança Alfabetizada, Atlas do Desenvolvimento Humano, Censo Escolar, Fundeb, metas e indicadores educacionais. A base Gold final possui 1 milhão 966 mil 605 registros e 41 variáveis. Mantivemos essa base na estrutura da Fase 2 e gravamos todos os novos artefatos de análise e Machine Learning na Fase 3, preservando a separação entre dados de origem e resultados analíticos.”</w:t>
      </w:r>
    </w:p>
    <w:p>
      <w:r>
        <w:rPr>
          <w:rFonts w:ascii="Aptos" w:hAnsi="Aptos"/>
          <w:b/>
          <w:color w:val="000000"/>
          <w:sz w:val="21"/>
        </w:rPr>
        <w:t>Ponto visual:</w:t>
      </w:r>
      <w:r>
        <w:rPr>
          <w:rFonts w:ascii="Aptos" w:hAnsi="Aptos"/>
          <w:color w:val="000000"/>
          <w:sz w:val="21"/>
        </w:rPr>
        <w:t xml:space="preserve"> destaque os números </w:t>
      </w:r>
      <w:r>
        <w:rPr>
          <w:rFonts w:ascii="Consolas" w:hAnsi="Consolas"/>
          <w:color w:val="000000"/>
          <w:sz w:val="18"/>
        </w:rPr>
        <w:t>1.966.605 registros</w:t>
      </w:r>
      <w:r>
        <w:rPr>
          <w:rFonts w:ascii="Aptos" w:hAnsi="Aptos"/>
          <w:color w:val="000000"/>
          <w:sz w:val="21"/>
        </w:rPr>
        <w:t xml:space="preserve"> e </w:t>
      </w:r>
      <w:r>
        <w:rPr>
          <w:rFonts w:ascii="Consolas" w:hAnsi="Consolas"/>
          <w:color w:val="000000"/>
          <w:sz w:val="18"/>
        </w:rPr>
        <w:t>41 variáveis</w:t>
      </w:r>
      <w:r>
        <w:rPr>
          <w:rFonts w:ascii="Aptos" w:hAnsi="Aptos"/>
          <w:color w:val="000000"/>
          <w:sz w:val="21"/>
        </w:rPr>
        <w:t>.</w:t>
      </w:r>
    </w:p>
    <w:p>
      <w:pPr>
        <w:pStyle w:val="Heading2"/>
      </w:pPr>
      <w:r>
        <w:t>00:55–01:20 — EDA, features e prevenção de leakage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Mostrar em tela: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Página do README com “Preparação e prevenção de leakage”; ou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tela do notebook 06 com as conclusões da EDA;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em seguida, a tabela do split no README.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Fala sugerida: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“A análise exploratória avaliou qualidade, ausências, distribuições, relações com o target, redundância e risco de data leakage. A partir dela, selecionamos 16 features preditivas. Identificadores foram mantidos apenas para rastreabilidade e nunca utilizados como entrada do modelo. A divisão entre treino, validação e teste foi agrupada por município, evitando que o mesmo contexto territorial aparecesse simultaneamente em conjuntos diferentes.”</w:t>
      </w:r>
    </w:p>
    <w:p>
      <w:r>
        <w:rPr>
          <w:rFonts w:ascii="Aptos" w:hAnsi="Aptos"/>
          <w:b/>
          <w:color w:val="000000"/>
          <w:sz w:val="21"/>
        </w:rPr>
        <w:t>Ponto visual:</w:t>
      </w:r>
      <w:r>
        <w:rPr>
          <w:rFonts w:ascii="Aptos" w:hAnsi="Aptos"/>
          <w:color w:val="000000"/>
          <w:sz w:val="21"/>
        </w:rPr>
        <w:t xml:space="preserve"> destaque </w:t>
      </w:r>
      <w:r>
        <w:rPr>
          <w:rFonts w:ascii="Consolas" w:hAnsi="Consolas"/>
          <w:color w:val="000000"/>
          <w:sz w:val="18"/>
        </w:rPr>
        <w:t>16 features</w:t>
      </w:r>
      <w:r>
        <w:rPr>
          <w:rFonts w:ascii="Aptos" w:hAnsi="Aptos"/>
          <w:color w:val="000000"/>
          <w:sz w:val="21"/>
        </w:rPr>
        <w:t xml:space="preserve"> e </w:t>
      </w:r>
      <w:r>
        <w:rPr>
          <w:rFonts w:ascii="Consolas" w:hAnsi="Consolas"/>
          <w:color w:val="000000"/>
          <w:sz w:val="18"/>
        </w:rPr>
        <w:t>split agrupado por município</w:t>
      </w:r>
      <w:r>
        <w:rPr>
          <w:rFonts w:ascii="Aptos" w:hAnsi="Aptos"/>
          <w:color w:val="000000"/>
          <w:sz w:val="21"/>
        </w:rPr>
        <w:t>.</w:t>
      </w:r>
    </w:p>
    <w:p>
      <w:pPr>
        <w:pStyle w:val="Heading2"/>
      </w:pPr>
      <w:r>
        <w:t>01:20–01:55 — Pipeline e escolha do modelo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Mostrar em tela: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Quadro simples com os quatro modelos: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DummyClassifier;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LogisticRegression;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RandomForestClassifier;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HistGradientBoostingClassifier;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 xml:space="preserve">representação da pipeline: </w:t>
      </w:r>
      <w:r>
        <w:rPr>
          <w:rFonts w:ascii="Consolas" w:hAnsi="Consolas"/>
          <w:color w:val="000000"/>
          <w:sz w:val="18"/>
        </w:rPr>
        <w:t>imputação → transformação → encoding → modelo</w:t>
      </w:r>
      <w:r>
        <w:rPr>
          <w:rFonts w:ascii="Aptos" w:hAnsi="Aptos"/>
          <w:color w:val="000000"/>
          <w:sz w:val="21"/>
        </w:rPr>
        <w:t>.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Fala sugerida: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“Construímos pipelines automatizadas com Scikit-learn, centralizando imputação, transformação das variáveis, encoding e treinamento. Avaliamos um DummyClassifier como baseline, Regressão Logística, Random Forest e HistGradientBoosting. Após validação, tratamento do desbalanceamento e otimização de hiperparâmetros, o modelo selecionado foi o HistGradientBoosting balanceado, com limiar congelado em 0,50. O conjunto de teste não foi usado para escolher ou reajustar o modelo.”</w:t>
      </w:r>
    </w:p>
    <w:p>
      <w:pPr>
        <w:pStyle w:val="Heading2"/>
      </w:pPr>
      <w:r>
        <w:t>01:55–02:35 — Resultados no conjunto de teste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Mostrar em tela:</w:t>
      </w:r>
    </w:p>
    <w:p>
      <w:pPr>
        <w:pStyle w:val="ListNumber"/>
      </w:pPr>
      <w:r>
        <w:rPr>
          <w:rFonts w:ascii="Consolas" w:hAnsi="Consolas"/>
          <w:color w:val="000000"/>
          <w:sz w:val="18"/>
        </w:rPr>
        <w:t>images/finais/01_metricas_finais_ic95.png</w:t>
      </w:r>
      <w:r>
        <w:rPr>
          <w:rFonts w:ascii="Aptos" w:hAnsi="Aptos"/>
          <w:color w:val="000000"/>
          <w:sz w:val="21"/>
        </w:rPr>
        <w:t>;</w:t>
      </w:r>
    </w:p>
    <w:p>
      <w:pPr>
        <w:pStyle w:val="ListNumber"/>
      </w:pPr>
      <w:r>
        <w:rPr>
          <w:rFonts w:ascii="Consolas" w:hAnsi="Consolas"/>
          <w:color w:val="000000"/>
          <w:sz w:val="18"/>
        </w:rPr>
        <w:t>images/finais/02_matriz_confusao_teste.png</w:t>
      </w:r>
      <w:r>
        <w:rPr>
          <w:rFonts w:ascii="Aptos" w:hAnsi="Aptos"/>
          <w:color w:val="000000"/>
          <w:sz w:val="21"/>
        </w:rPr>
        <w:t>.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Fala sugerida: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“No conjunto de teste, formado por 298 mil 881 alunos de 834 municípios, o modelo alcançou PR-AUC de 0,471, ROC-AUC de 0,661 e acurácia balanceada de 0,618. Para a classe de interesse, que representa o aluno não alfabetizado, obtivemos recall de 62,62%, precisão de 44,69% e F1 de 52,16%. A matriz de confusão mostra 62 mil 699 alunos não alfabetizados corretamente sinalizados e 37 mil 430 falsos negativos. Os intervalos de confiança foram calculados por bootstrap municipal, respeitando a dependência territorial dos registros.”</w:t>
      </w:r>
    </w:p>
    <w:p>
      <w:r>
        <w:rPr>
          <w:rFonts w:ascii="Aptos" w:hAnsi="Aptos"/>
          <w:b/>
          <w:color w:val="000000"/>
          <w:sz w:val="21"/>
        </w:rPr>
        <w:t>Orientação:</w:t>
      </w:r>
      <w:r>
        <w:rPr>
          <w:rFonts w:ascii="Aptos" w:hAnsi="Aptos"/>
          <w:color w:val="000000"/>
          <w:sz w:val="21"/>
        </w:rPr>
        <w:t xml:space="preserve"> não leia todas as métricas da tela; destaque apenas PR-AUC, recall e falsos negativos.</w:t>
      </w:r>
    </w:p>
    <w:p>
      <w:pPr>
        <w:pStyle w:val="Heading2"/>
      </w:pPr>
      <w:r>
        <w:t>02:35–03:05 — Interpretabilidade e estabilidade territorial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Mostrar em tela:</w:t>
      </w:r>
    </w:p>
    <w:p>
      <w:pPr>
        <w:pStyle w:val="ListNumber"/>
      </w:pPr>
      <w:r>
        <w:rPr>
          <w:rFonts w:ascii="Consolas" w:hAnsi="Consolas"/>
          <w:color w:val="000000"/>
          <w:sz w:val="18"/>
        </w:rPr>
        <w:t>images/finais/05_importancia_permutacao_top15.png</w:t>
      </w:r>
      <w:r>
        <w:rPr>
          <w:rFonts w:ascii="Aptos" w:hAnsi="Aptos"/>
          <w:color w:val="000000"/>
          <w:sz w:val="21"/>
        </w:rPr>
        <w:t>;</w:t>
      </w:r>
    </w:p>
    <w:p>
      <w:pPr>
        <w:pStyle w:val="ListNumber"/>
      </w:pPr>
      <w:r>
        <w:rPr>
          <w:rFonts w:ascii="Consolas" w:hAnsi="Consolas"/>
          <w:color w:val="000000"/>
          <w:sz w:val="18"/>
        </w:rPr>
        <w:t>images/finais/06_metricas_por_regiao.png</w:t>
      </w:r>
      <w:r>
        <w:rPr>
          <w:rFonts w:ascii="Aptos" w:hAnsi="Aptos"/>
          <w:color w:val="000000"/>
          <w:sz w:val="21"/>
        </w:rPr>
        <w:t>.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Fala sugerida: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“Para interpretar a pipeline completa, utilizamos importância por permutação, medindo a perda de PR-AUC quando cada variável é embaralhada. Essa análise indica influência preditiva, mas não causalidade. Também identificamos uma limitação relevante: o desempenho não foi territorialmente uniforme. O recall variou de aproximadamente 89,82% na Região Norte para 9,62% no Centro-Oeste. Portanto, uma métrica global não é suficiente para recomendar aplicação nacional automática.”</w:t>
      </w:r>
    </w:p>
    <w:p>
      <w:r>
        <w:rPr>
          <w:rFonts w:ascii="Aptos" w:hAnsi="Aptos"/>
          <w:b/>
          <w:color w:val="000000"/>
          <w:sz w:val="21"/>
        </w:rPr>
        <w:t>Orientação:</w:t>
      </w:r>
      <w:r>
        <w:rPr>
          <w:rFonts w:ascii="Aptos" w:hAnsi="Aptos"/>
          <w:color w:val="000000"/>
          <w:sz w:val="21"/>
        </w:rPr>
        <w:t xml:space="preserve"> aponte visualmente a diferença entre Norte e Centro-Oeste.</w:t>
      </w:r>
    </w:p>
    <w:p>
      <w:pPr>
        <w:pStyle w:val="Heading2"/>
      </w:pPr>
      <w:r>
        <w:t>03:05–03:50 — Inteligência municipal e valor estratégico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Mostrar em tela:</w:t>
      </w:r>
    </w:p>
    <w:p>
      <w:pPr>
        <w:pStyle w:val="ListNumber"/>
      </w:pPr>
      <w:r>
        <w:rPr>
          <w:rFonts w:ascii="Consolas" w:hAnsi="Consolas"/>
          <w:color w:val="000000"/>
          <w:sz w:val="18"/>
        </w:rPr>
        <w:t>images/finais/07_top20_risco_municipal.png</w:t>
      </w:r>
      <w:r>
        <w:rPr>
          <w:rFonts w:ascii="Aptos" w:hAnsi="Aptos"/>
          <w:color w:val="000000"/>
          <w:sz w:val="21"/>
        </w:rPr>
        <w:t>;</w:t>
      </w:r>
    </w:p>
    <w:p>
      <w:pPr>
        <w:pStyle w:val="ListNumber"/>
      </w:pPr>
      <w:r>
        <w:rPr>
          <w:rFonts w:ascii="Consolas" w:hAnsi="Consolas"/>
          <w:color w:val="000000"/>
          <w:sz w:val="18"/>
        </w:rPr>
        <w:t>images/finais/08_top20_gap_meta.png</w:t>
      </w:r>
      <w:r>
        <w:rPr>
          <w:rFonts w:ascii="Aptos" w:hAnsi="Aptos"/>
          <w:color w:val="000000"/>
          <w:sz w:val="21"/>
        </w:rPr>
        <w:t>;</w:t>
      </w:r>
    </w:p>
    <w:p>
      <w:pPr>
        <w:pStyle w:val="ListNumber"/>
      </w:pPr>
      <w:r>
        <w:rPr>
          <w:rFonts w:ascii="Consolas" w:hAnsi="Consolas"/>
          <w:color w:val="000000"/>
          <w:sz w:val="18"/>
        </w:rPr>
        <w:t>images/finais/11_clusters_municipais_pca.png</w:t>
      </w:r>
      <w:r>
        <w:rPr>
          <w:rFonts w:ascii="Aptos" w:hAnsi="Aptos"/>
          <w:color w:val="000000"/>
          <w:sz w:val="21"/>
        </w:rPr>
        <w:t>.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Fala sugerida: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“Na aplicação estratégica, agregamos as probabilidades individuais por município. Com isso, criamos um ranking de risco médio previsto, calculamos o gap entre alfabetização prevista e meta municipal e identificamos municípios com maior possibilidade de não atingir suas metas. Também aplicamos KMeans para agrupar municípios com padrões socioeconômicos, educacionais, estruturais e financeiros semelhantes. Essas análises permitem priorizar diagnósticos, direcionar ações de reforço, investigar territórios vulneráveis e apoiar a distribuição de atenção e recursos.”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“Os rankings representam os 834 municípios presentes no teste e funcionam como demonstração estratégica fora da amostra, não como ranking nacional definitivo.”</w:t>
      </w:r>
    </w:p>
    <w:p>
      <w:r>
        <w:rPr>
          <w:rFonts w:ascii="Aptos" w:hAnsi="Aptos"/>
          <w:b/>
          <w:color w:val="000000"/>
          <w:sz w:val="21"/>
        </w:rPr>
        <w:t>Orientação:</w:t>
      </w:r>
      <w:r>
        <w:rPr>
          <w:rFonts w:ascii="Aptos" w:hAnsi="Aptos"/>
          <w:color w:val="000000"/>
          <w:sz w:val="21"/>
        </w:rPr>
        <w:t xml:space="preserve"> mantenha cada gráfico por aproximadamente 10 a 12 segundos.</w:t>
      </w:r>
    </w:p>
    <w:p>
      <w:pPr>
        <w:pStyle w:val="Heading2"/>
      </w:pPr>
      <w:r>
        <w:t>03:50–04:15 — Limitações, uso responsável e evolução</w:t>
      </w:r>
    </w:p>
    <w:p>
      <w:r>
        <w:rPr>
          <w:rFonts w:ascii="Aptos" w:hAnsi="Aptos"/>
          <w:b/>
          <w:color w:val="000000"/>
          <w:sz w:val="21"/>
        </w:rPr>
        <w:t>Mostrar em tela:</w:t>
      </w:r>
      <w:r>
        <w:rPr>
          <w:rFonts w:ascii="Aptos" w:hAnsi="Aptos"/>
          <w:color w:val="000000"/>
          <w:sz w:val="21"/>
        </w:rPr>
        <w:t xml:space="preserve"> slide com quatro blocos curtos: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recall abaixo da meta de desenvolvimento;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instabilidade territorial;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validação restrita à base histórica;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SHAP Values como evolução futura.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Fala sugerida: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“O recall caiu de 71,27% na validação para 62,62% no teste, não mantendo o mínimo de 70% definido no desenvolvimento. Mantivemos o modelo e o limiar congelados para não contaminar o teste. Antes de uma implantação, recomendamos nova validação temporal, investigação das diferenças regionais, monitoramento de drift e calibração. Como evolução da interpretabilidade, recomendamos aplicar SHAP Values em uma amostra representativa, complementando a importância por permutação com a direção e a magnitude das contribuições das variáveis.”</w:t>
      </w:r>
    </w:p>
    <w:p>
      <w:pPr>
        <w:pStyle w:val="Heading2"/>
      </w:pPr>
      <w:r>
        <w:t>04:15–04:35 — Git, colaboração e rastreabilidade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Mostrar em tela: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 xml:space="preserve">página de branches com </w:t>
      </w:r>
      <w:r>
        <w:rPr>
          <w:rFonts w:ascii="Consolas" w:hAnsi="Consolas"/>
          <w:color w:val="000000"/>
          <w:sz w:val="18"/>
        </w:rPr>
        <w:t>main</w:t>
      </w:r>
      <w:r>
        <w:rPr>
          <w:rFonts w:ascii="Aptos" w:hAnsi="Aptos"/>
          <w:color w:val="000000"/>
          <w:sz w:val="21"/>
        </w:rPr>
        <w:t xml:space="preserve"> e </w:t>
      </w:r>
      <w:r>
        <w:rPr>
          <w:rFonts w:ascii="Consolas" w:hAnsi="Consolas"/>
          <w:color w:val="000000"/>
          <w:sz w:val="18"/>
        </w:rPr>
        <w:t>dev</w:t>
      </w:r>
      <w:r>
        <w:rPr>
          <w:rFonts w:ascii="Aptos" w:hAnsi="Aptos"/>
          <w:color w:val="000000"/>
          <w:sz w:val="21"/>
        </w:rPr>
        <w:t>;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>histórico de commits;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 xml:space="preserve">Pull Request </w:t>
      </w:r>
      <w:r>
        <w:rPr>
          <w:rFonts w:ascii="Consolas" w:hAnsi="Consolas"/>
          <w:color w:val="000000"/>
          <w:sz w:val="18"/>
        </w:rPr>
        <w:t>dev → main</w:t>
      </w:r>
      <w:r>
        <w:rPr>
          <w:rFonts w:ascii="Aptos" w:hAnsi="Aptos"/>
          <w:color w:val="000000"/>
          <w:sz w:val="21"/>
        </w:rPr>
        <w:t xml:space="preserve"> com aprovação e status </w:t>
      </w:r>
      <w:r>
        <w:rPr>
          <w:rFonts w:ascii="Consolas" w:hAnsi="Consolas"/>
          <w:color w:val="000000"/>
          <w:sz w:val="18"/>
        </w:rPr>
        <w:t>Merged</w:t>
      </w:r>
      <w:r>
        <w:rPr>
          <w:rFonts w:ascii="Aptos" w:hAnsi="Aptos"/>
          <w:color w:val="000000"/>
          <w:sz w:val="21"/>
        </w:rPr>
        <w:t>.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Fala sugerida: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“O desenvolvimento foi versionado na branch dev por meio da integração entre Databricks e GitHub. Os commits registram a evolução incremental do projeto. A entrega foi revisada em uma Pull Request da dev para a main e integrada somente após aprovação, garantindo colaboração, rastreabilidade e proteção da versão principal.”</w:t>
      </w:r>
    </w:p>
    <w:p>
      <w:r>
        <w:rPr>
          <w:rFonts w:ascii="Aptos" w:hAnsi="Aptos"/>
          <w:b/>
          <w:color w:val="000000"/>
          <w:sz w:val="21"/>
        </w:rPr>
        <w:t>Orientação:</w:t>
      </w:r>
      <w:r>
        <w:rPr>
          <w:rFonts w:ascii="Aptos" w:hAnsi="Aptos"/>
          <w:color w:val="000000"/>
          <w:sz w:val="21"/>
        </w:rPr>
        <w:t xml:space="preserve"> não navegue lentamente. Deixe previamente abertas as três telas ou use uma captura única com as evidências.</w:t>
      </w:r>
    </w:p>
    <w:p>
      <w:pPr>
        <w:pStyle w:val="Heading2"/>
      </w:pPr>
      <w:r>
        <w:t>04:35–04:45 — Encerramento executivo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Mostrar em tela: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título do projeto;</w:t>
      </w:r>
    </w:p>
    <w:p>
      <w:pPr>
        <w:pStyle w:val="ListBullet"/>
      </w:pPr>
      <w:r>
        <w:rPr>
          <w:rFonts w:ascii="Aptos" w:hAnsi="Aptos"/>
          <w:color w:val="000000"/>
          <w:sz w:val="21"/>
        </w:rPr>
        <w:t>frase final: “De dados públicos para decisões educacionais mais informadas”.</w:t>
      </w:r>
    </w:p>
    <w:p>
      <w:pPr>
        <w:keepNext/>
      </w:pPr>
      <w:r>
        <w:rPr>
          <w:rFonts w:ascii="Aptos" w:hAnsi="Aptos"/>
          <w:b/>
          <w:color w:val="17365D"/>
          <w:sz w:val="21"/>
        </w:rPr>
        <w:t>Fala sugerida: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“Concluímos uma pipeline completa, reproduzível e transparente. Seu principal valor não é apenas classificar alunos, mas organizar evidências para que gestores identifiquem riscos, priorizem territórios e tomem decisões educacionais mais informadas.”</w:t>
      </w:r>
    </w:p>
    <w:p>
      <w:pPr>
        <w:pStyle w:val="Heading1"/>
      </w:pPr>
      <w:r>
        <w:t>3. Ordem recomendada das telas</w:t>
      </w:r>
    </w:p>
    <w:p>
      <w:r>
        <w:rPr>
          <w:rFonts w:ascii="Aptos" w:hAnsi="Aptos"/>
          <w:color w:val="000000"/>
          <w:sz w:val="21"/>
        </w:rPr>
        <w:t>Prepare as telas antes de iniciar a gravação nesta ordem: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>capa;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>arquitetura da solução;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>EDA e tabela do split;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>quadro dos modelos e pipeline;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>gráfico 01 — métricas e intervalos;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>gráfico 02 — matriz de confusão;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>gráfico 05 — importância por permutação;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>gráfico 06 — métricas regionais;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>gráfico 07 — risco municipal;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>gráfico 08 — gap para a meta;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>gráfico 11 — clusters em PCA;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>slide de limitações;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>evidências do GitHub;</w:t>
      </w:r>
    </w:p>
    <w:p>
      <w:pPr>
        <w:pStyle w:val="ListNumber"/>
      </w:pPr>
      <w:r>
        <w:rPr>
          <w:rFonts w:ascii="Aptos" w:hAnsi="Aptos"/>
          <w:color w:val="000000"/>
          <w:sz w:val="21"/>
        </w:rPr>
        <w:t>tela de encerramento.</w:t>
      </w:r>
    </w:p>
    <w:p>
      <w:r>
        <w:rPr>
          <w:rFonts w:ascii="Aptos" w:hAnsi="Aptos"/>
          <w:color w:val="000000"/>
          <w:sz w:val="21"/>
        </w:rPr>
        <w:t>Não é necessário abrir os notebooks durante toda a apresentação. Para uma narrativa executiva, gráficos e quadros limpos são mais eficazes que células de código. Mostre código apenas se a banca solicitar detalhes técnicos.</w:t>
      </w:r>
    </w:p>
    <w:p>
      <w:pPr>
        <w:pStyle w:val="Heading1"/>
      </w:pPr>
      <w:r>
        <w:t>4. Distribuição opcional entre integrantes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Participante</w:t>
            </w:r>
          </w:p>
        </w:tc>
        <w:tc>
          <w:tcPr>
            <w:tcW w:type="dxa" w:w="482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Trecho</w:t>
            </w:r>
          </w:p>
        </w:tc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Tempo aproximado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Integrante 1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Problema, dados e arquitetura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55 segundos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Integrante 2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EDA, preparação e modelos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 minuto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Integrante 3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Resultados e interpretabilidade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 minuto e 10 segundos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Integrante 4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Aplicação, limitações, Git e fechamento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 minuto e 40 segundos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  <w:sz w:val="21"/>
        </w:rPr>
        <w:t>Se houver três integrantes, una “problema e dados” com “EDA e preparação”. Se apenas uma pessoa apresentar, mantenha as mesmas transições e faça pequenas pausas ao trocar de tela.</w:t>
      </w:r>
    </w:p>
    <w:p>
      <w:pPr>
        <w:pStyle w:val="Heading1"/>
      </w:pPr>
      <w:r>
        <w:t>5. Checklist antes da gravação</w:t>
      </w:r>
    </w:p>
    <w:p>
      <w:pPr>
        <w:pStyle w:val="ListBullet"/>
        <w:ind w:left="504"/>
      </w:pPr>
      <w:r>
        <w:rPr>
          <w:rFonts w:ascii="Aptos" w:hAnsi="Aptos"/>
          <w:color w:val="000000"/>
          <w:sz w:val="21"/>
        </w:rPr>
        <w:t>☐ Confirmar que o vídeo final possui no máximo cinco minutos;</w:t>
      </w:r>
    </w:p>
    <w:p>
      <w:pPr>
        <w:pStyle w:val="ListBullet"/>
        <w:ind w:left="504"/>
      </w:pPr>
      <w:r>
        <w:rPr>
          <w:rFonts w:ascii="Aptos" w:hAnsi="Aptos"/>
          <w:color w:val="000000"/>
          <w:sz w:val="21"/>
        </w:rPr>
        <w:t>☐ Ensaiar para duração entre 4:35 e 4:50;</w:t>
      </w:r>
    </w:p>
    <w:p>
      <w:pPr>
        <w:pStyle w:val="ListBullet"/>
        <w:ind w:left="504"/>
      </w:pPr>
      <w:r>
        <w:rPr>
          <w:rFonts w:ascii="Aptos" w:hAnsi="Aptos"/>
          <w:color w:val="000000"/>
          <w:sz w:val="21"/>
        </w:rPr>
        <w:t>☐ Exibir as métricas com quatro casas decimais ou em percentual;</w:t>
      </w:r>
    </w:p>
    <w:p>
      <w:pPr>
        <w:pStyle w:val="ListBullet"/>
        <w:ind w:left="504"/>
      </w:pPr>
      <w:r>
        <w:rPr>
          <w:rFonts w:ascii="Aptos" w:hAnsi="Aptos"/>
          <w:color w:val="000000"/>
          <w:sz w:val="21"/>
        </w:rPr>
        <w:t xml:space="preserve">☐ Informar que a classe de interesse é </w:t>
      </w:r>
      <w:r>
        <w:rPr>
          <w:rFonts w:ascii="Consolas" w:hAnsi="Consolas"/>
          <w:color w:val="000000"/>
          <w:sz w:val="18"/>
        </w:rPr>
        <w:t>0 = não alfabetizado</w:t>
      </w:r>
      <w:r>
        <w:rPr>
          <w:rFonts w:ascii="Aptos" w:hAnsi="Aptos"/>
          <w:color w:val="000000"/>
          <w:sz w:val="21"/>
        </w:rPr>
        <w:t>;</w:t>
      </w:r>
    </w:p>
    <w:p>
      <w:pPr>
        <w:pStyle w:val="ListBullet"/>
        <w:ind w:left="504"/>
      </w:pPr>
      <w:r>
        <w:rPr>
          <w:rFonts w:ascii="Aptos" w:hAnsi="Aptos"/>
          <w:color w:val="000000"/>
          <w:sz w:val="21"/>
        </w:rPr>
        <w:t>☐ Não afirmar causalidade a partir da importância das features;</w:t>
      </w:r>
    </w:p>
    <w:p>
      <w:pPr>
        <w:pStyle w:val="ListBullet"/>
        <w:ind w:left="504"/>
      </w:pPr>
      <w:r>
        <w:rPr>
          <w:rFonts w:ascii="Aptos" w:hAnsi="Aptos"/>
          <w:color w:val="000000"/>
          <w:sz w:val="21"/>
        </w:rPr>
        <w:t>☐ Não apresentar o ranking do teste como ranking nacional;</w:t>
      </w:r>
    </w:p>
    <w:p>
      <w:pPr>
        <w:pStyle w:val="ListBullet"/>
        <w:ind w:left="504"/>
      </w:pPr>
      <w:r>
        <w:rPr>
          <w:rFonts w:ascii="Aptos" w:hAnsi="Aptos"/>
          <w:color w:val="000000"/>
          <w:sz w:val="21"/>
        </w:rPr>
        <w:t>☐ Não afirmar que SHAP Values já foi executado;</w:t>
      </w:r>
    </w:p>
    <w:p>
      <w:pPr>
        <w:pStyle w:val="ListBullet"/>
        <w:ind w:left="504"/>
      </w:pPr>
      <w:r>
        <w:rPr>
          <w:rFonts w:ascii="Aptos" w:hAnsi="Aptos"/>
          <w:color w:val="000000"/>
          <w:sz w:val="21"/>
        </w:rPr>
        <w:t>☐ Exibir a queda de recall e a instabilidade territorial;</w:t>
      </w:r>
    </w:p>
    <w:p>
      <w:pPr>
        <w:pStyle w:val="ListBullet"/>
        <w:ind w:left="504"/>
      </w:pPr>
      <w:r>
        <w:rPr>
          <w:rFonts w:ascii="Aptos" w:hAnsi="Aptos"/>
          <w:color w:val="000000"/>
          <w:sz w:val="21"/>
        </w:rPr>
        <w:t>☐ Demonstrar branches, commits e Pull Request;</w:t>
      </w:r>
    </w:p>
    <w:p>
      <w:pPr>
        <w:pStyle w:val="ListBullet"/>
        <w:ind w:left="504"/>
      </w:pPr>
      <w:r>
        <w:rPr>
          <w:rFonts w:ascii="Aptos" w:hAnsi="Aptos"/>
          <w:color w:val="000000"/>
          <w:sz w:val="21"/>
        </w:rPr>
        <w:t>☐ Ocultar URLs privadas, tokens, credenciais e dados pessoais;</w:t>
      </w:r>
    </w:p>
    <w:p>
      <w:pPr>
        <w:pStyle w:val="ListBullet"/>
        <w:ind w:left="504"/>
      </w:pPr>
      <w:r>
        <w:rPr>
          <w:rFonts w:ascii="Aptos" w:hAnsi="Aptos"/>
          <w:color w:val="000000"/>
          <w:sz w:val="21"/>
        </w:rPr>
        <w:t>☐ Aumentar o zoom do navegador para facilitar a leitura;</w:t>
      </w:r>
    </w:p>
    <w:p>
      <w:pPr>
        <w:pStyle w:val="ListBullet"/>
        <w:ind w:left="504"/>
      </w:pPr>
      <w:r>
        <w:rPr>
          <w:rFonts w:ascii="Aptos" w:hAnsi="Aptos"/>
          <w:color w:val="000000"/>
          <w:sz w:val="21"/>
        </w:rPr>
        <w:t>☐ Desativar notificações antes de gravar;</w:t>
      </w:r>
    </w:p>
    <w:p>
      <w:pPr>
        <w:pStyle w:val="ListBullet"/>
        <w:ind w:left="504"/>
      </w:pPr>
      <w:r>
        <w:rPr>
          <w:rFonts w:ascii="Aptos" w:hAnsi="Aptos"/>
          <w:color w:val="000000"/>
          <w:sz w:val="21"/>
        </w:rPr>
        <w:t>☐ Conferir volume, microfone e resolução da gravação;</w:t>
      </w:r>
    </w:p>
    <w:p>
      <w:pPr>
        <w:pStyle w:val="ListBullet"/>
        <w:ind w:left="504"/>
      </w:pPr>
      <w:r>
        <w:rPr>
          <w:rFonts w:ascii="Aptos" w:hAnsi="Aptos"/>
          <w:color w:val="000000"/>
          <w:sz w:val="21"/>
        </w:rPr>
        <w:t>☐ Encerrar com o valor estratégico para políticas públicas.</w:t>
      </w:r>
    </w:p>
    <w:p>
      <w:pPr>
        <w:pStyle w:val="Heading1"/>
      </w:pPr>
      <w:r>
        <w:t>6. Frases que devem ser evitadas</w:t>
      </w:r>
    </w:p>
    <w:p>
      <w:r>
        <w:rPr>
          <w:rFonts w:ascii="Aptos" w:hAnsi="Aptos"/>
          <w:color w:val="000000"/>
          <w:sz w:val="21"/>
        </w:rPr>
        <w:t>Evite: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“O modelo prevê corretamente a alfabetização no Brasil inteiro.”</w:t>
      </w:r>
    </w:p>
    <w:p>
      <w:r>
        <w:rPr>
          <w:rFonts w:ascii="Aptos" w:hAnsi="Aptos"/>
          <w:color w:val="000000"/>
          <w:sz w:val="21"/>
        </w:rPr>
        <w:t>Prefira: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“O modelo apresentou capacidade de priorização no conjunto de teste, com limitações territoriais que exigem validação adicional.”</w:t>
      </w:r>
    </w:p>
    <w:p>
      <w:r>
        <w:rPr>
          <w:rFonts w:ascii="Aptos" w:hAnsi="Aptos"/>
          <w:color w:val="000000"/>
          <w:sz w:val="21"/>
        </w:rPr>
        <w:t>Evite: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“Essas variáveis causam a não alfabetização.”</w:t>
      </w:r>
    </w:p>
    <w:p>
      <w:r>
        <w:rPr>
          <w:rFonts w:ascii="Aptos" w:hAnsi="Aptos"/>
          <w:color w:val="000000"/>
          <w:sz w:val="21"/>
        </w:rPr>
        <w:t>Prefira: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“Essas variáveis apresentaram maior influência preditiva segundo a importância por permutação.”</w:t>
      </w:r>
    </w:p>
    <w:p>
      <w:r>
        <w:rPr>
          <w:rFonts w:ascii="Aptos" w:hAnsi="Aptos"/>
          <w:color w:val="000000"/>
          <w:sz w:val="21"/>
        </w:rPr>
        <w:t>Evite: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“Aplicamos SHAP Values.”</w:t>
      </w:r>
    </w:p>
    <w:p>
      <w:r>
        <w:rPr>
          <w:rFonts w:ascii="Aptos" w:hAnsi="Aptos"/>
          <w:color w:val="000000"/>
          <w:sz w:val="21"/>
        </w:rPr>
        <w:t>Prefira: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“SHAP Values foi registrado como evolução futura da interpretabilidade.”</w:t>
      </w:r>
    </w:p>
    <w:p>
      <w:pPr>
        <w:pStyle w:val="Heading1"/>
      </w:pPr>
      <w:r>
        <w:t>7. Mensagem final da apresentação</w:t>
      </w:r>
    </w:p>
    <w:p>
      <w:pPr>
        <w:spacing w:before="60" w:after="160"/>
        <w:ind w:left="504" w:right="288"/>
      </w:pPr>
      <w:r>
        <w:rPr>
          <w:rFonts w:ascii="Aptos" w:hAnsi="Aptos"/>
          <w:i/>
          <w:color w:val="333333"/>
          <w:sz w:val="21"/>
        </w:rPr>
        <w:t>**A solução não substitui a decisão do gestor: ela transforma dados públicos em sinais de risco, amplia a capacidade de priorização e oferece evidências para políticas educacionais mais direcionadas, transparentes e responsáveis.**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7"/>
      </w:rPr>
      <w:t>Tech Challenge Fase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do Vídeo Executivo Tech Challenge Fase 3</dc:title>
  <dc:subject>Roteiro completo para apresentação executiva de até cinco minutos</dc:subject>
  <dc:creator>python-docx</dc:creator>
  <cp:keywords>FIAP, alfabetização, machine learning, vídeo executivo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