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Resumo da Construção da Base Analítica Enriquecida</w:t>
      </w:r>
    </w:p>
    <w:p>
      <w:pPr>
        <w:jc w:val="center"/>
      </w:pPr>
      <w:r>
        <w:rPr>
          <w:b/>
          <w:sz w:val="24"/>
        </w:rPr>
        <w:t>Tech Challenge — Predição e Inteligência Analítica para Alfabetização no Brasil</w:t>
      </w:r>
    </w:p>
    <w:p>
      <w:pPr>
        <w:jc w:val="center"/>
      </w:pPr>
      <w:r>
        <w:rPr>
          <w:i/>
        </w:rPr>
        <w:t>Síntese dos notebooks de integração, auditoria, validação e padronização da base</w:t>
      </w:r>
    </w:p>
    <w:p/>
    <w:p>
      <w:pPr>
        <w:jc w:val="center"/>
      </w:pPr>
      <w:r>
        <w:rPr>
          <w:b/>
        </w:rPr>
        <w:t>Artefato final: alunos_base_enriquecida.csv</w:t>
        <w:br/>
        <w:t>1.966.605 registros × 41 variáveis</w:t>
      </w:r>
    </w:p>
    <w:p>
      <w:r>
        <w:br w:type="page"/>
      </w:r>
    </w:p>
    <w:p>
      <w:pPr>
        <w:pStyle w:val="Heading1"/>
      </w:pPr>
      <w:r>
        <w:t>1. Visão geral</w:t>
      </w:r>
    </w:p>
    <w:p>
      <w:r>
        <w:t>O trabalho teve como objetivo construir uma base analítica enriquecida para apoiar as etapas de Análise Exploratória de Dados (EDA), preparação, engenharia de atributos e modelagem supervisionada do Tech Challenge. A população original de alunos foi preservada durante todo o processo e enriquecida progressivamente com informações municipais socioeconômicas, educacionais, financeiras e de indicadores.</w:t>
      </w:r>
    </w:p>
    <w:p>
      <w:r>
        <w:t>A estratégia adotada privilegiou rastreabilidade e segurança: cada integração foi precedida por auditoria da fonte e das chaves, definição explícita da cardinalidade, quantificação prévia dos casos sem correspondência e validação pós-merge. Assim, as ausências geradas pelos enriquecimentos foram explicadas e reconciliadas, em vez de simplesmente aceitas após a junção.</w:t>
      </w:r>
    </w:p>
    <w:p>
      <w:pPr>
        <w:pStyle w:val="Heading1"/>
      </w:pPr>
      <w:r>
        <w:t>2. Evolução da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  <w:vAlign w:val="center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</w:rPr>
              <w:t>Base resultante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</w:rPr>
              <w:t>Registros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</w:rPr>
              <w:t>Variáveis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</w:rPr>
              <w:t>Acréscimo</w:t>
            </w:r>
          </w:p>
        </w:tc>
      </w:tr>
      <w:tr>
        <w:tc>
          <w:tcPr>
            <w:tcW w:type="dxa" w:w="2016"/>
            <w:vAlign w:val="center"/>
          </w:tcPr>
          <w:p>
            <w:r>
              <w:t>Origem</w:t>
            </w:r>
          </w:p>
        </w:tc>
        <w:tc>
          <w:tcPr>
            <w:tcW w:type="dxa" w:w="2016"/>
            <w:vAlign w:val="center"/>
          </w:tcPr>
          <w:p>
            <w:r>
              <w:t>Base de alunos</w:t>
            </w:r>
          </w:p>
        </w:tc>
        <w:tc>
          <w:tcPr>
            <w:tcW w:type="dxa" w:w="2016"/>
            <w:vAlign w:val="center"/>
          </w:tcPr>
          <w:p>
            <w:r>
              <w:t>1.966.605</w:t>
            </w:r>
          </w:p>
        </w:tc>
        <w:tc>
          <w:tcPr>
            <w:tcW w:type="dxa" w:w="2016"/>
            <w:vAlign w:val="center"/>
          </w:tcPr>
          <w:p>
            <w:r>
              <w:t>27</w:t>
            </w:r>
          </w:p>
        </w:tc>
        <w:tc>
          <w:tcPr>
            <w:tcW w:type="dxa" w:w="2016"/>
            <w:vAlign w:val="center"/>
          </w:tcPr>
          <w:p>
            <w:r>
              <w:t>—</w:t>
            </w:r>
          </w:p>
        </w:tc>
      </w:tr>
      <w:tr>
        <w:tc>
          <w:tcPr>
            <w:tcW w:type="dxa" w:w="2016"/>
            <w:vAlign w:val="center"/>
          </w:tcPr>
          <w:p>
            <w:r>
              <w:t>Notebook 01</w:t>
            </w:r>
          </w:p>
        </w:tc>
        <w:tc>
          <w:tcPr>
            <w:tcW w:type="dxa" w:w="2016"/>
            <w:vAlign w:val="center"/>
          </w:tcPr>
          <w:p>
            <w:r>
              <w:t>alunos_atlas.csv</w:t>
            </w:r>
          </w:p>
        </w:tc>
        <w:tc>
          <w:tcPr>
            <w:tcW w:type="dxa" w:w="2016"/>
            <w:vAlign w:val="center"/>
          </w:tcPr>
          <w:p>
            <w:r>
              <w:t>1.966.605</w:t>
            </w:r>
          </w:p>
        </w:tc>
        <w:tc>
          <w:tcPr>
            <w:tcW w:type="dxa" w:w="2016"/>
            <w:vAlign w:val="center"/>
          </w:tcPr>
          <w:p>
            <w:r>
              <w:t>33</w:t>
            </w:r>
          </w:p>
        </w:tc>
        <w:tc>
          <w:tcPr>
            <w:tcW w:type="dxa" w:w="2016"/>
            <w:vAlign w:val="center"/>
          </w:tcPr>
          <w:p>
            <w:r>
              <w:t>+ 6 Atlas</w:t>
            </w:r>
          </w:p>
        </w:tc>
      </w:tr>
      <w:tr>
        <w:tc>
          <w:tcPr>
            <w:tcW w:type="dxa" w:w="2016"/>
            <w:vAlign w:val="center"/>
          </w:tcPr>
          <w:p>
            <w:r>
              <w:t>Notebook 02</w:t>
            </w:r>
          </w:p>
        </w:tc>
        <w:tc>
          <w:tcPr>
            <w:tcW w:type="dxa" w:w="2016"/>
            <w:vAlign w:val="center"/>
          </w:tcPr>
          <w:p>
            <w:r>
              <w:t>alunos_atlas_censo.csv</w:t>
            </w:r>
          </w:p>
        </w:tc>
        <w:tc>
          <w:tcPr>
            <w:tcW w:type="dxa" w:w="2016"/>
            <w:vAlign w:val="center"/>
          </w:tcPr>
          <w:p>
            <w:r>
              <w:t>1.966.605</w:t>
            </w:r>
          </w:p>
        </w:tc>
        <w:tc>
          <w:tcPr>
            <w:tcW w:type="dxa" w:w="2016"/>
            <w:vAlign w:val="center"/>
          </w:tcPr>
          <w:p>
            <w:r>
              <w:t>36</w:t>
            </w:r>
          </w:p>
        </w:tc>
        <w:tc>
          <w:tcPr>
            <w:tcW w:type="dxa" w:w="2016"/>
            <w:vAlign w:val="center"/>
          </w:tcPr>
          <w:p>
            <w:r>
              <w:t>+ 3 Censo Escolar</w:t>
            </w:r>
          </w:p>
        </w:tc>
      </w:tr>
      <w:tr>
        <w:tc>
          <w:tcPr>
            <w:tcW w:type="dxa" w:w="2016"/>
            <w:vAlign w:val="center"/>
          </w:tcPr>
          <w:p>
            <w:r>
              <w:t>Notebook 03</w:t>
            </w:r>
          </w:p>
        </w:tc>
        <w:tc>
          <w:tcPr>
            <w:tcW w:type="dxa" w:w="2016"/>
            <w:vAlign w:val="center"/>
          </w:tcPr>
          <w:p>
            <w:r>
              <w:t>alunos_atlas_censo_fundeb.csv</w:t>
            </w:r>
          </w:p>
        </w:tc>
        <w:tc>
          <w:tcPr>
            <w:tcW w:type="dxa" w:w="2016"/>
            <w:vAlign w:val="center"/>
          </w:tcPr>
          <w:p>
            <w:r>
              <w:t>1.966.605</w:t>
            </w:r>
          </w:p>
        </w:tc>
        <w:tc>
          <w:tcPr>
            <w:tcW w:type="dxa" w:w="2016"/>
            <w:vAlign w:val="center"/>
          </w:tcPr>
          <w:p>
            <w:r>
              <w:t>39</w:t>
            </w:r>
          </w:p>
        </w:tc>
        <w:tc>
          <w:tcPr>
            <w:tcW w:type="dxa" w:w="2016"/>
            <w:vAlign w:val="center"/>
          </w:tcPr>
          <w:p>
            <w:r>
              <w:t>+ 3 Fundeb</w:t>
            </w:r>
          </w:p>
        </w:tc>
      </w:tr>
      <w:tr>
        <w:tc>
          <w:tcPr>
            <w:tcW w:type="dxa" w:w="2016"/>
            <w:vAlign w:val="center"/>
          </w:tcPr>
          <w:p>
            <w:r>
              <w:t>Notebook 04</w:t>
            </w:r>
          </w:p>
        </w:tc>
        <w:tc>
          <w:tcPr>
            <w:tcW w:type="dxa" w:w="2016"/>
            <w:vAlign w:val="center"/>
          </w:tcPr>
          <w:p>
            <w:r>
              <w:t>alunos_atlas_censo_fundeb_indicadores.csv</w:t>
            </w:r>
          </w:p>
        </w:tc>
        <w:tc>
          <w:tcPr>
            <w:tcW w:type="dxa" w:w="2016"/>
            <w:vAlign w:val="center"/>
          </w:tcPr>
          <w:p>
            <w:r>
              <w:t>1.966.605</w:t>
            </w:r>
          </w:p>
        </w:tc>
        <w:tc>
          <w:tcPr>
            <w:tcW w:type="dxa" w:w="2016"/>
            <w:vAlign w:val="center"/>
          </w:tcPr>
          <w:p>
            <w:r>
              <w:t>41</w:t>
            </w:r>
          </w:p>
        </w:tc>
        <w:tc>
          <w:tcPr>
            <w:tcW w:type="dxa" w:w="2016"/>
            <w:vAlign w:val="center"/>
          </w:tcPr>
          <w:p>
            <w:r>
              <w:t>+ 2 Indicadores</w:t>
            </w:r>
          </w:p>
        </w:tc>
      </w:tr>
      <w:tr>
        <w:tc>
          <w:tcPr>
            <w:tcW w:type="dxa" w:w="2016"/>
            <w:vAlign w:val="center"/>
          </w:tcPr>
          <w:p>
            <w:r>
              <w:t>Notebook 05</w:t>
            </w:r>
          </w:p>
        </w:tc>
        <w:tc>
          <w:tcPr>
            <w:tcW w:type="dxa" w:w="2016"/>
            <w:vAlign w:val="center"/>
          </w:tcPr>
          <w:p>
            <w:r>
              <w:t>alunos_base_enriquecida.csv</w:t>
            </w:r>
          </w:p>
        </w:tc>
        <w:tc>
          <w:tcPr>
            <w:tcW w:type="dxa" w:w="2016"/>
            <w:vAlign w:val="center"/>
          </w:tcPr>
          <w:p>
            <w:r>
              <w:t>1.966.605</w:t>
            </w:r>
          </w:p>
        </w:tc>
        <w:tc>
          <w:tcPr>
            <w:tcW w:type="dxa" w:w="2016"/>
            <w:vAlign w:val="center"/>
          </w:tcPr>
          <w:p>
            <w:r>
              <w:t>41</w:t>
            </w:r>
          </w:p>
        </w:tc>
        <w:tc>
          <w:tcPr>
            <w:tcW w:type="dxa" w:w="2016"/>
            <w:vAlign w:val="center"/>
          </w:tcPr>
          <w:p>
            <w:r>
              <w:t>Padronização do schema</w:t>
            </w:r>
          </w:p>
        </w:tc>
      </w:tr>
    </w:tbl>
    <w:p>
      <w:r>
        <w:t>Ao final, a base passou de 27 para 41 variáveis sem alteração da quantidade de alunos.</w:t>
      </w:r>
    </w:p>
    <w:p>
      <w:pPr>
        <w:pStyle w:val="Heading1"/>
      </w:pPr>
      <w:r>
        <w:t>3. Princípios metodológicos adotados</w:t>
      </w:r>
    </w:p>
    <w:p>
      <w:pPr>
        <w:pStyle w:val="ListBullet"/>
      </w:pPr>
      <w:r>
        <w:t>Preservação da granularidade: um registro por aluno durante todo o enriquecimento.</w:t>
      </w:r>
    </w:p>
    <w:p>
      <w:pPr>
        <w:pStyle w:val="ListBullet"/>
      </w:pPr>
      <w:r>
        <w:t>Uso de left join para manter integralmente a população original.</w:t>
      </w:r>
    </w:p>
    <w:p>
      <w:pPr>
        <w:pStyle w:val="ListBullet"/>
      </w:pPr>
      <w:r>
        <w:t>Validação de cardinalidade many_to_one sempre que a fonte externa possuía uma linha por município.</w:t>
      </w:r>
    </w:p>
    <w:p>
      <w:pPr>
        <w:pStyle w:val="ListBullet"/>
      </w:pPr>
      <w:r>
        <w:t>Auditoria pré-merge: tipos das chaves, valores ausentes, unicidade e cobertura municipal.</w:t>
      </w:r>
    </w:p>
    <w:p>
      <w:pPr>
        <w:pStyle w:val="ListBullet"/>
      </w:pPr>
      <w:r>
        <w:t>Previsão dos casos sem correspondência antes do merge e reconciliação posterior com _merge.</w:t>
      </w:r>
    </w:p>
    <w:p>
      <w:pPr>
        <w:pStyle w:val="ListBullet"/>
      </w:pPr>
      <w:r>
        <w:t>Manutenção das ausências explicáveis para tratamento posterior na preparação/modelagem.</w:t>
      </w:r>
    </w:p>
    <w:p>
      <w:pPr>
        <w:pStyle w:val="ListBullet"/>
      </w:pPr>
      <w:r>
        <w:t>Seleção parcimoniosa de variáveis, evitando incorporar colunas apenas porque estavam disponíveis.</w:t>
      </w:r>
    </w:p>
    <w:p>
      <w:pPr>
        <w:pStyle w:val="ListBullet"/>
      </w:pPr>
      <w:r>
        <w:t>Persistência e releitura de controle ao final de cada integração.</w:t>
      </w:r>
    </w:p>
    <w:p>
      <w:pPr>
        <w:pStyle w:val="Heading1"/>
      </w:pPr>
      <w:r>
        <w:t>4. Notebook 01 — Integração com o Atlas do Desenvolvimento Humano</w:t>
      </w:r>
    </w:p>
    <w:p>
      <w:r>
        <w:t>A primeira etapa de enriquecimento incorporou contexto socioeconômico municipal proveniente do Atlas do Desenvolvimento Humano. A base original possuía 1.966.605 registros e 27 variáveis; a fonte Atlas possuía 16.695 registros e 230 colunas, com dados para 1991, 2000 e 2010.</w:t>
      </w:r>
    </w:p>
    <w:p>
      <w:pPr>
        <w:pStyle w:val="Heading2"/>
      </w:pPr>
      <w:r>
        <w:t>4.1 Recorte e seleção</w:t>
      </w:r>
    </w:p>
    <w:p>
      <w:r>
        <w:t>Foi utilizado o ano de 2010, período mais recente disponível na fonte. A defasagem temporal em relação à avaliação de 2025 foi explicitamente registrada como limitação.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Variável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Dimensão representada</w:t>
            </w:r>
          </w:p>
        </w:tc>
      </w:tr>
      <w:tr>
        <w:tc>
          <w:tcPr>
            <w:tcW w:type="dxa" w:w="5040"/>
            <w:vAlign w:val="center"/>
          </w:tcPr>
          <w:p>
            <w:r>
              <w:t>idhm</w:t>
            </w:r>
          </w:p>
        </w:tc>
        <w:tc>
          <w:tcPr>
            <w:tcW w:type="dxa" w:w="5040"/>
            <w:vAlign w:val="center"/>
          </w:tcPr>
          <w:p>
            <w:r>
              <w:t>Desenvolvimento humano</w:t>
            </w:r>
          </w:p>
        </w:tc>
      </w:tr>
      <w:tr>
        <w:tc>
          <w:tcPr>
            <w:tcW w:type="dxa" w:w="5040"/>
            <w:vAlign w:val="center"/>
          </w:tcPr>
          <w:p>
            <w:r>
              <w:t>idhm_e</w:t>
            </w:r>
          </w:p>
        </w:tc>
        <w:tc>
          <w:tcPr>
            <w:tcW w:type="dxa" w:w="5040"/>
            <w:vAlign w:val="center"/>
          </w:tcPr>
          <w:p>
            <w:r>
              <w:t>Dimensão educacional do IDHM</w:t>
            </w:r>
          </w:p>
        </w:tc>
      </w:tr>
      <w:tr>
        <w:tc>
          <w:tcPr>
            <w:tcW w:type="dxa" w:w="5040"/>
            <w:vAlign w:val="center"/>
          </w:tcPr>
          <w:p>
            <w:r>
              <w:t>renda_pc</w:t>
            </w:r>
          </w:p>
        </w:tc>
        <w:tc>
          <w:tcPr>
            <w:tcW w:type="dxa" w:w="5040"/>
            <w:vAlign w:val="center"/>
          </w:tcPr>
          <w:p>
            <w:r>
              <w:t>Renda per capita</w:t>
            </w:r>
          </w:p>
        </w:tc>
      </w:tr>
      <w:tr>
        <w:tc>
          <w:tcPr>
            <w:tcW w:type="dxa" w:w="5040"/>
            <w:vAlign w:val="center"/>
          </w:tcPr>
          <w:p>
            <w:r>
              <w:t>indice_gini</w:t>
            </w:r>
          </w:p>
        </w:tc>
        <w:tc>
          <w:tcPr>
            <w:tcW w:type="dxa" w:w="5040"/>
            <w:vAlign w:val="center"/>
          </w:tcPr>
          <w:p>
            <w:r>
              <w:t>Desigualdade de renda</w:t>
            </w:r>
          </w:p>
        </w:tc>
      </w:tr>
      <w:tr>
        <w:tc>
          <w:tcPr>
            <w:tcW w:type="dxa" w:w="5040"/>
            <w:vAlign w:val="center"/>
          </w:tcPr>
          <w:p>
            <w:r>
              <w:t>prop_pobreza_criancas</w:t>
            </w:r>
          </w:p>
        </w:tc>
        <w:tc>
          <w:tcPr>
            <w:tcW w:type="dxa" w:w="5040"/>
            <w:vAlign w:val="center"/>
          </w:tcPr>
          <w:p>
            <w:r>
              <w:t>Vulnerabilidade infantil</w:t>
            </w:r>
          </w:p>
        </w:tc>
      </w:tr>
      <w:tr>
        <w:tc>
          <w:tcPr>
            <w:tcW w:type="dxa" w:w="5040"/>
            <w:vAlign w:val="center"/>
          </w:tcPr>
          <w:p>
            <w:r>
              <w:t>taxa_criancas_dom_sem_fund</w:t>
            </w:r>
          </w:p>
        </w:tc>
        <w:tc>
          <w:tcPr>
            <w:tcW w:type="dxa" w:w="5040"/>
            <w:vAlign w:val="center"/>
          </w:tcPr>
          <w:p>
            <w:r>
              <w:t>Contexto educacional domiciliar</w:t>
            </w:r>
          </w:p>
        </w:tc>
      </w:tr>
    </w:tbl>
    <w:p>
      <w:r>
        <w:t>Os seis indicadores não apresentaram valores ausentes no recorte de 2010. Foram observadas correlações elevadas entre algumas variáveis, mas a decisão foi mantê-las por representarem dimensões conceitualmente distintas; eventual redundância ficou reservada para EDA e modelagem.</w:t>
      </w:r>
    </w:p>
    <w:p>
      <w:pPr>
        <w:pStyle w:val="Heading2"/>
      </w:pPr>
      <w:r>
        <w:t>4.2 Auditoria das chaves e cobertura</w:t>
      </w:r>
    </w:p>
    <w:p>
      <w:pPr>
        <w:pStyle w:val="ListBullet"/>
      </w:pPr>
      <w:r>
        <w:t>CO_MUNICIPIO na base de alunos possuía 510 valores ausentes.</w:t>
      </w:r>
    </w:p>
    <w:p>
      <w:pPr>
        <w:pStyle w:val="ListBullet"/>
      </w:pPr>
      <w:r>
        <w:t>A chave id_municipio do Atlas era única nos 5.565 municípios do recorte de 2010.</w:t>
      </w:r>
    </w:p>
    <w:p>
      <w:pPr>
        <w:pStyle w:val="ListBullet"/>
      </w:pPr>
      <w:r>
        <w:t>As chaves foram harmonizadas para o tipo inteiro anulável Int64.</w:t>
      </w:r>
    </w:p>
    <w:p>
      <w:pPr>
        <w:pStyle w:val="ListBullet"/>
      </w:pPr>
      <w:r>
        <w:t>Seis municípios da base de alunos não possuíam correspondência no Atlas, devido principalmente à criação/instalação posterior a 2010.</w:t>
      </w:r>
    </w:p>
    <w:p>
      <w:pPr>
        <w:pStyle w:val="ListBullet"/>
      </w:pPr>
      <w:r>
        <w:t>Esses seis municípios representavam 820 alunos; somados aos 510 alunos sem código municipal, eram esperados 1.330 registros sem indicadores do Atlas.</w:t>
      </w:r>
    </w:p>
    <w:p>
      <w:pPr>
        <w:pStyle w:val="Heading2"/>
      </w:pPr>
      <w:r>
        <w:t>4.3 Resultado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5040"/>
            <w:vAlign w:val="center"/>
          </w:tcPr>
          <w:p>
            <w:r>
              <w:t>Correspondências (both)</w:t>
            </w:r>
          </w:p>
        </w:tc>
        <w:tc>
          <w:tcPr>
            <w:tcW w:type="dxa" w:w="5040"/>
            <w:vAlign w:val="center"/>
          </w:tcPr>
          <w:p>
            <w:r>
              <w:t>1.965.275</w:t>
            </w:r>
          </w:p>
        </w:tc>
      </w:tr>
      <w:tr>
        <w:tc>
          <w:tcPr>
            <w:tcW w:type="dxa" w:w="5040"/>
            <w:vAlign w:val="center"/>
          </w:tcPr>
          <w:p>
            <w:r>
              <w:t>Sem correspondência (left_only)</w:t>
            </w:r>
          </w:p>
        </w:tc>
        <w:tc>
          <w:tcPr>
            <w:tcW w:type="dxa" w:w="5040"/>
            <w:vAlign w:val="center"/>
          </w:tcPr>
          <w:p>
            <w:r>
              <w:t>1.330</w:t>
            </w:r>
          </w:p>
        </w:tc>
      </w:tr>
      <w:tr>
        <w:tc>
          <w:tcPr>
            <w:tcW w:type="dxa" w:w="5040"/>
            <w:vAlign w:val="center"/>
          </w:tcPr>
          <w:p>
            <w:r>
              <w:t>Sem CO_MUNICIPIO</w:t>
            </w:r>
          </w:p>
        </w:tc>
        <w:tc>
          <w:tcPr>
            <w:tcW w:type="dxa" w:w="5040"/>
            <w:vAlign w:val="center"/>
          </w:tcPr>
          <w:p>
            <w:r>
              <w:t>510</w:t>
            </w:r>
          </w:p>
        </w:tc>
      </w:tr>
      <w:tr>
        <w:tc>
          <w:tcPr>
            <w:tcW w:type="dxa" w:w="5040"/>
            <w:vAlign w:val="center"/>
          </w:tcPr>
          <w:p>
            <w:r>
              <w:t>Municípios sem Atlas</w:t>
            </w:r>
          </w:p>
        </w:tc>
        <w:tc>
          <w:tcPr>
            <w:tcW w:type="dxa" w:w="5040"/>
            <w:vAlign w:val="center"/>
          </w:tcPr>
          <w:p>
            <w:r>
              <w:t>820 alunos</w:t>
            </w:r>
          </w:p>
        </w:tc>
      </w:tr>
      <w:tr>
        <w:tc>
          <w:tcPr>
            <w:tcW w:type="dxa" w:w="5040"/>
            <w:vAlign w:val="center"/>
          </w:tcPr>
          <w:p>
            <w:r>
              <w:t>Base final</w:t>
            </w:r>
          </w:p>
        </w:tc>
        <w:tc>
          <w:tcPr>
            <w:tcW w:type="dxa" w:w="5040"/>
            <w:vAlign w:val="center"/>
          </w:tcPr>
          <w:p>
            <w:r>
              <w:t>1.966.605 × 33</w:t>
            </w:r>
          </w:p>
        </w:tc>
      </w:tr>
    </w:tbl>
    <w:p>
      <w:r>
        <w:t>A ausência dos indicadores do Atlas foi integralmente explicada pelos 1.330 registros previstos. A base foi persistida como alunos_atlas.csv e relida para validação.</w:t>
      </w:r>
    </w:p>
    <w:p>
      <w:pPr>
        <w:pStyle w:val="Heading1"/>
      </w:pPr>
      <w:r>
        <w:t>5. Notebook 02 — Integração com o Censo Escolar 2024</w:t>
      </w:r>
    </w:p>
    <w:p>
      <w:r>
        <w:t>A segunda integração buscou representar o contexto educacional municipal a partir do Censo Escolar 2024. A entrada possuía 1.966.605 registros e 33 variáveis; a fonte do Censo possuía 215.545 registros e 426 colunas.</w:t>
      </w:r>
    </w:p>
    <w:p>
      <w:pPr>
        <w:pStyle w:val="Heading2"/>
      </w:pPr>
      <w:r>
        <w:t>5.1 Definição do universo</w:t>
      </w:r>
    </w:p>
    <w:p>
      <w:pPr>
        <w:pStyle w:val="ListBullet"/>
      </w:pPr>
      <w:r>
        <w:t>Foram considerados estabelecimentos em atividade: 181.065 escolas.</w:t>
      </w:r>
    </w:p>
    <w:p>
      <w:pPr>
        <w:pStyle w:val="ListBullet"/>
      </w:pPr>
      <w:r>
        <w:t>O universo foi restringido às escolas com matrículas no 2º ano do Ensino Fundamental: 94.955 escolas.</w:t>
      </w:r>
    </w:p>
    <w:p>
      <w:pPr>
        <w:pStyle w:val="ListBullet"/>
      </w:pPr>
      <w:r>
        <w:t>Para alinhamento com a base de alunos, o foco analítico recaiu sobre as dependências administrativas pertinentes ao universo da avaliação.</w:t>
      </w:r>
    </w:p>
    <w:p>
      <w:pPr>
        <w:pStyle w:val="Heading2"/>
      </w:pPr>
      <w:r>
        <w:t>5.2 Construção dos indicadores municipais</w:t>
      </w:r>
    </w:p>
    <w:p>
      <w:r>
        <w:t>A partir das matrículas do 2º ano e de indicadores binários de infraestrutura/condição escolar, foram construídas proporções ponderadas por matrículas no nível municipal.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Indicador criado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Interpretação</w:t>
            </w:r>
          </w:p>
        </w:tc>
      </w:tr>
      <w:tr>
        <w:tc>
          <w:tcPr>
            <w:tcW w:type="dxa" w:w="5040"/>
            <w:vAlign w:val="center"/>
          </w:tcPr>
          <w:p>
            <w:r>
              <w:t>prop_mat_2ano_internet_aprendizagem</w:t>
            </w:r>
          </w:p>
        </w:tc>
        <w:tc>
          <w:tcPr>
            <w:tcW w:type="dxa" w:w="5040"/>
            <w:vAlign w:val="center"/>
          </w:tcPr>
          <w:p>
            <w:r>
              <w:t>Proporção das matrículas do 2º ano em escolas com internet para aprendizagem</w:t>
            </w:r>
          </w:p>
        </w:tc>
      </w:tr>
      <w:tr>
        <w:tc>
          <w:tcPr>
            <w:tcW w:type="dxa" w:w="5040"/>
            <w:vAlign w:val="center"/>
          </w:tcPr>
          <w:p>
            <w:r>
              <w:t>prop_mat_2ano_alimentacao</w:t>
            </w:r>
          </w:p>
        </w:tc>
        <w:tc>
          <w:tcPr>
            <w:tcW w:type="dxa" w:w="5040"/>
            <w:vAlign w:val="center"/>
          </w:tcPr>
          <w:p>
            <w:r>
              <w:t>Proporção das matrículas do 2º ano em escolas com alimentação</w:t>
            </w:r>
          </w:p>
        </w:tc>
      </w:tr>
      <w:tr>
        <w:tc>
          <w:tcPr>
            <w:tcW w:type="dxa" w:w="5040"/>
            <w:vAlign w:val="center"/>
          </w:tcPr>
          <w:p>
            <w:r>
              <w:t>prop_mat_2ano_biblioteca_sala_leitura</w:t>
            </w:r>
          </w:p>
        </w:tc>
        <w:tc>
          <w:tcPr>
            <w:tcW w:type="dxa" w:w="5040"/>
            <w:vAlign w:val="center"/>
          </w:tcPr>
          <w:p>
            <w:r>
              <w:t>Proporção das matrículas do 2º ano em escolas com biblioteca/sala de leitura</w:t>
            </w:r>
          </w:p>
        </w:tc>
      </w:tr>
    </w:tbl>
    <w:p>
      <w:r>
        <w:t>A tabela municipal resultante possuía 5.570 municípios, sem duplicidades na chave e sem ausências nos três indicadores. Todos os valores ficaram no intervalo esperado de 0 a 1.</w:t>
      </w:r>
    </w:p>
    <w:p>
      <w:pPr>
        <w:pStyle w:val="Heading2"/>
      </w:pPr>
      <w:r>
        <w:t>5.3 Cobertura e resultado</w:t>
      </w:r>
    </w:p>
    <w:p>
      <w:pPr>
        <w:pStyle w:val="ListBullet"/>
      </w:pPr>
      <w:r>
        <w:t>A base de alunos possuía 5.556 municípios distintos com código informado.</w:t>
      </w:r>
    </w:p>
    <w:p>
      <w:pPr>
        <w:pStyle w:val="ListBullet"/>
      </w:pPr>
      <w:r>
        <w:t>Apenas Boa Esperança do Norte (MT) não encontrou correspondência no Censo municipal, afetando 110 alunos.</w:t>
      </w:r>
    </w:p>
    <w:p>
      <w:pPr>
        <w:pStyle w:val="ListBullet"/>
      </w:pPr>
      <w:r>
        <w:t>Somados aos 510 alunos sem CO_MUNICIPIO, eram esperados 620 registros sem os indicadores do Censo.</w:t>
      </w:r>
    </w:p>
    <w:p>
      <w:pPr>
        <w:pStyle w:val="ListBullet"/>
      </w:pPr>
      <w:r>
        <w:t>O merge retornou 1.965.985 registros both e 620 left_only; nenhum outro caso foi encontrado.</w:t>
      </w:r>
    </w:p>
    <w:p>
      <w:pPr>
        <w:pStyle w:val="ListBullet"/>
      </w:pPr>
      <w:r>
        <w:t>Cada um dos três indicadores apresentou exatamente 620 ausências, conforme previsto.</w:t>
      </w:r>
    </w:p>
    <w:p>
      <w:pPr>
        <w:pStyle w:val="ListBullet"/>
      </w:pPr>
      <w:r>
        <w:t>A base final da etapa ficou com 1.966.605 registros e 36 variáveis.</w:t>
      </w:r>
    </w:p>
    <w:p>
      <w:pPr>
        <w:pStyle w:val="Heading1"/>
      </w:pPr>
      <w:r>
        <w:t>6. Notebook 03 — Integração com o Fundeb 2024</w:t>
      </w:r>
    </w:p>
    <w:p>
      <w:r>
        <w:t>A terceira integração adicionou uma dimensão financeira municipal por meio da publicação oficial do Fundeb 2024. Como a fonte estava em PDF, o notebook incluiu extração, estruturação, auditoria e tratamento antes do merge.</w:t>
      </w:r>
    </w:p>
    <w:p>
      <w:pPr>
        <w:pStyle w:val="Heading2"/>
      </w:pPr>
      <w:r>
        <w:t>6.1 Extração e seleção</w:t>
      </w:r>
    </w:p>
    <w:p>
      <w:pPr>
        <w:pStyle w:val="ListBullet"/>
      </w:pPr>
      <w:r>
        <w:t>Foram extraídos 5.596 registros com 9 colunas; um cabeçalho foi identificado e removido, resultando em 5.595 registros selecionados.</w:t>
      </w:r>
    </w:p>
    <w:p>
      <w:pPr>
        <w:pStyle w:val="ListBullet"/>
      </w:pPr>
      <w:r>
        <w:t>As modalidades individuais VAAF, VAAT e VAAR foram preservadas na extração original, mas não incorporadas à base analítica.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Variável incorporada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5040"/>
            <w:vAlign w:val="center"/>
          </w:tcPr>
          <w:p>
            <w:r>
              <w:t>receita_contribuicao_fundeb</w:t>
            </w:r>
          </w:p>
        </w:tc>
        <w:tc>
          <w:tcPr>
            <w:tcW w:type="dxa" w:w="5040"/>
            <w:vAlign w:val="center"/>
          </w:tcPr>
          <w:p>
            <w:r>
              <w:t>Receita da contribuição de estados e municípios ao Fundeb</w:t>
            </w:r>
          </w:p>
        </w:tc>
      </w:tr>
      <w:tr>
        <w:tc>
          <w:tcPr>
            <w:tcW w:type="dxa" w:w="5040"/>
            <w:vAlign w:val="center"/>
          </w:tcPr>
          <w:p>
            <w:r>
              <w:t>complementacao_uniao_fundeb</w:t>
            </w:r>
          </w:p>
        </w:tc>
        <w:tc>
          <w:tcPr>
            <w:tcW w:type="dxa" w:w="5040"/>
            <w:vAlign w:val="center"/>
          </w:tcPr>
          <w:p>
            <w:r>
              <w:t>Complementação total da União</w:t>
            </w:r>
          </w:p>
        </w:tc>
      </w:tr>
      <w:tr>
        <w:tc>
          <w:tcPr>
            <w:tcW w:type="dxa" w:w="5040"/>
            <w:vAlign w:val="center"/>
          </w:tcPr>
          <w:p>
            <w:r>
              <w:t>receita_total_fundeb</w:t>
            </w:r>
          </w:p>
        </w:tc>
        <w:tc>
          <w:tcPr>
            <w:tcW w:type="dxa" w:w="5040"/>
            <w:vAlign w:val="center"/>
          </w:tcPr>
          <w:p>
            <w:r>
              <w:t>Total das receitas previstas do Fundeb</w:t>
            </w:r>
          </w:p>
        </w:tc>
      </w:tr>
    </w:tbl>
    <w:p>
      <w:pPr>
        <w:pStyle w:val="Heading2"/>
      </w:pPr>
      <w:r>
        <w:t>6.2 Tratamento e harmonização</w:t>
      </w:r>
    </w:p>
    <w:p>
      <w:r>
        <w:t>Os valores financeiros extraídos do PDF estavam representados como texto e foram convertidos para formato numérico. Registros estaduais foram distinguidos dos municipais. A representação do Distrito Federal exigiu tratamento específico: o registro do Governo do Estado foi harmonizado com o código IBGE de Brasília (5300108), compatível com a base analítica.</w:t>
      </w:r>
    </w:p>
    <w:p>
      <w:pPr>
        <w:pStyle w:val="Heading2"/>
      </w:pPr>
      <w:r>
        <w:t>6.3 Cobertura e resultado</w:t>
      </w:r>
    </w:p>
    <w:p>
      <w:pPr>
        <w:pStyle w:val="ListBullet"/>
      </w:pPr>
      <w:r>
        <w:t>Após a preparação, a base Fundeb utilizada no merge possuía 5.569 registros e chave municipal única.</w:t>
      </w:r>
    </w:p>
    <w:p>
      <w:pPr>
        <w:pStyle w:val="ListBullet"/>
      </w:pPr>
      <w:r>
        <w:t>Foram encontrados 5.554 municípios em comum entre a base de alunos e o Fundeb.</w:t>
      </w:r>
    </w:p>
    <w:p>
      <w:pPr>
        <w:pStyle w:val="ListBullet"/>
      </w:pPr>
      <w:r>
        <w:t>Casos sem correspondência previstos: 510 alunos sem CO_MUNICIPIO, 110 de Boa Esperança do Norte (MT) e 41 de Fernando de Noronha (PE).</w:t>
      </w:r>
    </w:p>
    <w:p>
      <w:pPr>
        <w:pStyle w:val="ListBullet"/>
      </w:pPr>
      <w:r>
        <w:t>Total esperado sem correspondência: 661 registros.</w:t>
      </w:r>
    </w:p>
    <w:p>
      <w:pPr>
        <w:pStyle w:val="ListBullet"/>
      </w:pPr>
      <w:r>
        <w:t>O merge retornou 1.965.944 both e 661 left_only, sem casos adicionais.</w:t>
      </w:r>
    </w:p>
    <w:p>
      <w:pPr>
        <w:pStyle w:val="ListBullet"/>
      </w:pPr>
      <w:r>
        <w:t>As três variáveis financeiras apresentaram exatamente 661 ausências.</w:t>
      </w:r>
    </w:p>
    <w:p>
      <w:pPr>
        <w:pStyle w:val="ListBullet"/>
      </w:pPr>
      <w:r>
        <w:t>A base final ficou com 1.966.605 registros e 39 variáveis.</w:t>
      </w:r>
    </w:p>
    <w:p>
      <w:pPr>
        <w:pStyle w:val="Heading1"/>
      </w:pPr>
      <w:r>
        <w:t>7. Notebook 04 — Integração com a Gold de Indicadores</w:t>
      </w:r>
    </w:p>
    <w:p>
      <w:r>
        <w:t>A quarta integração utilizou a Gold de indicadores construída anteriormente no Tech Challenge. A fonte possuía 16.583 registros e 46 variáveis. Para manter coerência temporal com o desenho do projeto, foi selecionado o recorte ANO = 2024.</w:t>
      </w:r>
    </w:p>
    <w:p>
      <w:pPr>
        <w:pStyle w:val="Heading2"/>
      </w:pPr>
      <w:r>
        <w:t>7.1 Recorte e seleção parcimoniosa</w:t>
      </w:r>
    </w:p>
    <w:p>
      <w:r>
        <w:t>O recorte de 2024 resultou em 5.516 registros, com um código municipal por linha. Após investigação das variáveis candidatas, a seleção final foi deliberadamente enxuta para evitar redundância com os enriquecimentos anteriores.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Variável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Papel no projeto</w:t>
            </w:r>
          </w:p>
        </w:tc>
      </w:tr>
      <w:tr>
        <w:tc>
          <w:tcPr>
            <w:tcW w:type="dxa" w:w="5040"/>
            <w:vAlign w:val="center"/>
          </w:tcPr>
          <w:p>
            <w:r>
              <w:t>META_FINAL_2025</w:t>
            </w:r>
          </w:p>
        </w:tc>
        <w:tc>
          <w:tcPr>
            <w:tcW w:type="dxa" w:w="5040"/>
            <w:vAlign w:val="center"/>
          </w:tcPr>
          <w:p>
            <w:r>
              <w:t>Meta municipal para o ano da avaliação dos alunos</w:t>
            </w:r>
          </w:p>
        </w:tc>
      </w:tr>
      <w:tr>
        <w:tc>
          <w:tcPr>
            <w:tcW w:type="dxa" w:w="5040"/>
            <w:vAlign w:val="center"/>
          </w:tcPr>
          <w:p>
            <w:r>
              <w:t>PC_ALUNO_ALFABETIZADO_2024</w:t>
            </w:r>
          </w:p>
        </w:tc>
        <w:tc>
          <w:tcPr>
            <w:tcW w:type="dxa" w:w="5040"/>
            <w:vAlign w:val="center"/>
          </w:tcPr>
          <w:p>
            <w:r>
              <w:t>Contexto municipal de alfabetização no ano imediatamente anterior</w:t>
            </w:r>
          </w:p>
        </w:tc>
      </w:tr>
    </w:tbl>
    <w:p>
      <w:r>
        <w:t>Outras variáveis disponíveis na Gold não foram incorporadas. A decisão priorizou complementaridade e redução de dimensionalidade. Em particular, variáveis potencialmente muito próximas ao desempenho avaliado foram tratadas com cautela por risco de data leakage ou redundância.</w:t>
      </w:r>
    </w:p>
    <w:p>
      <w:pPr>
        <w:pStyle w:val="Heading2"/>
      </w:pPr>
      <w:r>
        <w:t>7.2 Completude e cobertura</w:t>
      </w:r>
    </w:p>
    <w:p>
      <w:pPr>
        <w:pStyle w:val="ListBullet"/>
      </w:pPr>
      <w:r>
        <w:t>Dos 5.516 municípios do recorte, 5.352 possuíam valores preenchidos nas duas variáveis e 164 apresentavam ausência simultânea.</w:t>
      </w:r>
    </w:p>
    <w:p>
      <w:pPr>
        <w:pStyle w:val="ListBullet"/>
      </w:pPr>
      <w:r>
        <w:t>A base de alunos continha 5.556 municípios distintos; 5.508 estavam em comum com a Gold e 48 não tinham correspondência.</w:t>
      </w:r>
    </w:p>
    <w:p>
      <w:pPr>
        <w:pStyle w:val="ListBullet"/>
      </w:pPr>
      <w:r>
        <w:t>Na população de alunos, foram quantificados previamente: 510 sem código municipal; 14.505 alunos em municípios sem correspondência; 70.256 alunos em municípios presentes na Gold, mas com os dois indicadores ausentes.</w:t>
      </w:r>
    </w:p>
    <w:p>
      <w:pPr>
        <w:pStyle w:val="ListBullet"/>
      </w:pPr>
      <w:r>
        <w:t>Assim, eram esperados 15.015 left_only e 85.271 valores ausentes em cada indicador após o merge.</w:t>
      </w:r>
    </w:p>
    <w:p>
      <w:pPr>
        <w:pStyle w:val="Heading2"/>
      </w:pPr>
      <w:r>
        <w:t>7.3 Resultado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Validação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5040"/>
            <w:vAlign w:val="center"/>
          </w:tcPr>
          <w:p>
            <w:r>
              <w:t>both</w:t>
            </w:r>
          </w:p>
        </w:tc>
        <w:tc>
          <w:tcPr>
            <w:tcW w:type="dxa" w:w="5040"/>
            <w:vAlign w:val="center"/>
          </w:tcPr>
          <w:p>
            <w:r>
              <w:t>1.951.590</w:t>
            </w:r>
          </w:p>
        </w:tc>
      </w:tr>
      <w:tr>
        <w:tc>
          <w:tcPr>
            <w:tcW w:type="dxa" w:w="5040"/>
            <w:vAlign w:val="center"/>
          </w:tcPr>
          <w:p>
            <w:r>
              <w:t>left_only</w:t>
            </w:r>
          </w:p>
        </w:tc>
        <w:tc>
          <w:tcPr>
            <w:tcW w:type="dxa" w:w="5040"/>
            <w:vAlign w:val="center"/>
          </w:tcPr>
          <w:p>
            <w:r>
              <w:t>15.015</w:t>
            </w:r>
          </w:p>
        </w:tc>
      </w:tr>
      <w:tr>
        <w:tc>
          <w:tcPr>
            <w:tcW w:type="dxa" w:w="5040"/>
            <w:vAlign w:val="center"/>
          </w:tcPr>
          <w:p>
            <w:r>
              <w:t>right_only</w:t>
            </w:r>
          </w:p>
        </w:tc>
        <w:tc>
          <w:tcPr>
            <w:tcW w:type="dxa" w:w="5040"/>
            <w:vAlign w:val="center"/>
          </w:tcPr>
          <w:p>
            <w:r>
              <w:t>0</w:t>
            </w:r>
          </w:p>
        </w:tc>
      </w:tr>
      <w:tr>
        <w:tc>
          <w:tcPr>
            <w:tcW w:type="dxa" w:w="5040"/>
            <w:vAlign w:val="center"/>
          </w:tcPr>
          <w:p>
            <w:r>
              <w:t>Ausentes em META_FINAL_2025</w:t>
            </w:r>
          </w:p>
        </w:tc>
        <w:tc>
          <w:tcPr>
            <w:tcW w:type="dxa" w:w="5040"/>
            <w:vAlign w:val="center"/>
          </w:tcPr>
          <w:p>
            <w:r>
              <w:t>85.271 (esperado = 85.271)</w:t>
            </w:r>
          </w:p>
        </w:tc>
      </w:tr>
      <w:tr>
        <w:tc>
          <w:tcPr>
            <w:tcW w:type="dxa" w:w="5040"/>
            <w:vAlign w:val="center"/>
          </w:tcPr>
          <w:p>
            <w:r>
              <w:t>Ausentes em PC_ALUNO_ALFABETIZADO_2024</w:t>
            </w:r>
          </w:p>
        </w:tc>
        <w:tc>
          <w:tcPr>
            <w:tcW w:type="dxa" w:w="5040"/>
            <w:vAlign w:val="center"/>
          </w:tcPr>
          <w:p>
            <w:r>
              <w:t>85.271 (esperado = 85.271)</w:t>
            </w:r>
          </w:p>
        </w:tc>
      </w:tr>
      <w:tr>
        <w:tc>
          <w:tcPr>
            <w:tcW w:type="dxa" w:w="5040"/>
            <w:vAlign w:val="center"/>
          </w:tcPr>
          <w:p>
            <w:r>
              <w:t>Base final</w:t>
            </w:r>
          </w:p>
        </w:tc>
        <w:tc>
          <w:tcPr>
            <w:tcW w:type="dxa" w:w="5040"/>
            <w:vAlign w:val="center"/>
          </w:tcPr>
          <w:p>
            <w:r>
              <w:t>1.966.605 × 41</w:t>
            </w:r>
          </w:p>
        </w:tc>
      </w:tr>
    </w:tbl>
    <w:p>
      <w:r>
        <w:t>A integração preservou a população e explicou integralmente tanto as não correspondências quanto as ausências. A base foi persistida e relida com a mesma dimensão.</w:t>
      </w:r>
    </w:p>
    <w:p>
      <w:pPr>
        <w:pStyle w:val="Heading1"/>
      </w:pPr>
      <w:r>
        <w:t>8. Notebook 05 — Ajuste final e contrato de nomenclatura</w:t>
      </w:r>
    </w:p>
    <w:p>
      <w:r>
        <w:t>Com o enriquecimento concluído, o último notebook não realizou novos merges nem alterou valores. Seu objetivo foi transformar o schema em um contrato de dados mais legível, consistente e rastreável.</w:t>
      </w:r>
    </w:p>
    <w:p>
      <w:pPr>
        <w:pStyle w:val="Heading2"/>
      </w:pPr>
      <w:r>
        <w:t>8.1 Convenção adotada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Origem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Quantidade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Convenção final</w:t>
            </w:r>
          </w:p>
        </w:tc>
      </w:tr>
      <w:tr>
        <w:tc>
          <w:tcPr>
            <w:tcW w:type="dxa" w:w="3360"/>
            <w:vAlign w:val="center"/>
          </w:tcPr>
          <w:p>
            <w:r>
              <w:t>Base de alunos</w:t>
            </w:r>
          </w:p>
        </w:tc>
        <w:tc>
          <w:tcPr>
            <w:tcW w:type="dxa" w:w="3360"/>
            <w:vAlign w:val="center"/>
          </w:tcPr>
          <w:p>
            <w:r>
              <w:t>27</w:t>
            </w:r>
          </w:p>
        </w:tc>
        <w:tc>
          <w:tcPr>
            <w:tcW w:type="dxa" w:w="3360"/>
            <w:vAlign w:val="center"/>
          </w:tcPr>
          <w:p>
            <w:r>
              <w:t>snake_case, sem prefixo de origem</w:t>
            </w:r>
          </w:p>
        </w:tc>
      </w:tr>
      <w:tr>
        <w:tc>
          <w:tcPr>
            <w:tcW w:type="dxa" w:w="3360"/>
            <w:vAlign w:val="center"/>
          </w:tcPr>
          <w:p>
            <w:r>
              <w:t>Atlas</w:t>
            </w:r>
          </w:p>
        </w:tc>
        <w:tc>
          <w:tcPr>
            <w:tcW w:type="dxa" w:w="3360"/>
            <w:vAlign w:val="center"/>
          </w:tcPr>
          <w:p>
            <w:r>
              <w:t>6</w:t>
            </w:r>
          </w:p>
        </w:tc>
        <w:tc>
          <w:tcPr>
            <w:tcW w:type="dxa" w:w="3360"/>
            <w:vAlign w:val="center"/>
          </w:tcPr>
          <w:p>
            <w:r>
              <w:t>atlas_</w:t>
            </w:r>
          </w:p>
        </w:tc>
      </w:tr>
      <w:tr>
        <w:tc>
          <w:tcPr>
            <w:tcW w:type="dxa" w:w="3360"/>
            <w:vAlign w:val="center"/>
          </w:tcPr>
          <w:p>
            <w:r>
              <w:t>Censo Escolar</w:t>
            </w:r>
          </w:p>
        </w:tc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censo_</w:t>
            </w:r>
          </w:p>
        </w:tc>
      </w:tr>
      <w:tr>
        <w:tc>
          <w:tcPr>
            <w:tcW w:type="dxa" w:w="3360"/>
            <w:vAlign w:val="center"/>
          </w:tcPr>
          <w:p>
            <w:r>
              <w:t>Fundeb</w:t>
            </w:r>
          </w:p>
        </w:tc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fundeb_</w:t>
            </w:r>
          </w:p>
        </w:tc>
      </w:tr>
      <w:tr>
        <w:tc>
          <w:tcPr>
            <w:tcW w:type="dxa" w:w="3360"/>
            <w:vAlign w:val="center"/>
          </w:tcPr>
          <w:p>
            <w:r>
              <w:t>Gold de indicadores</w:t>
            </w:r>
          </w:p>
        </w:tc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indicador_</w:t>
            </w:r>
          </w:p>
        </w:tc>
      </w:tr>
    </w:tbl>
    <w:p>
      <w:r>
        <w:t>A variável-alvo foi preservada como in_alfabetizado. O mapa de renomeação contemplou as 41 colunas explicitamente, evitando transformação automática sem auditoria.</w:t>
      </w:r>
    </w:p>
    <w:p>
      <w:pPr>
        <w:pStyle w:val="Heading2"/>
      </w:pPr>
      <w:r>
        <w:t>8.2 Validação do contrato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Teste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5040"/>
            <w:vAlign w:val="center"/>
          </w:tcPr>
          <w:p>
            <w:r>
              <w:t>Renomeações previstas</w:t>
            </w:r>
          </w:p>
        </w:tc>
        <w:tc>
          <w:tcPr>
            <w:tcW w:type="dxa" w:w="5040"/>
            <w:vAlign w:val="center"/>
          </w:tcPr>
          <w:p>
            <w:r>
              <w:t>41</w:t>
            </w:r>
          </w:p>
        </w:tc>
      </w:tr>
      <w:tr>
        <w:tc>
          <w:tcPr>
            <w:tcW w:type="dxa" w:w="5040"/>
            <w:vAlign w:val="center"/>
          </w:tcPr>
          <w:p>
            <w:r>
              <w:t>Colunas na base</w:t>
            </w:r>
          </w:p>
        </w:tc>
        <w:tc>
          <w:tcPr>
            <w:tcW w:type="dxa" w:w="5040"/>
            <w:vAlign w:val="center"/>
          </w:tcPr>
          <w:p>
            <w:r>
              <w:t>41</w:t>
            </w:r>
          </w:p>
        </w:tc>
      </w:tr>
      <w:tr>
        <w:tc>
          <w:tcPr>
            <w:tcW w:type="dxa" w:w="5040"/>
            <w:vAlign w:val="center"/>
          </w:tcPr>
          <w:p>
            <w:r>
              <w:t>Nomes únicos</w:t>
            </w:r>
          </w:p>
        </w:tc>
        <w:tc>
          <w:tcPr>
            <w:tcW w:type="dxa" w:w="5040"/>
            <w:vAlign w:val="center"/>
          </w:tcPr>
          <w:p>
            <w:r>
              <w:t>True</w:t>
            </w:r>
          </w:p>
        </w:tc>
      </w:tr>
      <w:tr>
        <w:tc>
          <w:tcPr>
            <w:tcW w:type="dxa" w:w="5040"/>
            <w:vAlign w:val="center"/>
          </w:tcPr>
          <w:p>
            <w:r>
              <w:t>Todos os novos nomes presentes</w:t>
            </w:r>
          </w:p>
        </w:tc>
        <w:tc>
          <w:tcPr>
            <w:tcW w:type="dxa" w:w="5040"/>
            <w:vAlign w:val="center"/>
          </w:tcPr>
          <w:p>
            <w:r>
              <w:t>True</w:t>
            </w:r>
          </w:p>
        </w:tc>
      </w:tr>
      <w:tr>
        <w:tc>
          <w:tcPr>
            <w:tcW w:type="dxa" w:w="5040"/>
            <w:vAlign w:val="center"/>
          </w:tcPr>
          <w:p>
            <w:r>
              <w:t>Nomes antigos remanescentes</w:t>
            </w:r>
          </w:p>
        </w:tc>
        <w:tc>
          <w:tcPr>
            <w:tcW w:type="dxa" w:w="5040"/>
            <w:vAlign w:val="center"/>
          </w:tcPr>
          <w:p>
            <w:r>
              <w:t>0</w:t>
            </w:r>
          </w:p>
        </w:tc>
      </w:tr>
    </w:tbl>
    <w:p>
      <w:r>
        <w:t>Após persistência e releitura, a versão final manteve 1.966.605 registros e 41 colunas, com target e todos os prefixos de origem presentes. O artefato final foi salvo como alunos_base_enriquecida.csv.</w:t>
      </w:r>
    </w:p>
    <w:p>
      <w:pPr>
        <w:pStyle w:val="Heading1"/>
      </w:pPr>
      <w:r>
        <w:t>9. Composição final das 41 variáveis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Bloco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Nº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Exemplos</w:t>
            </w:r>
          </w:p>
        </w:tc>
      </w:tr>
      <w:tr>
        <w:tc>
          <w:tcPr>
            <w:tcW w:type="dxa" w:w="3360"/>
            <w:vAlign w:val="center"/>
          </w:tcPr>
          <w:p>
            <w:r>
              <w:t>Estrutura central / alunos</w:t>
            </w:r>
          </w:p>
        </w:tc>
        <w:tc>
          <w:tcPr>
            <w:tcW w:type="dxa" w:w="3360"/>
            <w:vAlign w:val="center"/>
          </w:tcPr>
          <w:p>
            <w:r>
              <w:t>27</w:t>
            </w:r>
          </w:p>
        </w:tc>
        <w:tc>
          <w:tcPr>
            <w:tcW w:type="dxa" w:w="3360"/>
            <w:vAlign w:val="center"/>
          </w:tcPr>
          <w:p>
            <w:r>
              <w:t>id_aluno, co_municipio, tp_serie, vl_proficiencia_lp, in_alfabetizado</w:t>
            </w:r>
          </w:p>
        </w:tc>
      </w:tr>
      <w:tr>
        <w:tc>
          <w:tcPr>
            <w:tcW w:type="dxa" w:w="3360"/>
            <w:vAlign w:val="center"/>
          </w:tcPr>
          <w:p>
            <w:r>
              <w:t>Atlas</w:t>
            </w:r>
          </w:p>
        </w:tc>
        <w:tc>
          <w:tcPr>
            <w:tcW w:type="dxa" w:w="3360"/>
            <w:vAlign w:val="center"/>
          </w:tcPr>
          <w:p>
            <w:r>
              <w:t>6</w:t>
            </w:r>
          </w:p>
        </w:tc>
        <w:tc>
          <w:tcPr>
            <w:tcW w:type="dxa" w:w="3360"/>
            <w:vAlign w:val="center"/>
          </w:tcPr>
          <w:p>
            <w:r>
              <w:t>atlas_idhm, atlas_renda_pc, atlas_indice_gini</w:t>
            </w:r>
          </w:p>
        </w:tc>
      </w:tr>
      <w:tr>
        <w:tc>
          <w:tcPr>
            <w:tcW w:type="dxa" w:w="3360"/>
            <w:vAlign w:val="center"/>
          </w:tcPr>
          <w:p>
            <w:r>
              <w:t>Censo Escolar</w:t>
            </w:r>
          </w:p>
        </w:tc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censo_prop_mat_2ano_internet_aprendizagem, ...</w:t>
            </w:r>
          </w:p>
        </w:tc>
      </w:tr>
      <w:tr>
        <w:tc>
          <w:tcPr>
            <w:tcW w:type="dxa" w:w="3360"/>
            <w:vAlign w:val="center"/>
          </w:tcPr>
          <w:p>
            <w:r>
              <w:t>Fundeb</w:t>
            </w:r>
          </w:p>
        </w:tc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fundeb_receita_contribuicao, fundeb_complementacao_uniao, fundeb_receita_total</w:t>
            </w:r>
          </w:p>
        </w:tc>
      </w:tr>
      <w:tr>
        <w:tc>
          <w:tcPr>
            <w:tcW w:type="dxa" w:w="3360"/>
            <w:vAlign w:val="center"/>
          </w:tcPr>
          <w:p>
            <w:r>
              <w:t>Indicadores</w:t>
            </w:r>
          </w:p>
        </w:tc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indicador_meta_final_2025, indicador_pc_aluno_alfabetizado_2024</w:t>
            </w:r>
          </w:p>
        </w:tc>
      </w:tr>
    </w:tbl>
    <w:p>
      <w:pPr>
        <w:pStyle w:val="Heading1"/>
      </w:pPr>
      <w:r>
        <w:t>10. Principais decisões e aprendizados</w:t>
      </w:r>
    </w:p>
    <w:p>
      <w:pPr>
        <w:pStyle w:val="ListBullet"/>
      </w:pPr>
      <w:r>
        <w:t>O enriquecimento foi orientado pelo problema, e não pela quantidade de colunas disponíveis.</w:t>
      </w:r>
    </w:p>
    <w:p>
      <w:pPr>
        <w:pStyle w:val="ListBullet"/>
      </w:pPr>
      <w:r>
        <w:t>Ausência após merge não foi tratada automaticamente como erro: cada caso foi investigado e, quando explicável, preservado.</w:t>
      </w:r>
    </w:p>
    <w:p>
      <w:pPr>
        <w:pStyle w:val="ListBullet"/>
      </w:pPr>
      <w:r>
        <w:t>Diferenças temporais e administrativas entre fontes públicas exigiram harmonização cuidadosa das chaves municipais.</w:t>
      </w:r>
    </w:p>
    <w:p>
      <w:pPr>
        <w:pStyle w:val="ListBullet"/>
      </w:pPr>
      <w:r>
        <w:t>A criação de indicadores do Censo no nível municipal permitiu compatibilizar uma fonte originalmente escolar com uma base no nível do aluno.</w:t>
      </w:r>
    </w:p>
    <w:p>
      <w:pPr>
        <w:pStyle w:val="ListBullet"/>
      </w:pPr>
      <w:r>
        <w:t>A fonte Fundeb exigiu uma etapa adicional de engenharia de dados por estar originalmente em PDF.</w:t>
      </w:r>
    </w:p>
    <w:p>
      <w:pPr>
        <w:pStyle w:val="ListBullet"/>
      </w:pPr>
      <w:r>
        <w:t>A Gold de indicadores foi utilizada de forma seletiva, incorporando apenas duas variáveis consideradas complementares ao que já havia sido construído.</w:t>
      </w:r>
    </w:p>
    <w:p>
      <w:pPr>
        <w:pStyle w:val="ListBullet"/>
      </w:pPr>
      <w:r>
        <w:t>A nomenclatura final tornou explícita a origem das features e criou uma fronteira clara entre construção dos dados e ciência de dados.</w:t>
      </w:r>
    </w:p>
    <w:p>
      <w:pPr>
        <w:pStyle w:val="Heading1"/>
      </w:pPr>
      <w:r>
        <w:t>11. Limitações e pontos de atenção para as próximas etapas</w:t>
      </w:r>
    </w:p>
    <w:p>
      <w:pPr>
        <w:pStyle w:val="ListBullet"/>
      </w:pPr>
      <w:r>
        <w:t>Os indicadores do Atlas utilizam 2010, o período mais recente disponível na fonte utilizada, e portanto possuem defasagem temporal em relação aos alunos de 2025.</w:t>
      </w:r>
    </w:p>
    <w:p>
      <w:pPr>
        <w:pStyle w:val="ListBullet"/>
      </w:pPr>
      <w:r>
        <w:t>Existem valores ausentes preservados por razões documentadas de cobertura/chave; a estratégia de imputação deve ser definida posteriormente dentro do pré-processamento.</w:t>
      </w:r>
    </w:p>
    <w:p>
      <w:pPr>
        <w:pStyle w:val="ListBullet"/>
      </w:pPr>
      <w:r>
        <w:t>Diversas features enriquecidas estão no nível municipal e se repetem para muitos alunos; análises estatísticas devem respeitar essa diferença de granularidade.</w:t>
      </w:r>
    </w:p>
    <w:p>
      <w:pPr>
        <w:pStyle w:val="ListBullet"/>
      </w:pPr>
      <w:r>
        <w:t>Variáveis diretamente ligadas à prova e ao resultado individual — como proficiência, respostas, gabaritos, presença e preenchimento — devem ser auditadas quanto a data leakage antes da modelagem.</w:t>
      </w:r>
    </w:p>
    <w:p>
      <w:pPr>
        <w:pStyle w:val="ListBullet"/>
      </w:pPr>
      <w:r>
        <w:t>Correlações elevadas entre algumas variáveis do Atlas e possíveis redundâncias entre features devem ser reavaliadas na EDA e na seleção de atributos.</w:t>
      </w:r>
    </w:p>
    <w:p>
      <w:pPr>
        <w:pStyle w:val="Heading1"/>
      </w:pPr>
      <w:r>
        <w:t>12. Resultado final e passagem para a Ciência de Dados</w:t>
      </w:r>
    </w:p>
    <w:p>
      <w:r>
        <w:rPr>
          <w:b/>
        </w:rPr>
        <w:t xml:space="preserve">Artefato final: </w:t>
      </w:r>
      <w:r>
        <w:t>alunos_base_enriquecida.csv</w:t>
      </w:r>
    </w:p>
    <w:p>
      <w:r>
        <w:rPr>
          <w:b/>
        </w:rPr>
        <w:t xml:space="preserve">Dimensão: </w:t>
      </w:r>
      <w:r>
        <w:t>1.966.605 registros × 41 variáveis</w:t>
      </w:r>
    </w:p>
    <w:p>
      <w:r>
        <w:rPr>
          <w:b/>
        </w:rPr>
        <w:t xml:space="preserve">Target: </w:t>
      </w:r>
      <w:r>
        <w:t>in_alfabetizado</w:t>
      </w:r>
    </w:p>
    <w:p>
      <w:r>
        <w:t>A partir deste ponto, o arquivo final deve ser tratado como artefato de referência da etapa de construção e enriquecimento. EDA, tratamento de missing values, engenharia de features, exclusão de leakage, encoding, transformações, separação treino/validação/teste e modelagem devem produzir novos artefatos, sem sobrescrever a base enriquecida.</w:t>
      </w:r>
    </w:p>
    <w:p>
      <w:pPr>
        <w:pStyle w:val="Heading1"/>
      </w:pPr>
      <w:r>
        <w:t>13. Conclusão</w:t>
      </w:r>
    </w:p>
    <w:p>
      <w:r>
        <w:t>A construção da base analítica foi concluída por meio de um processo incremental, auditável e reproduzível. A população original de 1.966.605 alunos foi preservada em todas as integrações, enquanto 14 variáveis contextuais foram acrescentadas a partir de quatro blocos de enriquecimento: Atlas do Desenvolvimento Humano, Censo Escolar 2024, Fundeb 2024 e Gold de indicadores.</w:t>
      </w:r>
    </w:p>
    <w:p>
      <w:r>
        <w:t>O resultado não é apenas uma base maior, mas uma base documentada: cada fonte foi investigada, as chaves foram auditadas, as exceções foram quantificadas antes dos merges e os resultados foram reconciliados posteriormente. A padronização final em snake_case e o uso de prefixos por origem consolidaram um contrato de nomenclatura que facilita a rastreabilidade das features.</w:t>
      </w:r>
    </w:p>
    <w:p>
      <w:r>
        <w:t>Com alunos_base_enriquecida.csv validado em 1.966.605 × 41, encerra-se a etapa de construção dos dados e estabelece-se uma fronteira clara para as próximas atividades de Ciência de Dados: EDA, preparação, engenharia de atributos e modelagem.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