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Resumo da Construção da Análise Exploratória de Dados</w:t>
      </w:r>
    </w:p>
    <w:p>
      <w:pPr>
        <w:spacing w:after="100" w:line="252" w:lineRule="auto"/>
        <w:jc w:val="center"/>
      </w:pPr>
      <w:r>
        <w:rPr>
          <w:b/>
        </w:rPr>
        <w:t>Tech Challenge - Predição e Inteligência Analítica para Alfabetização no Brasil</w:t>
      </w:r>
    </w:p>
    <w:p>
      <w:pPr>
        <w:spacing w:after="100" w:line="252" w:lineRule="auto"/>
        <w:jc w:val="center"/>
      </w:pPr>
      <w:r>
        <w:t>Síntese metodológica do notebook de entendimento dos dados e apoio às decisões de modelagem</w:t>
      </w:r>
    </w:p>
    <w:p>
      <w:pPr>
        <w:spacing w:after="100" w:line="252" w:lineRule="auto"/>
      </w:pPr>
    </w:p>
    <w:p>
      <w:pPr>
        <w:spacing w:after="100" w:line="252" w:lineRule="auto"/>
        <w:jc w:val="center"/>
      </w:pPr>
      <w:r>
        <w:rPr>
          <w:b/>
        </w:rPr>
        <w:t>Artefato analisado: 06_eda_entendimento_modelagem.ipynb</w:t>
        <w:br/>
      </w:r>
      <w:r>
        <w:t>Base de referência: 1.966.605 registros x 41 variáveis</w:t>
        <w:br/>
      </w:r>
      <w:r>
        <w:t>Target: in_alfabetizado | Execução concluída com êxito</w:t>
      </w:r>
    </w:p>
    <w:p>
      <w:pPr>
        <w:spacing w:after="100" w:line="252" w:lineRule="auto"/>
      </w:pPr>
      <w:r>
        <w:br w:type="page"/>
      </w:r>
    </w:p>
    <w:p>
      <w:pPr>
        <w:pStyle w:val="Heading1"/>
        <w:keepLines/>
      </w:pPr>
      <w:r>
        <w:t>1. Visão geral</w:t>
      </w:r>
    </w:p>
    <w:p>
      <w:pPr>
        <w:spacing w:after="100" w:line="252" w:lineRule="auto"/>
      </w:pPr>
      <w:r>
        <w:t>A Análise Exploratória de Dados (EDA) foi construída para estabelecer uma ponte formal entre a base analítica enriquecida e a etapa de Machine Learning do Tech Challenge. O trabalho buscou compreender a população avaliada, diagnosticar a qualidade dos dados, investigar padrões associados à alfabetização e transformar evidências exploratórias em decisões reproduzíveis para a modelagem supervisionada.</w:t>
      </w:r>
    </w:p>
    <w:p>
      <w:pPr>
        <w:spacing w:after="100" w:line="252" w:lineRule="auto"/>
      </w:pPr>
      <w:r>
        <w:t>A exploração foi organizada para responder às perguntas centrais do desafio: como o target se distribui; quais grupos territoriais e educacionais apresentam diferenças; quais features demonstram potencial explicativo; onde estão os valores ausentes; quais variáveis são redundantes ou inadequadas; e como evitar data leakage. O notebook não altera nem sobrescreve a base consolidada: todas as tabelas geradas são artefatos derivados.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Elemento</w:t>
            </w:r>
          </w:p>
        </w:tc>
        <w:tc>
          <w:tcPr>
            <w:tcW w:type="dxa" w:w="691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Definição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Notebook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06_eda_entendimento_modelagem.ipynb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Dimensão de referência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1.966.605 alunos x 41 variáveis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Variável-alvo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in_alfabetizado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Unidade principal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Aluno avaliado em 2025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Features contextuais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Atlas, Censo Escolar, Fundeb e Gold de Indicadores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Estrutura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56 células: 39 de código e 17 de documentação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Saída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Evidências, hipóteses e recomendações para a pipeline de ML</w:t>
            </w:r>
          </w:p>
        </w:tc>
      </w:tr>
    </w:tbl>
    <w:p>
      <w:pPr>
        <w:spacing w:after="100" w:line="252" w:lineRule="auto"/>
      </w:pPr>
    </w:p>
    <w:p>
      <w:pPr>
        <w:pStyle w:val="Heading1"/>
        <w:keepLines/>
      </w:pPr>
      <w:r>
        <w:t>2. Objetivo analítico da EDA</w:t>
      </w:r>
    </w:p>
    <w:p>
      <w:pPr>
        <w:spacing w:after="100" w:line="252" w:lineRule="auto"/>
      </w:pPr>
      <w:r>
        <w:t>O objetivo foi investigar quais características educacionais, territoriais, socioeconômicas e financeiras estão associadas à alfabetização e podem apoiar uma predição válida, interpretável e aplicável ao contexto das políticas públicas. A análise foi planejada para apoiar diretamente a seleção de features, o pré-processamento, a estratégia de validação e a interpretação dos futuros modelos.</w:t>
      </w:r>
    </w:p>
    <w:p>
      <w:pPr>
        <w:pStyle w:val="ListBullet"/>
      </w:pPr>
      <w:r>
        <w:t>Compreender distribuições, padrões, cardinalidades e inconsistências.</w:t>
      </w:r>
    </w:p>
    <w:p>
      <w:pPr>
        <w:pStyle w:val="ListBullet"/>
      </w:pPr>
      <w:r>
        <w:t>Avaliar a distribuição do target e possíveis diferenças entre grupos.</w:t>
      </w:r>
    </w:p>
    <w:p>
      <w:pPr>
        <w:pStyle w:val="ListBullet"/>
      </w:pPr>
      <w:r>
        <w:t>Investigar associações entre o resultado e os quatro blocos de enriquecimento.</w:t>
      </w:r>
    </w:p>
    <w:p>
      <w:pPr>
        <w:pStyle w:val="ListBullet"/>
      </w:pPr>
      <w:r>
        <w:t>Detectar correlações elevadas e possíveis redundâncias.</w:t>
      </w:r>
    </w:p>
    <w:p>
      <w:pPr>
        <w:pStyle w:val="ListBullet"/>
      </w:pPr>
      <w:r>
        <w:t>Auditar identificadores e variáveis com risco de data leakage.</w:t>
      </w:r>
    </w:p>
    <w:p>
      <w:pPr>
        <w:pStyle w:val="ListBullet"/>
      </w:pPr>
      <w:r>
        <w:t>Formular hipóteses testáveis e recomendações para a modelagem.</w:t>
      </w:r>
    </w:p>
    <w:p>
      <w:pPr>
        <w:pStyle w:val="Heading1"/>
        <w:keepLines/>
      </w:pPr>
      <w:r>
        <w:t>3. Princípios metodológicos adotados</w:t>
      </w:r>
    </w:p>
    <w:p>
      <w:pPr>
        <w:pStyle w:val="ListBullet"/>
      </w:pPr>
      <w:r>
        <w:t>Imutabilidade: a base enriquecida é utilizada somente para leitura.</w:t>
      </w:r>
    </w:p>
    <w:p>
      <w:pPr>
        <w:pStyle w:val="ListBullet"/>
      </w:pPr>
      <w:r>
        <w:t>Reprodutibilidade: semente aleatória fixa (random_state = 42).</w:t>
      </w:r>
    </w:p>
    <w:p>
      <w:pPr>
        <w:pStyle w:val="ListBullet"/>
      </w:pPr>
      <w:r>
        <w:t>Escalabilidade: estatísticas principais na base completa e amostra apenas para gráficos densos.</w:t>
      </w:r>
    </w:p>
    <w:p>
      <w:pPr>
        <w:pStyle w:val="ListBullet"/>
      </w:pPr>
      <w:r>
        <w:t>Granularidade: distinção explícita entre informações do aluno e features municipais repetidas.</w:t>
      </w:r>
    </w:p>
    <w:p>
      <w:pPr>
        <w:pStyle w:val="ListBullet"/>
      </w:pPr>
      <w:r>
        <w:t>Qualidade: ausências e outliers são diagnosticados, não imputados ou removidos na EDA.</w:t>
      </w:r>
    </w:p>
    <w:p>
      <w:pPr>
        <w:pStyle w:val="ListBullet"/>
      </w:pPr>
      <w:r>
        <w:t>Rigor interpretativo: associação não é tratada como causalidade.</w:t>
      </w:r>
    </w:p>
    <w:p>
      <w:pPr>
        <w:pStyle w:val="ListBullet"/>
      </w:pPr>
      <w:r>
        <w:t>Prevenção de leakage: decisões de manter, excluir ou investigar são documentadas.</w:t>
      </w:r>
    </w:p>
    <w:p>
      <w:pPr>
        <w:pStyle w:val="ListBullet"/>
      </w:pPr>
      <w:r>
        <w:t>Rastreabilidade: diagnósticos e decisões são persistidos como arquivos derivados.</w:t>
      </w:r>
    </w:p>
    <w:p>
      <w:pPr>
        <w:pStyle w:val="Heading1"/>
        <w:keepLines/>
      </w:pPr>
      <w:r>
        <w:t>4. Organização do notebook</w:t>
      </w:r>
    </w:p>
    <w:p>
      <w:pPr>
        <w:spacing w:after="100" w:line="252" w:lineRule="auto"/>
      </w:pPr>
      <w:r>
        <w:t>O notebook foi estruturado em 14 fases sequenciais. Cada fase possui objetivo, justificativa e ação, mantendo o padrão didático utilizado nos notebooks de engenharia de dados.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79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Fase</w:t>
            </w:r>
          </w:p>
        </w:tc>
        <w:tc>
          <w:tcPr>
            <w:tcW w:type="dxa" w:w="3384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Conteúdo</w:t>
            </w:r>
          </w:p>
        </w:tc>
        <w:tc>
          <w:tcPr>
            <w:tcW w:type="dxa" w:w="5616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Resultado esperado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Configuração e caminhos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Ambiente reprodutível e base protegida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Validação estrutural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Contrato de 1.966.605 x 41 confirmado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Dicionário de variáveis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Origem, papel, tipo e cardinalidade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Qualidade e missingness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Ausências gerais e por grupos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Análise do target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Distribuição, baseline e desbalanceamento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Análise univariada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Distribuições, assimetria e faixas plausíveis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Análise bivariada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Associações e taxas por grupos/quintis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Correlações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Redundâncias nos níveis aluno e município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9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Análise territorial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Taxas por UF e municípios elegíveis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Análise por origem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Contribuição de Atlas, Censo, Fundeb e Indicadores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11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Auditoria de leakage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Matriz de decisão por variável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12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Hipóteses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Perguntas testáveis para modelagem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13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Recomendações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Contrato inicial da pipeline</w:t>
            </w:r>
          </w:p>
        </w:tc>
      </w:tr>
      <w:tr>
        <w:tc>
          <w:tcPr>
            <w:tcW w:type="dxa" w:w="7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14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Conclusão</w:t>
            </w:r>
          </w:p>
        </w:tc>
        <w:tc>
          <w:tcPr>
            <w:tcW w:type="dxa" w:w="561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Síntese executiva baseada na execução</w:t>
            </w:r>
          </w:p>
        </w:tc>
      </w:tr>
    </w:tbl>
    <w:p>
      <w:pPr>
        <w:spacing w:after="100" w:line="252" w:lineRule="auto"/>
      </w:pPr>
    </w:p>
    <w:p>
      <w:pPr>
        <w:pStyle w:val="Heading1"/>
        <w:keepLines/>
      </w:pPr>
      <w:r>
        <w:t>5. Carregamento e validação estrutural</w:t>
      </w:r>
    </w:p>
    <w:p>
      <w:pPr>
        <w:spacing w:after="100" w:line="252" w:lineRule="auto"/>
      </w:pPr>
      <w:r>
        <w:t>A EDA parte do artefato final base_analitica_final.csv, armazenado na camada Gold. O carregamento utiliza pandas com separador ponto e vírgula, codificação UTF-8 com BOM e low_memory=False, preservando o padrão adotado durante a construção da base.</w:t>
      </w:r>
    </w:p>
    <w:p>
      <w:pPr>
        <w:pStyle w:val="Heading2"/>
        <w:keepLines/>
      </w:pPr>
      <w:r>
        <w:t>5.1 Contrato validado</w:t>
      </w:r>
    </w:p>
    <w:p>
      <w:pPr>
        <w:pStyle w:val="ListBullet"/>
      </w:pPr>
      <w:r>
        <w:t>Quantidade esperada de registros: 1.966.605.</w:t>
      </w:r>
    </w:p>
    <w:p>
      <w:pPr>
        <w:pStyle w:val="ListBullet"/>
      </w:pPr>
      <w:r>
        <w:t>Quantidade esperada de variáveis: 41.</w:t>
      </w:r>
    </w:p>
    <w:p>
      <w:pPr>
        <w:pStyle w:val="ListBullet"/>
      </w:pPr>
      <w:r>
        <w:t>Nomes de colunas únicos.</w:t>
      </w:r>
    </w:p>
    <w:p>
      <w:pPr>
        <w:pStyle w:val="ListBullet"/>
      </w:pPr>
      <w:r>
        <w:t>Presença da variável-alvo in_alfabetizado.</w:t>
      </w:r>
    </w:p>
    <w:p>
      <w:pPr>
        <w:pStyle w:val="ListBullet"/>
      </w:pPr>
      <w:r>
        <w:t>Presença dos prefixos atlas_, censo_, fundeb_ e indicador_.</w:t>
      </w:r>
    </w:p>
    <w:p>
      <w:pPr>
        <w:pStyle w:val="ListBullet"/>
      </w:pPr>
      <w:r>
        <w:t>Domínio binário do target, restrito aos valores 0 e 1.</w:t>
      </w:r>
    </w:p>
    <w:p>
      <w:pPr>
        <w:pStyle w:val="Heading2"/>
        <w:keepLines/>
      </w:pPr>
      <w:r>
        <w:t>5.2 Compatibilidade Pandas, Arrow e Databricks</w:t>
      </w:r>
    </w:p>
    <w:p>
      <w:pPr>
        <w:spacing w:after="100" w:line="252" w:lineRule="auto"/>
      </w:pPr>
      <w:r>
        <w:t>Durante a execução, duas validações inicialmente utilizavam pd.Series com valores de tipos diferentes e display(). O Databricks tentou converter essas estruturas para Arrow e gerou incompatibilidade na coluna object. A solução foi substituir a exibição tabular heterogênea por variáveis nativas e print(), mantendo os mesmos testes assertivos.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76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Situação</w:t>
            </w:r>
          </w:p>
        </w:tc>
        <w:tc>
          <w:tcPr>
            <w:tcW w:type="dxa" w:w="3384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Causa</w:t>
            </w:r>
          </w:p>
        </w:tc>
        <w:tc>
          <w:tcPr>
            <w:tcW w:type="dxa" w:w="403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Correção aplicada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Validação estrutural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Series com inteiros e booleanos</w:t>
            </w:r>
          </w:p>
        </w:tc>
        <w:tc>
          <w:tcPr>
            <w:tcW w:type="dxa" w:w="40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Dicionário/variáveis simples exibidos com print()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Domínio do target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Series com texto, inteiro e lista</w:t>
            </w:r>
          </w:p>
        </w:tc>
        <w:tc>
          <w:tcPr>
            <w:tcW w:type="dxa" w:w="40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Valores nativos, print() e asserts separados</w:t>
            </w:r>
          </w:p>
        </w:tc>
      </w:tr>
      <w:tr>
        <w:tc>
          <w:tcPr>
            <w:tcW w:type="dxa" w:w="237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Efeito</w:t>
            </w:r>
          </w:p>
        </w:tc>
        <w:tc>
          <w:tcPr>
            <w:tcW w:type="dxa" w:w="338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Conversão automática do display()</w:t>
            </w:r>
          </w:p>
        </w:tc>
        <w:tc>
          <w:tcPr>
            <w:tcW w:type="dxa" w:w="40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Arrow removido do caminho de exibição</w:t>
            </w:r>
          </w:p>
        </w:tc>
      </w:tr>
    </w:tbl>
    <w:p>
      <w:pPr>
        <w:spacing w:after="100" w:line="252" w:lineRule="auto"/>
      </w:pPr>
    </w:p>
    <w:p>
      <w:pPr>
        <w:pStyle w:val="Heading1"/>
        <w:keepLines/>
      </w:pPr>
      <w:r>
        <w:t>6. Dicionário e classificação das variáveis</w:t>
      </w:r>
    </w:p>
    <w:p>
      <w:pPr>
        <w:spacing w:after="100" w:line="252" w:lineRule="auto"/>
      </w:pPr>
      <w:r>
        <w:t>As 41 variáveis foram classificadas por origem, papel preliminar, tipo observado, cardinalidade e percentual de ausências. Essa classificação não remove colunas; ela organiza a auditoria e prepara a matriz de elegibilidade para a modelagem.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9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Bloco</w:t>
            </w:r>
          </w:p>
        </w:tc>
        <w:tc>
          <w:tcPr>
            <w:tcW w:type="dxa" w:w="1440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Quantidade</w:t>
            </w:r>
          </w:p>
        </w:tc>
        <w:tc>
          <w:tcPr>
            <w:tcW w:type="dxa" w:w="5760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Papel na EDA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Base de alunos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27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Identificadores, dimensões educacionais, prova e target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Atlas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Desenvolvimento humano, renda, desigualdade e vulnerabilidade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Censo Escolar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Contexto municipal de infraestrutura educacional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Fundeb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Contexto financeiro municipal</w:t>
            </w:r>
          </w:p>
        </w:tc>
      </w:tr>
      <w:tr>
        <w:tc>
          <w:tcPr>
            <w:tcW w:type="dxa" w:w="259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Gold de Indicadores</w:t>
            </w:r>
          </w:p>
        </w:tc>
        <w:tc>
          <w:tcPr>
            <w:tcW w:type="dxa" w:w="144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576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Meta 2025 e alfabetização municipal de 2024</w:t>
            </w:r>
          </w:p>
        </w:tc>
      </w:tr>
    </w:tbl>
    <w:p>
      <w:pPr>
        <w:spacing w:after="100" w:line="252" w:lineRule="auto"/>
      </w:pPr>
    </w:p>
    <w:p>
      <w:pPr>
        <w:spacing w:after="100" w:line="252" w:lineRule="auto"/>
      </w:pPr>
      <w:r>
        <w:t>A auditoria também identifica variáveis constantes, quase constantes e de alta cardinalidade. Esses diagnósticos apoiam decisões de exclusão, encoding e regularização, reduzindo o risco de sobreajuste.</w:t>
      </w:r>
    </w:p>
    <w:p>
      <w:pPr>
        <w:pStyle w:val="Heading1"/>
        <w:keepLines/>
      </w:pPr>
      <w:r>
        <w:t>7. Qualidade dos dados e valores ausentes</w:t>
      </w:r>
    </w:p>
    <w:p>
      <w:pPr>
        <w:spacing w:after="100" w:line="252" w:lineRule="auto"/>
      </w:pPr>
      <w:r>
        <w:t>A missingness foi analisada em nível geral, por origem e por unidade federativa. O notebook calcula quantidade e percentual de ausências por variável, investiga a coocorrência de blocos inteiramente ausentes e verifica se os padrões são coerentes com as limitações documentadas durante os merges.</w:t>
      </w:r>
    </w:p>
    <w:p>
      <w:pPr>
        <w:pStyle w:val="ListBullet"/>
      </w:pPr>
      <w:r>
        <w:t>510 alunos sem código municipal, preservados desde a base original.</w:t>
      </w:r>
    </w:p>
    <w:p>
      <w:pPr>
        <w:pStyle w:val="ListBullet"/>
      </w:pPr>
      <w:r>
        <w:t>1.330 registros sem indicadores do Atlas.</w:t>
      </w:r>
    </w:p>
    <w:p>
      <w:pPr>
        <w:pStyle w:val="ListBullet"/>
      </w:pPr>
      <w:r>
        <w:t>620 registros sem indicadores do Censo Escolar.</w:t>
      </w:r>
    </w:p>
    <w:p>
      <w:pPr>
        <w:pStyle w:val="ListBullet"/>
      </w:pPr>
      <w:r>
        <w:t>661 registros sem informações do Fundeb.</w:t>
      </w:r>
    </w:p>
    <w:p>
      <w:pPr>
        <w:pStyle w:val="ListBullet"/>
      </w:pPr>
      <w:r>
        <w:t>85.271 registros sem os indicadores selecionados da Gold.</w:t>
      </w:r>
    </w:p>
    <w:p>
      <w:pPr>
        <w:spacing w:after="100" w:line="252" w:lineRule="auto"/>
      </w:pPr>
      <w:r>
        <w:t>Esses valores representam referências de reconciliação da engenharia de dados. A EDA confirma sua ocorrência, mas não realiza imputação. O tratamento deverá ser ajustado somente sobre os dados de treino e integrado ao pipeline de Machine Learning.</w:t>
      </w:r>
    </w:p>
    <w:p>
      <w:pPr>
        <w:pStyle w:val="Heading1"/>
        <w:keepLines/>
      </w:pPr>
      <w:r>
        <w:t>8. Análise da variável-alvo</w:t>
      </w:r>
    </w:p>
    <w:p>
      <w:pPr>
        <w:spacing w:after="100" w:line="252" w:lineRule="auto"/>
      </w:pPr>
      <w:r>
        <w:t>A variável in_alfabetizado foi analisada por contagem, percentual e baseline da classe majoritária. A taxa de alfabetização também foi calculada por dependência administrativa, série, UF e município, sempre acompanhada do volume de alunos para evitar interpretações enviesadas.</w:t>
      </w:r>
    </w:p>
    <w:p>
      <w:pPr>
        <w:pStyle w:val="ListBullet"/>
      </w:pPr>
      <w:r>
        <w:t>Contagens e percentuais das classes 0 e 1.</w:t>
      </w:r>
    </w:p>
    <w:p>
      <w:pPr>
        <w:pStyle w:val="ListBullet"/>
      </w:pPr>
      <w:r>
        <w:t>Baseline majoritário para comparação com futuros modelos.</w:t>
      </w:r>
    </w:p>
    <w:p>
      <w:pPr>
        <w:pStyle w:val="ListBullet"/>
      </w:pPr>
      <w:r>
        <w:t>Taxas por grupos, em vez de apenas volumes absolutos.</w:t>
      </w:r>
    </w:p>
    <w:p>
      <w:pPr>
        <w:pStyle w:val="ListBullet"/>
      </w:pPr>
      <w:r>
        <w:t>Avaliação de possível desbalanceamento e impacto nas métricas.</w:t>
      </w:r>
    </w:p>
    <w:p>
      <w:pPr>
        <w:pStyle w:val="Heading1"/>
        <w:keepLines/>
      </w:pPr>
      <w:r>
        <w:t>9. Análise univariada</w:t>
      </w:r>
    </w:p>
    <w:p>
      <w:pPr>
        <w:spacing w:after="100" w:line="252" w:lineRule="auto"/>
      </w:pPr>
      <w:r>
        <w:t>As features contextuais numéricas foram descritas por média, desvio-padrão, mínimo, máximo, quantis, intervalo interquartil e assimetria. A análise priorizou estatísticas robustas, pois testes formais de normalidade tendem a rejeitar desvios mínimos em bases com quase dois milhões de observações.</w:t>
      </w:r>
    </w:p>
    <w:p>
      <w:pPr>
        <w:pStyle w:val="ListBullet"/>
      </w:pPr>
      <w:r>
        <w:t>Histogramas das features contextuais usando amostra reprodutível de até 100 mil registros.</w:t>
      </w:r>
    </w:p>
    <w:p>
      <w:pPr>
        <w:pStyle w:val="ListBullet"/>
      </w:pPr>
      <w:r>
        <w:t>Auditoria de faixas plausíveis para proporções do Censo, esperadas entre 0 e 1.</w:t>
      </w:r>
    </w:p>
    <w:p>
      <w:pPr>
        <w:pStyle w:val="ListBullet"/>
      </w:pPr>
      <w:r>
        <w:t>Análise de cardinalidade e identificação de categorias raras.</w:t>
      </w:r>
    </w:p>
    <w:p>
      <w:pPr>
        <w:pStyle w:val="ListBullet"/>
      </w:pPr>
      <w:r>
        <w:t>Diagnóstico de assimetria das receitas do Fundeb.</w:t>
      </w:r>
    </w:p>
    <w:p>
      <w:pPr>
        <w:pStyle w:val="ListBullet"/>
      </w:pPr>
      <w:r>
        <w:t>Identificação de outliers sem remoção automática.</w:t>
      </w:r>
    </w:p>
    <w:p>
      <w:pPr>
        <w:pStyle w:val="Heading1"/>
        <w:keepLines/>
      </w:pPr>
      <w:r>
        <w:t>10. Análise bivariada em relação ao target</w:t>
      </w:r>
    </w:p>
    <w:p>
      <w:pPr>
        <w:spacing w:after="100" w:line="252" w:lineRule="auto"/>
      </w:pPr>
      <w:r>
        <w:t>A relação entre cada feature contextual e o target foi investigada por diferenças de média e mediana, tamanho de efeito padronizado e correlação de Spearman. Valores-p não foram priorizados, porque o grande volume de dados poderia tornar estatisticamente significativos efeitos sem relevância prática.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Técnica</w:t>
            </w:r>
          </w:p>
        </w:tc>
        <w:tc>
          <w:tcPr>
            <w:tcW w:type="dxa" w:w="691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Objetivo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Diferença de médias/medianas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Comparar alfabetizados e não alfabetizados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Efeito padronizado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Medir magnitude prática da separação entre classes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Spearman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Avaliar associação monotônica com menor sensibilidade à assimetria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Boxplots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Visualizar dispersão, sobreposição e extremos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Quintis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Identificar gradientes e possíveis relações não lineares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Taxas categóricas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Comparar dependência administrativa e série</w:t>
            </w:r>
          </w:p>
        </w:tc>
      </w:tr>
    </w:tbl>
    <w:p>
      <w:pPr>
        <w:spacing w:after="100" w:line="252" w:lineRule="auto"/>
      </w:pPr>
    </w:p>
    <w:p>
      <w:pPr>
        <w:pStyle w:val="Heading1"/>
        <w:keepLines/>
      </w:pPr>
      <w:r>
        <w:t>11. Correlações, redundância e granularidade</w:t>
      </w:r>
    </w:p>
    <w:p>
      <w:pPr>
        <w:spacing w:after="100" w:line="252" w:lineRule="auto"/>
      </w:pPr>
      <w:r>
        <w:t>A matriz de correlação foi produzida em dois níveis. No nível do aluno, a análise representa a população observada, mas atribui maior peso a municípios com mais estudantes. No nível municipal, uma linha por município reduz esse peso desproporcional e permite avaliar as features no nível em que foram originalmente construídas.</w:t>
      </w:r>
    </w:p>
    <w:p>
      <w:pPr>
        <w:pStyle w:val="ListBullet"/>
      </w:pPr>
      <w:r>
        <w:t>Correlação de Spearman em nível de aluno.</w:t>
      </w:r>
    </w:p>
    <w:p>
      <w:pPr>
        <w:pStyle w:val="ListBullet"/>
      </w:pPr>
      <w:r>
        <w:t>Correlação de Spearman em nível municipal.</w:t>
      </w:r>
    </w:p>
    <w:p>
      <w:pPr>
        <w:pStyle w:val="ListBullet"/>
      </w:pPr>
      <w:r>
        <w:t>Listagem automática de pares com correlação absoluta igual ou superior a 0,80.</w:t>
      </w:r>
    </w:p>
    <w:p>
      <w:pPr>
        <w:pStyle w:val="ListBullet"/>
      </w:pPr>
      <w:r>
        <w:t>Correlação não utilizada isoladamente como critério de exclusão.</w:t>
      </w:r>
    </w:p>
    <w:p>
      <w:pPr>
        <w:pStyle w:val="ListBullet"/>
      </w:pPr>
      <w:r>
        <w:t>Redundâncias reservadas para avaliação conjunta com regularização e interpretabilidade.</w:t>
      </w:r>
    </w:p>
    <w:p>
      <w:pPr>
        <w:pStyle w:val="Heading1"/>
        <w:keepLines/>
      </w:pPr>
      <w:r>
        <w:t>12. Análise territorial e educacional</w:t>
      </w:r>
    </w:p>
    <w:p>
      <w:pPr>
        <w:spacing w:after="100" w:line="252" w:lineRule="auto"/>
      </w:pPr>
      <w:r>
        <w:t>A exploração territorial calcula taxas de alfabetização por UF e por município. Para rankings municipais, foi adotado o mínimo de 100 alunos, reduzindo a instabilidade de localidades com poucas observações. A média nacional foi incluída como referência visual.</w:t>
      </w:r>
    </w:p>
    <w:p>
      <w:pPr>
        <w:pStyle w:val="ListBullet"/>
      </w:pPr>
      <w:r>
        <w:t>Ranking de taxa de alfabetização por UF.</w:t>
      </w:r>
    </w:p>
    <w:p>
      <w:pPr>
        <w:pStyle w:val="ListBullet"/>
      </w:pPr>
      <w:r>
        <w:t>Municípios com maiores e menores taxas entre os elegíveis.</w:t>
      </w:r>
    </w:p>
    <w:p>
      <w:pPr>
        <w:pStyle w:val="ListBullet"/>
      </w:pPr>
      <w:r>
        <w:t>Visão de vulnerabilidade combinando taxa municipal, IDHM e pobreza infantil.</w:t>
      </w:r>
    </w:p>
    <w:p>
      <w:pPr>
        <w:pStyle w:val="ListBullet"/>
      </w:pPr>
      <w:r>
        <w:t>Interpretação territorial sem atribuição causal ou julgamento isolado de gestão.</w:t>
      </w:r>
    </w:p>
    <w:p>
      <w:pPr>
        <w:pStyle w:val="Heading1"/>
        <w:keepLines/>
      </w:pPr>
      <w:r>
        <w:t>13. Análise dos enriquecimentos por origem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656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Origem</w:t>
            </w:r>
          </w:p>
        </w:tc>
        <w:tc>
          <w:tcPr>
            <w:tcW w:type="dxa" w:w="5400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Pergunta exploratória</w:t>
            </w:r>
          </w:p>
        </w:tc>
        <w:tc>
          <w:tcPr>
            <w:tcW w:type="dxa" w:w="3024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Ponto de atenção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Atlas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Desenvolvimento, renda, desigualdade e vulnerabilidade se associam ao target?</w:t>
            </w:r>
          </w:p>
        </w:tc>
        <w:tc>
          <w:tcPr>
            <w:tcW w:type="dxa" w:w="30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Indicadores de 2010 e defasagem temporal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Censo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Infraestrutura educacional municipal apresenta gradiente de alfabetização?</w:t>
            </w:r>
          </w:p>
        </w:tc>
        <w:tc>
          <w:tcPr>
            <w:tcW w:type="dxa" w:w="30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Indicadores municipais, não da escola específica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Fundeb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 escala financeira adiciona contexto preditivo?</w:t>
            </w:r>
          </w:p>
        </w:tc>
        <w:tc>
          <w:tcPr>
            <w:tcW w:type="dxa" w:w="30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Receitas absolutas, assimetria e porte populacional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Indicadores</w:t>
            </w:r>
          </w:p>
        </w:tc>
        <w:tc>
          <w:tcPr>
            <w:tcW w:type="dxa" w:w="540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O contexto de 2024 e a meta de 2025 ajudam a explicar 2025?</w:t>
            </w:r>
          </w:p>
        </w:tc>
        <w:tc>
          <w:tcPr>
            <w:tcW w:type="dxa" w:w="302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Repetição municipal e necessidade de validação agrupada</w:t>
            </w:r>
          </w:p>
        </w:tc>
      </w:tr>
    </w:tbl>
    <w:p>
      <w:pPr>
        <w:spacing w:after="100" w:line="252" w:lineRule="auto"/>
      </w:pPr>
    </w:p>
    <w:p>
      <w:pPr>
        <w:spacing w:after="100" w:line="252" w:lineRule="auto"/>
      </w:pPr>
      <w:r>
        <w:t>Para as receitas do Fundeb, o notebook compara a assimetria original com a transformação log1p, sem alterar a base. Para os indicadores temporais, a análise é realizada em nível municipal, incluindo o gap entre a taxa observada e a meta de 2025.</w:t>
      </w:r>
    </w:p>
    <w:p>
      <w:pPr>
        <w:pStyle w:val="Heading1"/>
        <w:keepLines/>
      </w:pPr>
      <w:r>
        <w:t>14. Auditoria de data leakage</w:t>
      </w:r>
    </w:p>
    <w:p>
      <w:pPr>
        <w:spacing w:after="100" w:line="252" w:lineRule="auto"/>
      </w:pPr>
      <w:r>
        <w:t>A auditoria de leakage constitui uma seção explícita da EDA. O critério central é a disponibilidade real da informação no momento em que a previsão seria realizada. Campos produzidos durante a aplicação ou correção da prova de 2025 não podem alimentar um modelo destinado a antecipar alfabetização.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Grupo</w:t>
            </w:r>
          </w:p>
        </w:tc>
        <w:tc>
          <w:tcPr>
            <w:tcW w:type="dxa" w:w="3096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Decisão recomendada</w:t>
            </w:r>
          </w:p>
        </w:tc>
        <w:tc>
          <w:tcPr>
            <w:tcW w:type="dxa" w:w="475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Justificativa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in_alfabetizado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Excluir de X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Variável-alvo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vl_proficiencia_lp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Excluir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Resultado direto usado na classificação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Respostas e gabaritos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Excluir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Permitem reconstruir acertos e o target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Presença e preenchimento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Excluir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Informações posteriores da aplicação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Caderno e blocos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Excluir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Artefatos operacionais da prova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id_aluno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Excluir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Identificador sem valor generalizável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id_escola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Investigar/excluir no baseline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Alta cardinalidade e risco de memorização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co_municipio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Investigar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Útil para agrupamento; encoding direto pode memorizar território</w:t>
            </w:r>
          </w:p>
        </w:tc>
      </w:tr>
      <w:tr>
        <w:tc>
          <w:tcPr>
            <w:tcW w:type="dxa" w:w="223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vl_peso_aluno_lp</w:t>
            </w:r>
          </w:p>
        </w:tc>
        <w:tc>
          <w:tcPr>
            <w:tcW w:type="dxa" w:w="3096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Investigar</w:t>
            </w:r>
          </w:p>
        </w:tc>
        <w:tc>
          <w:tcPr>
            <w:tcW w:type="dxa" w:w="475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Disponibilidade em produção deve ser confirmada</w:t>
            </w:r>
          </w:p>
        </w:tc>
      </w:tr>
    </w:tbl>
    <w:p>
      <w:pPr>
        <w:spacing w:after="100" w:line="252" w:lineRule="auto"/>
      </w:pPr>
    </w:p>
    <w:p>
      <w:pPr>
        <w:pStyle w:val="Heading1"/>
        <w:keepLines/>
      </w:pPr>
      <w:r>
        <w:t>15. Hipóteses analíticas formuladas</w:t>
      </w:r>
    </w:p>
    <w:p>
      <w:pPr>
        <w:spacing w:after="100" w:line="252" w:lineRule="auto"/>
      </w:pPr>
      <w:r>
        <w:t>A EDA converteu os padrões investigados em seis hipóteses que deverão ser confirmadas fora da amostra e avaliadas por interpretabilidade, estabilidade e estudos de ablação.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648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ID</w:t>
            </w:r>
          </w:p>
        </w:tc>
        <w:tc>
          <w:tcPr>
            <w:tcW w:type="dxa" w:w="5544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Hipótese</w:t>
            </w:r>
          </w:p>
        </w:tc>
        <w:tc>
          <w:tcPr>
            <w:tcW w:type="dxa" w:w="3888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Como será avaliada</w:t>
            </w:r>
          </w:p>
        </w:tc>
      </w:tr>
      <w:tr>
        <w:tc>
          <w:tcPr>
            <w:tcW w:type="dxa" w:w="6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H1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Maior desenvolvimento humano e educacional está associado a maior alfabetização.</w:t>
            </w:r>
          </w:p>
        </w:tc>
        <w:tc>
          <w:tcPr>
            <w:tcW w:type="dxa" w:w="38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Gradientes, SHAP e comparação com/sem Atlas</w:t>
            </w:r>
          </w:p>
        </w:tc>
      </w:tr>
      <w:tr>
        <w:tc>
          <w:tcPr>
            <w:tcW w:type="dxa" w:w="6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H2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Maior vulnerabilidade e desigualdade estão associadas a menor alfabetização.</w:t>
            </w:r>
          </w:p>
        </w:tc>
        <w:tc>
          <w:tcPr>
            <w:tcW w:type="dxa" w:w="38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Estabilidade por UF e interpretação do modelo</w:t>
            </w:r>
          </w:p>
        </w:tc>
      </w:tr>
      <w:tr>
        <w:tc>
          <w:tcPr>
            <w:tcW w:type="dxa" w:w="6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H3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Melhores condições educacionais municipais se associam ao target.</w:t>
            </w:r>
          </w:p>
        </w:tc>
        <w:tc>
          <w:tcPr>
            <w:tcW w:type="dxa" w:w="38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Validação agrupada e importância do bloco Censo</w:t>
            </w:r>
          </w:p>
        </w:tc>
      </w:tr>
      <w:tr>
        <w:tc>
          <w:tcPr>
            <w:tcW w:type="dxa" w:w="6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H4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As receitas do Fundeb agregam contexto, mas exigem tratamento de escala.</w:t>
            </w:r>
          </w:p>
        </w:tc>
        <w:tc>
          <w:tcPr>
            <w:tcW w:type="dxa" w:w="38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Comparação original versus log1p</w:t>
            </w:r>
          </w:p>
        </w:tc>
      </w:tr>
      <w:tr>
        <w:tc>
          <w:tcPr>
            <w:tcW w:type="dxa" w:w="6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H5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O indicador municipal de 2024 melhora a predição individual de 2025.</w:t>
            </w:r>
          </w:p>
        </w:tc>
        <w:tc>
          <w:tcPr>
            <w:tcW w:type="dxa" w:w="38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Ablation study e validação por município</w:t>
            </w:r>
          </w:p>
        </w:tc>
      </w:tr>
      <w:tr>
        <w:tc>
          <w:tcPr>
            <w:tcW w:type="dxa" w:w="64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H6</w:t>
            </w:r>
          </w:p>
        </w:tc>
        <w:tc>
          <w:tcPr>
            <w:tcW w:type="dxa" w:w="5544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Existem diferenças por UF e dependência administrativa.</w:t>
            </w:r>
          </w:p>
        </w:tc>
        <w:tc>
          <w:tcPr>
            <w:tcW w:type="dxa" w:w="3888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Métricas por subgrupo e análise de equidade</w:t>
            </w:r>
          </w:p>
        </w:tc>
      </w:tr>
    </w:tbl>
    <w:p>
      <w:pPr>
        <w:spacing w:after="100" w:line="252" w:lineRule="auto"/>
      </w:pPr>
    </w:p>
    <w:p>
      <w:pPr>
        <w:pStyle w:val="Heading1"/>
        <w:keepLines/>
      </w:pPr>
      <w:r>
        <w:t>16. Recomendações para preparação e modelagem</w:t>
      </w:r>
    </w:p>
    <w:p>
      <w:pPr>
        <w:pStyle w:val="ListBullet"/>
      </w:pPr>
      <w:r>
        <w:t>Manter a base enriquecida imutável e produzir novos artefatos derivados.</w:t>
      </w:r>
    </w:p>
    <w:p>
      <w:pPr>
        <w:pStyle w:val="ListBullet"/>
      </w:pPr>
      <w:r>
        <w:t>Usar in_alfabetizado apenas como y.</w:t>
      </w:r>
    </w:p>
    <w:p>
      <w:pPr>
        <w:pStyle w:val="ListBullet"/>
      </w:pPr>
      <w:r>
        <w:t>Construir o baseline sem variáveis posteriores à prova.</w:t>
      </w:r>
    </w:p>
    <w:p>
      <w:pPr>
        <w:pStyle w:val="ListBullet"/>
      </w:pPr>
      <w:r>
        <w:t>Excluir identificadores individuais e tratar município como variável de agrupamento.</w:t>
      </w:r>
    </w:p>
    <w:p>
      <w:pPr>
        <w:pStyle w:val="ListBullet"/>
      </w:pPr>
      <w:r>
        <w:t>Priorizar StratifiedGroupKFold ou GroupShuffleSplit por município.</w:t>
      </w:r>
    </w:p>
    <w:p>
      <w:pPr>
        <w:pStyle w:val="ListBullet"/>
      </w:pPr>
      <w:r>
        <w:t>Comparar a validação agrupada com split estratificado para municípios conhecidos.</w:t>
      </w:r>
    </w:p>
    <w:p>
      <w:pPr>
        <w:pStyle w:val="ListBullet"/>
      </w:pPr>
      <w:r>
        <w:t>Executar imputação e encoding dentro do pipeline, ajustados somente no treino.</w:t>
      </w:r>
    </w:p>
    <w:p>
      <w:pPr>
        <w:pStyle w:val="ListBullet"/>
      </w:pPr>
      <w:r>
        <w:t>Testar indicadores de ausência por bloco e mediana para features numéricas.</w:t>
      </w:r>
    </w:p>
    <w:p>
      <w:pPr>
        <w:pStyle w:val="ListBullet"/>
      </w:pPr>
      <w:r>
        <w:t>Avaliar log1p para variáveis financeiras assimétricas.</w:t>
      </w:r>
    </w:p>
    <w:p>
      <w:pPr>
        <w:pStyle w:val="ListBullet"/>
      </w:pPr>
      <w:r>
        <w:t>Comparar DummyClassifier, Regressão Logística e modelos baseados em árvores.</w:t>
      </w:r>
    </w:p>
    <w:p>
      <w:pPr>
        <w:pStyle w:val="ListBullet"/>
      </w:pPr>
      <w:r>
        <w:t>Reportar ROC-AUC, PR-AUC, F1, recall, precisão, matriz de confusão e métricas por grupo.</w:t>
      </w:r>
    </w:p>
    <w:p>
      <w:pPr>
        <w:pStyle w:val="ListBullet"/>
      </w:pPr>
      <w:r>
        <w:t>Aplicar permutation importance e SHAP, sem interpretar associação como causalidade.</w:t>
      </w:r>
    </w:p>
    <w:p>
      <w:pPr>
        <w:pStyle w:val="Heading1"/>
        <w:keepLines/>
      </w:pPr>
      <w:r>
        <w:t>17. Artefatos produzidos pela EDA</w:t>
      </w:r>
    </w:p>
    <w:p>
      <w:pPr>
        <w:spacing w:after="100" w:line="252" w:lineRule="auto"/>
      </w:pPr>
      <w:r>
        <w:t>A execução persiste onze arquivos tabulares na pasta gold/eda. Esses artefatos documentam os diagnósticos e podem alimentar a modelagem, o README e a apresentação executiva.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320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Artefato</w:t>
            </w:r>
          </w:p>
        </w:tc>
        <w:tc>
          <w:tcPr>
            <w:tcW w:type="dxa" w:w="547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Finalidade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dicionario_variaveis.csv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Contrato analítico das 41 variáveis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missing_values.csv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Diagnóstico de ausências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distribuicao_target.csv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Perfil das classes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associacao_numerica_target.csv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Efeitos e correlações com o target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redundancias_nivel_aluno.csv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Pares correlacionados no nível individual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redundancias_nivel_municipio.csv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Pares correlacionados no nível territorial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taxa_alfabetizacao_uf.csv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Taxas e volumes por UF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taxa_alfabetizacao_municipio.csv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Taxas e volumes municipais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auditoria_data_leakage.csv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Decisão recomendada por variável suspeita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hipoteses_analiticas.csv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Hipóteses e formas de teste</w:t>
            </w:r>
          </w:p>
        </w:tc>
      </w:tr>
      <w:tr>
        <w:tc>
          <w:tcPr>
            <w:tcW w:type="dxa" w:w="432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recomendacoes_modelagem.csv</w:t>
            </w:r>
          </w:p>
        </w:tc>
        <w:tc>
          <w:tcPr>
            <w:tcW w:type="dxa" w:w="547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Contrato inicial da pipeline</w:t>
            </w:r>
          </w:p>
        </w:tc>
      </w:tr>
    </w:tbl>
    <w:p>
      <w:pPr>
        <w:spacing w:after="100" w:line="252" w:lineRule="auto"/>
      </w:pPr>
    </w:p>
    <w:p>
      <w:pPr>
        <w:pStyle w:val="Heading1"/>
        <w:keepLines/>
      </w:pPr>
      <w:r>
        <w:t>18. Limitações e cuidados interpretativos</w:t>
      </w:r>
    </w:p>
    <w:p>
      <w:pPr>
        <w:pStyle w:val="ListBullet"/>
      </w:pPr>
      <w:r>
        <w:t>As features do Atlas representam 2010 e possuem defasagem temporal.</w:t>
      </w:r>
    </w:p>
    <w:p>
      <w:pPr>
        <w:pStyle w:val="ListBullet"/>
      </w:pPr>
      <w:r>
        <w:t>Features municipais aparecem repetidas entre muitos alunos.</w:t>
      </w:r>
    </w:p>
    <w:p>
      <w:pPr>
        <w:pStyle w:val="ListBullet"/>
      </w:pPr>
      <w:r>
        <w:t>Receitas absolutas do Fundeb também refletem porte populacional.</w:t>
      </w:r>
    </w:p>
    <w:p>
      <w:pPr>
        <w:pStyle w:val="ListBullet"/>
      </w:pPr>
      <w:r>
        <w:t>Indicadores do Censo representam o município, não a escola identificada do aluno.</w:t>
      </w:r>
    </w:p>
    <w:p>
      <w:pPr>
        <w:pStyle w:val="ListBullet"/>
      </w:pPr>
      <w:r>
        <w:t>O projeto possui apenas um ano-alvo individual, limitando validação temporal direta.</w:t>
      </w:r>
    </w:p>
    <w:p>
      <w:pPr>
        <w:pStyle w:val="ListBullet"/>
      </w:pPr>
      <w:r>
        <w:t>Outliers não são automaticamente erros e devem ser investigados antes de qualquer remoção.</w:t>
      </w:r>
    </w:p>
    <w:p>
      <w:pPr>
        <w:pStyle w:val="ListBullet"/>
      </w:pPr>
      <w:r>
        <w:t>Achados exploratórios são associativos e não demonstram causalidade.</w:t>
      </w:r>
    </w:p>
    <w:p>
      <w:pPr>
        <w:pStyle w:val="Heading1"/>
        <w:keepLines/>
      </w:pPr>
      <w:r>
        <w:t>19. Resultado final e passagem para a modelagem</w:t>
      </w:r>
    </w:p>
    <w:p>
      <w:pPr>
        <w:spacing w:after="100" w:line="252" w:lineRule="auto"/>
      </w:pPr>
      <w:r>
        <w:t>A execução bem-sucedida do notebook encerra a etapa de entendimento exploratório e estabelece um contrato técnico para o próximo ciclo. A modelagem deverá reutilizar as decisões de leakage, missingness, transformação, encoding, granularidade e validação registradas nesta análise.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Decisão central</w:t>
            </w:r>
          </w:p>
        </w:tc>
        <w:tc>
          <w:tcPr>
            <w:tcW w:type="dxa" w:w="6912"/>
            <w:shd w:fill="D9EAF7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b/>
                <w:color w:val="1F4E79"/>
                <w:sz w:val="17"/>
              </w:rPr>
              <w:t>Diretriz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Features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Baseline apenas com informações disponíveis antes do resultado da prova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Pré-processamento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Imputação e encoding integrados ao pipeline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Validação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Agrupamento territorial para avaliar generalização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Comparação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Baseline simples antes de modelos complexos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Avaliação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Métricas globais e por subgrupos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Interpretação</w:t>
            </w:r>
          </w:p>
        </w:tc>
        <w:tc>
          <w:tcPr>
            <w:tcW w:type="dxa" w:w="6912"/>
            <w:vAlign w:val="center"/>
            <w:tcMar>
              <w:top w:w="85" w:type="dxa"/>
              <w:start w:w="110" w:type="dxa"/>
              <w:bottom w:w="85" w:type="dxa"/>
              <w:end w:w="110" w:type="dxa"/>
            </w:tcMar>
          </w:tcPr>
          <w:p>
            <w:pPr>
              <w:keepLines/>
              <w:spacing w:after="0"/>
            </w:pPr>
            <w:r>
              <w:rPr>
                <w:sz w:val="16"/>
              </w:rPr>
              <w:t>Importância por permutação e SHAP</w:t>
            </w:r>
          </w:p>
        </w:tc>
      </w:tr>
    </w:tbl>
    <w:p>
      <w:pPr>
        <w:spacing w:after="100" w:line="252" w:lineRule="auto"/>
      </w:pPr>
    </w:p>
    <w:p>
      <w:pPr>
        <w:pStyle w:val="Heading1"/>
        <w:keepLines/>
      </w:pPr>
      <w:r>
        <w:t>20. Conclusão</w:t>
      </w:r>
    </w:p>
    <w:p>
      <w:pPr>
        <w:spacing w:after="100" w:line="252" w:lineRule="auto"/>
      </w:pPr>
      <w:r>
        <w:t>A EDA foi construída como uma etapa analítica completa, auditável e orientada à modelagem. O notebook valida o contrato da base, descreve a população e o target, examina qualidade, distribuições e associações, respeita a diferença entre as granularidades individual e municipal, investiga padrões territoriais e avalia separadamente a contribuição dos enriquecimentos.</w:t>
      </w:r>
    </w:p>
    <w:p>
      <w:pPr>
        <w:spacing w:after="100" w:line="252" w:lineRule="auto"/>
      </w:pPr>
      <w:r>
        <w:t>O principal resultado metodológico é a transformação da exploração em decisões concretas: exclusão de variáveis posteriores à prova, tratamento de ausências somente dentro da pipeline, atenção à assimetria financeira, avaliação de redundâncias sem exclusão automática, validação agrupada por território e uso de técnicas de interpretabilidade. Essas escolhas reduzem o risco de leakage e de resultados excessivamente otimistas.</w:t>
      </w:r>
    </w:p>
    <w:p>
      <w:pPr>
        <w:spacing w:after="100" w:line="252" w:lineRule="auto"/>
      </w:pPr>
      <w:r>
        <w:t>Com a execução concluída, o projeto dispõe de evidências e artefatos suficientes para iniciar a preparação e a modelagem supervisionada de forma reproduzível. Os achados quantitativos apresentados nos gráficos e tabelas do notebook deverão ser incorporados ao README e à narrativa executiva após a seleção e validação dos modelos.</w:t>
      </w:r>
    </w:p>
    <w:sectPr w:rsidR="00FC693F" w:rsidRPr="0006063C" w:rsidSect="00034616">
      <w:pgSz w:w="12240" w:h="15840"/>
      <w:pgMar w:top="1080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Resumo da Construção da Análise Exploratória de Dados</dc:title>
  <dc:subject>Tech Challenge Fase 3 - EDA para alfabetização no Brasil</dc:subject>
  <dc:creator>Equipe Tech Challenge</dc:creator>
  <cp:keywords>EDA, alfabetização, ciência de dados, machine learning, FIAP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