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0"/>
      </w:pPr>
    </w:p>
    <w:p>
      <w:pPr>
        <w:pStyle w:val="Title"/>
        <w:spacing w:after="200"/>
        <w:jc w:val="center"/>
      </w:pPr>
      <w:r>
        <w:t>Resumo da Construção da</w:t>
        <w:br/>
        <w:t>Fase de Modelagem</w:t>
      </w:r>
    </w:p>
    <w:p>
      <w:pPr>
        <w:spacing w:after="120"/>
        <w:jc w:val="center"/>
      </w:pPr>
      <w:r>
        <w:rPr>
          <w:b/>
          <w:color w:val="2E75B6"/>
          <w:sz w:val="26"/>
        </w:rPr>
        <w:t>Tech Challenge — Predição e Inteligência Analítica para Alfabetização no Brasil</w:t>
      </w:r>
    </w:p>
    <w:p>
      <w:pPr>
        <w:spacing w:after="760"/>
        <w:jc w:val="center"/>
      </w:pPr>
      <w:r>
        <w:rPr>
          <w:i/>
          <w:color w:val="666666"/>
          <w:sz w:val="21"/>
        </w:rPr>
        <w:t>Síntese metodológica dos notebooks 07 e 08, da preparação rastreável dos dados ao artefato produtivo de Machine Learning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FBAD0"/>
          <w:left w:val="single" w:sz="8" w:space="0" w:color="9FBAD0"/>
          <w:bottom w:val="single" w:sz="8" w:space="0" w:color="9FBAD0"/>
          <w:right w:val="single" w:sz="8" w:space="0" w:color="9FBAD0"/>
          <w:insideH w:val="single" w:sz="8" w:space="0" w:color="9FBAD0"/>
          <w:insideV w:val="single" w:sz="8" w:space="0" w:color="9FBAD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F4E78"/>
              </w:rPr>
              <w:t xml:space="preserve">Escopo: </w:t>
            </w:r>
            <w:r>
              <w:t>Preparação, treinamento, otimização, validação estatística, interpretabilidade, rastreabilidade e persistência da pipeline.</w:t>
            </w:r>
          </w:p>
        </w:tc>
      </w:tr>
    </w:tbl>
    <w:p>
      <w:pPr>
        <w:spacing w:after="0"/>
      </w:pPr>
    </w:p>
    <w:p>
      <w:pPr>
        <w:spacing w:after="36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232"/>
        <w:gridCol w:w="7128"/>
      </w:tblGrid>
      <w:tr>
        <w:trPr>
          <w:tblHeader w:val="true"/>
          <w:cantSplit/>
        </w:trPr>
        <w:tc>
          <w:tcPr>
            <w:tcW w:type="dxa" w:w="223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12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Definição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Notebooks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07_preparacao_para_modelagem_rastreabilidade_databricks.ipynb e 08_modelagem_e_validacao_rastreabilidade_databricks.ipynb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Problema</w:t>
            </w:r>
          </w:p>
        </w:tc>
        <w:tc>
          <w:tcPr>
            <w:tcW w:type="dxa" w:w="7128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Classificação binária supervisionada da condição de alfabetização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Target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in_alfabetizado — classe 0 representa aluno não alfabetizado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Modelo selecionado</w:t>
            </w:r>
          </w:p>
        </w:tc>
        <w:tc>
          <w:tcPr>
            <w:tcW w:type="dxa" w:w="7128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HistGradientBoostingClassifier balanceado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Métrica principal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PR-AUC da classe 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Limiar congelado</w:t>
            </w:r>
          </w:p>
        </w:tc>
        <w:tc>
          <w:tcPr>
            <w:tcW w:type="dxa" w:w="7128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0,50, definido na validação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Ambiente</w:t>
            </w:r>
          </w:p>
        </w:tc>
        <w:tc>
          <w:tcPr>
            <w:tcW w:type="dxa" w:w="71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Databricks, Scikit-learn e armazenamento em Volumes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Visão geral</w:t>
      </w:r>
    </w:p>
    <w:p>
      <w:pPr>
        <w:spacing w:after="120" w:line="264" w:lineRule="auto"/>
      </w:pPr>
      <w:r>
        <w:t>A fase de modelagem foi organizada em dois notebooks complementares. O Notebook 07 transforma as decisões da EDA em um contrato técnico de dados: seleciona features, separa identificadores, cria partições territorialmente independentes e define o pré-processamento reutilizável. O Notebook 08 consome esse contrato para treinar, comparar, otimizar e validar modelos de Machine Learning.</w:t>
      </w:r>
    </w:p>
    <w:p>
      <w:pPr>
        <w:spacing w:after="120" w:line="264" w:lineRule="auto"/>
      </w:pPr>
      <w:r>
        <w:t>A lógica central do projeto não foi escolher simplesmente o algoritmo com maior acurácia. Como o desafio busca identificar alunos em risco de não alfabetização, a classe 0 foi tratada como classe de interesse e a PR-AUC foi adotada como métrica principal. Essa escolha favorece uma avaliação coerente com o desbalanceamento e com o custo de deixar alunos de risco sem alerta.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FBAD0"/>
          <w:left w:val="single" w:sz="8" w:space="0" w:color="9FBAD0"/>
          <w:bottom w:val="single" w:sz="8" w:space="0" w:color="9FBAD0"/>
          <w:right w:val="single" w:sz="8" w:space="0" w:color="9FBAD0"/>
          <w:insideH w:val="single" w:sz="8" w:space="0" w:color="9FBAD0"/>
          <w:insideV w:val="single" w:sz="8" w:space="0" w:color="9FBAD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2F0D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F4E78"/>
              </w:rPr>
              <w:t xml:space="preserve">Resultado central: </w:t>
            </w:r>
            <w:r>
              <w:t>O HistGradientBoosting balanceado apresentou a maior PR-AUC na validação (0,455318) e foi selecionado antes do acesso ao conjunto de teste. O teste foi usado somente uma vez para avaliação final, sem reajuste do modelo ou do limiar.</w:t>
            </w:r>
          </w:p>
        </w:tc>
      </w:tr>
    </w:tbl>
    <w:p>
      <w:pPr>
        <w:spacing w:after="0"/>
      </w:pPr>
    </w:p>
    <w:p>
      <w:pPr>
        <w:pStyle w:val="Heading1"/>
      </w:pPr>
      <w:r>
        <w:t>2. Objetivo da fase de modelagem</w:t>
      </w:r>
    </w:p>
    <w:p>
      <w:pPr>
        <w:spacing w:after="120" w:line="264" w:lineRule="auto"/>
      </w:pPr>
      <w:r>
        <w:t>O objetivo foi desenvolver uma pipeline completa, reproduzível e rastreável para estimar o risco de não alfabetização utilizando apenas informações elegíveis e disponíveis no momento adequado. O processo foi desenhado para apoiar análises educacionais e priorização de ações, sem substituir avaliação pedagógica ou decisão humana qualificada.</w:t>
      </w:r>
    </w:p>
    <w:p>
      <w:pPr>
        <w:pStyle w:val="ListBullet"/>
        <w:spacing w:after="60" w:line="259" w:lineRule="auto"/>
      </w:pPr>
      <w:r>
        <w:t>Impedir data leakage por meio de uma seleção explícita das variáveis.</w:t>
      </w:r>
    </w:p>
    <w:p>
      <w:pPr>
        <w:pStyle w:val="ListBullet"/>
        <w:spacing w:after="60" w:line="259" w:lineRule="auto"/>
      </w:pPr>
      <w:r>
        <w:t>Separar treino, validação e teste por município, respeitando a granularidade territorial.</w:t>
      </w:r>
    </w:p>
    <w:p>
      <w:pPr>
        <w:pStyle w:val="ListBullet"/>
        <w:spacing w:after="60" w:line="259" w:lineRule="auto"/>
      </w:pPr>
      <w:r>
        <w:t>Aprender imputação, encoding e engenharia de atributos somente nos dados de treino.</w:t>
      </w:r>
    </w:p>
    <w:p>
      <w:pPr>
        <w:pStyle w:val="ListBullet"/>
        <w:spacing w:after="60" w:line="259" w:lineRule="auto"/>
      </w:pPr>
      <w:r>
        <w:t>Comparar modelos simples e não lineares sob o mesmo protocolo.</w:t>
      </w:r>
    </w:p>
    <w:p>
      <w:pPr>
        <w:pStyle w:val="ListBullet"/>
        <w:spacing w:after="60" w:line="259" w:lineRule="auto"/>
      </w:pPr>
      <w:r>
        <w:t>Tratar o desbalanceamento e escolher um limiar alinhado à classe de risco.</w:t>
      </w:r>
    </w:p>
    <w:p>
      <w:pPr>
        <w:pStyle w:val="ListBullet"/>
        <w:spacing w:after="60" w:line="259" w:lineRule="auto"/>
      </w:pPr>
      <w:r>
        <w:t>Quantificar incerteza e estabilidade por subgrupos.</w:t>
      </w:r>
    </w:p>
    <w:p>
      <w:pPr>
        <w:pStyle w:val="ListBullet"/>
        <w:spacing w:after="60" w:line="259" w:lineRule="auto"/>
      </w:pPr>
      <w:r>
        <w:t>Persistir a pipeline completa, o schema, os metadados, as métricas e as previsões rastreáveis.</w:t>
      </w:r>
    </w:p>
    <w:p>
      <w:pPr>
        <w:pStyle w:val="Heading1"/>
      </w:pPr>
      <w:r>
        <w:t>3. Arquitetura analítica dos notebooks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440"/>
        <w:gridCol w:w="3960"/>
        <w:gridCol w:w="3960"/>
      </w:tblGrid>
      <w:tr>
        <w:trPr>
          <w:tblHeader w:val="true"/>
          <w:cantSplit/>
        </w:trPr>
        <w:tc>
          <w:tcPr>
            <w:tcW w:type="dxa" w:w="144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96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Notebook 07 — preparação</w:t>
            </w:r>
          </w:p>
        </w:tc>
        <w:tc>
          <w:tcPr>
            <w:tcW w:type="dxa" w:w="396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Notebook 08 — modelagem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Entrada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Base enriquecida final da Gold da Fase 2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Partições e auxiliares persistidos pelo Notebook 07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Decisão principal</w:t>
            </w:r>
          </w:p>
        </w:tc>
        <w:tc>
          <w:tcPr>
            <w:tcW w:type="dxa" w:w="3960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Quais dados podem entrar e como devem ser separados</w:t>
            </w:r>
          </w:p>
        </w:tc>
        <w:tc>
          <w:tcPr>
            <w:tcW w:type="dxa" w:w="3960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Qual modelo e limiar generalizam melhor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Proteção contra leakage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Exclusão de resultados, respostas e identificadores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Pipelines ajustadas somente no treino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Validação</w:t>
            </w:r>
          </w:p>
        </w:tc>
        <w:tc>
          <w:tcPr>
            <w:tcW w:type="dxa" w:w="3960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Municípios sem sobreposição entre as partições</w:t>
            </w:r>
          </w:p>
        </w:tc>
        <w:tc>
          <w:tcPr>
            <w:tcW w:type="dxa" w:w="3960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Validação, CV agrupada e teste final isolado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Saída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Parquets, inventário e módulo de pré-processamento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Pipeline, relatórios, Model Card e previsões</w:t>
            </w:r>
          </w:p>
        </w:tc>
      </w:tr>
    </w:tbl>
    <w:p>
      <w:pPr>
        <w:spacing w:after="0"/>
      </w:pPr>
    </w:p>
    <w:p>
      <w:pPr>
        <w:pStyle w:val="Heading1"/>
      </w:pPr>
      <w:r>
        <w:t>4. Princípios metodológicos</w:t>
      </w:r>
    </w:p>
    <w:p>
      <w:pPr>
        <w:pStyle w:val="ListBullet"/>
        <w:spacing w:after="60" w:line="259" w:lineRule="auto"/>
      </w:pPr>
      <w:r>
        <w:t>Imutabilidade: a base Gold da Fase 2 é somente leitura; todos os resultados são gravados na Fase 3.</w:t>
      </w:r>
    </w:p>
    <w:p>
      <w:pPr>
        <w:pStyle w:val="ListBullet"/>
        <w:spacing w:after="60" w:line="259" w:lineRule="auto"/>
      </w:pPr>
      <w:r>
        <w:t>Reprodutibilidade: random_state = 42 nas separações, amostras e algoritmos compatíveis.</w:t>
      </w:r>
    </w:p>
    <w:p>
      <w:pPr>
        <w:pStyle w:val="ListBullet"/>
        <w:spacing w:after="60" w:line="259" w:lineRule="auto"/>
      </w:pPr>
      <w:r>
        <w:t>Separação de responsabilidades: preparação reutilizável em src/preprocessing.py.</w:t>
      </w:r>
    </w:p>
    <w:p>
      <w:pPr>
        <w:pStyle w:val="ListBullet"/>
        <w:spacing w:after="60" w:line="259" w:lineRule="auto"/>
      </w:pPr>
      <w:r>
        <w:t>Rastreabilidade: id_aluno, id_escola e co_municipio permanecem em arquivos auxiliares, fora das features.</w:t>
      </w:r>
    </w:p>
    <w:p>
      <w:pPr>
        <w:pStyle w:val="ListBullet"/>
        <w:spacing w:after="60" w:line="259" w:lineRule="auto"/>
      </w:pPr>
      <w:r>
        <w:t>Avaliação honesta: validação orienta escolhas; teste confirma o desempenho apenas ao final.</w:t>
      </w:r>
    </w:p>
    <w:p>
      <w:pPr>
        <w:pStyle w:val="ListBullet"/>
        <w:spacing w:after="60" w:line="259" w:lineRule="auto"/>
      </w:pPr>
      <w:r>
        <w:t>Uso responsável: risco previsto apoia priorização, mas não produz diagnóstico definitivo nem causalidade.</w:t>
      </w:r>
    </w:p>
    <w:p>
      <w:pPr>
        <w:pStyle w:val="Heading1"/>
      </w:pPr>
      <w:r>
        <w:t>5. Notebook 07 — preparação para modelagem</w:t>
      </w:r>
    </w:p>
    <w:p>
      <w:pPr>
        <w:pStyle w:val="Heading2"/>
      </w:pPr>
      <w:r>
        <w:t>5.1 Origem, destino e contrato da base</w:t>
      </w:r>
    </w:p>
    <w:p>
      <w:pPr>
        <w:spacing w:after="120" w:line="264" w:lineRule="auto"/>
      </w:pPr>
      <w:r>
        <w:t>O notebook lê base_analitica_final.csv no diretório Gold da Fase 2 e grava os artefatos derivados em /tech_challenge_fase3/modelagem. Essa arquitetura preserva o dado consolidado como referência histórica e concentra os novos produtos da modelagem no diretório correto da Fase 3.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800"/>
        <w:gridCol w:w="1655"/>
        <w:gridCol w:w="1584"/>
        <w:gridCol w:w="4320"/>
      </w:tblGrid>
      <w:tr>
        <w:trPr>
          <w:tblHeader w:val="true"/>
          <w:cantSplit/>
        </w:trPr>
        <w:tc>
          <w:tcPr>
            <w:tcW w:type="dxa" w:w="180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Conjunto</w:t>
            </w:r>
          </w:p>
        </w:tc>
        <w:tc>
          <w:tcPr>
            <w:tcW w:type="dxa" w:w="1655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Registros</w:t>
            </w:r>
          </w:p>
        </w:tc>
        <w:tc>
          <w:tcPr>
            <w:tcW w:type="dxa" w:w="158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Municípios</w:t>
            </w:r>
          </w:p>
        </w:tc>
        <w:tc>
          <w:tcPr>
            <w:tcW w:type="dxa" w:w="432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Participação aproximada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Treino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1.303.743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3.889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66,3% da população modelável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Validação</w:t>
            </w:r>
          </w:p>
        </w:tc>
        <w:tc>
          <w:tcPr>
            <w:tcW w:type="dxa" w:w="1655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363.471</w:t>
            </w:r>
          </w:p>
        </w:tc>
        <w:tc>
          <w:tcPr>
            <w:tcW w:type="dxa" w:w="1584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833</w:t>
            </w:r>
          </w:p>
        </w:tc>
        <w:tc>
          <w:tcPr>
            <w:tcW w:type="dxa" w:w="4320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18,5% da população modelável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Teste</w:t>
            </w:r>
          </w:p>
        </w:tc>
        <w:tc>
          <w:tcPr>
            <w:tcW w:type="dxa" w:w="16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298.881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834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15,2% da população modelável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Total modelável</w:t>
            </w:r>
          </w:p>
        </w:tc>
        <w:tc>
          <w:tcPr>
            <w:tcW w:type="dxa" w:w="1655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1.966.095</w:t>
            </w:r>
          </w:p>
        </w:tc>
        <w:tc>
          <w:tcPr>
            <w:tcW w:type="dxa" w:w="1584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5.556</w:t>
            </w:r>
          </w:p>
        </w:tc>
        <w:tc>
          <w:tcPr>
            <w:tcW w:type="dxa" w:w="4320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510 registros sem município removidos apenas da modelagem</w:t>
            </w:r>
          </w:p>
        </w:tc>
      </w:tr>
    </w:tbl>
    <w:p>
      <w:pPr>
        <w:spacing w:after="0"/>
      </w:pPr>
    </w:p>
    <w:p>
      <w:pPr>
        <w:pStyle w:val="Heading2"/>
      </w:pPr>
      <w:r>
        <w:t>5.2 Auditoria e seleção das variáveis</w:t>
      </w:r>
    </w:p>
    <w:p>
      <w:pPr>
        <w:spacing w:after="120" w:line="264" w:lineRule="auto"/>
      </w:pPr>
      <w:r>
        <w:t>As 41 variáveis da base foram classificadas por papel e elegibilidade. A decisão final preservou 16 features preditivas, manteve in_alfabetizado exclusivamente como target e separou identificadores para rastreabilidade. Variáveis derivadas da aplicação ou do resultado da prova foram excluídas por risco de vazamento.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944"/>
        <w:gridCol w:w="2448"/>
        <w:gridCol w:w="4968"/>
      </w:tblGrid>
      <w:tr>
        <w:trPr>
          <w:tblHeader w:val="true"/>
          <w:cantSplit/>
        </w:trPr>
        <w:tc>
          <w:tcPr>
            <w:tcW w:type="dxa" w:w="194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type="dxa" w:w="244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Tratamento</w:t>
            </w:r>
          </w:p>
        </w:tc>
        <w:tc>
          <w:tcPr>
            <w:tcW w:type="dxa" w:w="496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Razão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Target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in_alfabetizado fora de X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É o resultado que o modelo deve aprender a prever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Resultado da prova</w:t>
            </w:r>
          </w:p>
        </w:tc>
        <w:tc>
          <w:tcPr>
            <w:tcW w:type="dxa" w:w="2448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vl_proficiencia_lp excluída</w:t>
            </w:r>
          </w:p>
        </w:tc>
        <w:tc>
          <w:tcPr>
            <w:tcW w:type="dxa" w:w="4968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Participa diretamente da definição da alfabetização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Respostas e gabaritos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Excluídos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Permitem reconstruir desempenho e target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Presença e preenchimento</w:t>
            </w:r>
          </w:p>
        </w:tc>
        <w:tc>
          <w:tcPr>
            <w:tcW w:type="dxa" w:w="2448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Excluídos</w:t>
            </w:r>
          </w:p>
        </w:tc>
        <w:tc>
          <w:tcPr>
            <w:tcW w:type="dxa" w:w="4968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Informações da aplicação, posteriores ao contexto preditivo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Identificadores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Auxiliares, nunca features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Rastreabilidade sem memorização de aluno, escola ou município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Contexto</w:t>
            </w:r>
          </w:p>
        </w:tc>
        <w:tc>
          <w:tcPr>
            <w:tcW w:type="dxa" w:w="2448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16 features mantidas</w:t>
            </w:r>
          </w:p>
        </w:tc>
        <w:tc>
          <w:tcPr>
            <w:tcW w:type="dxa" w:w="4968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Informações territoriais, educacionais, socioeconômicas e financeiras</w:t>
            </w:r>
          </w:p>
        </w:tc>
      </w:tr>
    </w:tbl>
    <w:p>
      <w:pPr>
        <w:spacing w:after="0"/>
      </w:pPr>
    </w:p>
    <w:p>
      <w:pPr>
        <w:pStyle w:val="Heading2"/>
      </w:pPr>
      <w:r>
        <w:t>5.3 Separação territorial</w:t>
      </w:r>
    </w:p>
    <w:p>
      <w:pPr>
        <w:spacing w:after="120" w:line="264" w:lineRule="auto"/>
      </w:pPr>
      <w:r>
        <w:t>A divisão utilizou GroupShuffleSplit com co_municipio como grupo. Assim, alunos do mesmo município permanecem juntos e nenhum município aparece simultaneamente em treino, validação e teste. As interseções observadas entre os três conjuntos foram iguais a zero.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FBAD0"/>
          <w:left w:val="single" w:sz="8" w:space="0" w:color="9FBAD0"/>
          <w:bottom w:val="single" w:sz="8" w:space="0" w:color="9FBAD0"/>
          <w:right w:val="single" w:sz="8" w:space="0" w:color="9FBAD0"/>
          <w:insideH w:val="single" w:sz="8" w:space="0" w:color="9FBAD0"/>
          <w:insideV w:val="single" w:sz="8" w:space="0" w:color="9FBAD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C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F4E78"/>
              </w:rPr>
              <w:t xml:space="preserve">Por que isso importa: </w:t>
            </w:r>
            <w:r>
              <w:t>Muitas features são municipais e se repetem entre alunos. Um split aleatório por aluno permitiria que o modelo reconhecesse contextos já vistos, produzindo uma estimativa de desempenho excessivamente otimista.</w:t>
            </w:r>
          </w:p>
        </w:tc>
      </w:tr>
    </w:tbl>
    <w:p>
      <w:pPr>
        <w:spacing w:after="0"/>
      </w:pPr>
    </w:p>
    <w:p>
      <w:pPr>
        <w:pStyle w:val="Heading1"/>
      </w:pPr>
      <w:r>
        <w:t>6. Pré-processamento integrado à pipeline</w:t>
      </w:r>
    </w:p>
    <w:p>
      <w:pPr>
        <w:spacing w:after="120" w:line="264" w:lineRule="auto"/>
      </w:pPr>
      <w:r>
        <w:t>O pré-processamento foi externalizado para src/preprocessing.py e carregado pelo Notebook 08 a partir de /tech_challenge_fase3/src. A função criar_pre_processamento() produz uma arquitetura única, clonável e reutilizável, evitando que cada modelo implemente transformações diferentes.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944"/>
        <w:gridCol w:w="3240"/>
        <w:gridCol w:w="4176"/>
      </w:tblGrid>
      <w:tr>
        <w:trPr>
          <w:tblHeader w:val="true"/>
          <w:cantSplit/>
        </w:trPr>
        <w:tc>
          <w:tcPr>
            <w:tcW w:type="dxa" w:w="194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24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Implementação</w:t>
            </w:r>
          </w:p>
        </w:tc>
        <w:tc>
          <w:tcPr>
            <w:tcW w:type="dxa" w:w="4176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Finalidade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Engenharia de atributos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IndicadoresAusencia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Registra indisponibilidade por Atlas, Censo, Fundeb e Indicadores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Numéricas</w:t>
            </w:r>
          </w:p>
        </w:tc>
        <w:tc>
          <w:tcPr>
            <w:tcW w:type="dxa" w:w="3240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SimpleImputer(strategy="median")</w:t>
            </w:r>
          </w:p>
        </w:tc>
        <w:tc>
          <w:tcPr>
            <w:tcW w:type="dxa" w:w="4176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Imputa com estatística aprendida apenas no treino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Categóricas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OneHotEncoder(handle_unknown="ignore")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Representa UF e dependência sem falhar com categorias novas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Escala</w:t>
            </w:r>
          </w:p>
        </w:tc>
        <w:tc>
          <w:tcPr>
            <w:tcW w:type="dxa" w:w="3240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StandardScaler quando requerido</w:t>
            </w:r>
          </w:p>
        </w:tc>
        <w:tc>
          <w:tcPr>
            <w:tcW w:type="dxa" w:w="4176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Adequa magnitude para Regressão Logística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Saída densa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float32 para HistGradientBoosting</w:t>
            </w:r>
          </w:p>
        </w:tc>
        <w:tc>
          <w:tcPr>
            <w:tcW w:type="dxa" w:w="41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Compatibiliza o estimador e controla o uso de memória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Encapsulamento</w:t>
            </w:r>
          </w:p>
        </w:tc>
        <w:tc>
          <w:tcPr>
            <w:tcW w:type="dxa" w:w="3240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Pipeline + ColumnTransformer</w:t>
            </w:r>
          </w:p>
        </w:tc>
        <w:tc>
          <w:tcPr>
            <w:tcW w:type="dxa" w:w="4176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Garante fit/transform idêntico em treino e inferência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t>Na validação técnica do Notebook 07, uma amostra de 10.000 registros passou de 16 features de entrada para 47 features transformadas, confirmando o funcionamento conjunto de imputação, encoding e indicadores de ausência.</w:t>
      </w:r>
    </w:p>
    <w:p>
      <w:pPr>
        <w:pStyle w:val="Heading1"/>
      </w:pPr>
      <w:r>
        <w:t>7. Persistência e rastreabilidade da preparação</w:t>
      </w:r>
    </w:p>
    <w:p>
      <w:pPr>
        <w:pStyle w:val="ListBullet"/>
        <w:spacing w:after="60" w:line="259" w:lineRule="auto"/>
      </w:pPr>
      <w:r>
        <w:t>treino.parquet, validacao.parquet e teste.parquet, contendo features e target.</w:t>
      </w:r>
    </w:p>
    <w:p>
      <w:pPr>
        <w:pStyle w:val="ListBullet"/>
        <w:spacing w:after="60" w:line="259" w:lineRule="auto"/>
      </w:pPr>
      <w:r>
        <w:t>auxiliares_treino.parquet, auxiliares_validacao.parquet e auxiliares_teste.parquet, contendo identificadores alinhados linha a linha.</w:t>
      </w:r>
    </w:p>
    <w:p>
      <w:pPr>
        <w:pStyle w:val="ListBullet"/>
        <w:spacing w:after="60" w:line="259" w:lineRule="auto"/>
      </w:pPr>
      <w:r>
        <w:t>inventário e decisões de elegibilidade, documentando a origem das 16 features.</w:t>
      </w:r>
    </w:p>
    <w:p>
      <w:pPr>
        <w:pStyle w:val="ListBullet"/>
        <w:spacing w:after="60" w:line="259" w:lineRule="auto"/>
      </w:pPr>
      <w:r>
        <w:t>preprocessing.py e __init__.py em src, permitindo importação limpa no Databricks.</w:t>
      </w:r>
    </w:p>
    <w:p>
      <w:pPr>
        <w:pStyle w:val="Heading1"/>
      </w:pPr>
      <w:r>
        <w:t>8. Notebook 08 — modelos candidatos e baselines</w:t>
      </w:r>
    </w:p>
    <w:p>
      <w:pPr>
        <w:spacing w:after="120" w:line="264" w:lineRule="auto"/>
      </w:pPr>
      <w:r>
        <w:t>Todos os candidatos receberam as mesmas partições e o mesmo contrato de pré-processamento. A comparação inicial mostrou por que a acurácia, isoladamente, não atende ao problema: o DummyClassifier obteve 65,1% de acurácia, mas recall zero para alunos não alfabetizados.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872"/>
        <w:gridCol w:w="1080"/>
        <w:gridCol w:w="1296"/>
        <w:gridCol w:w="1296"/>
        <w:gridCol w:w="1080"/>
        <w:gridCol w:w="2736"/>
      </w:tblGrid>
      <w:tr>
        <w:trPr>
          <w:tblHeader w:val="true"/>
          <w:cantSplit/>
        </w:trPr>
        <w:tc>
          <w:tcPr>
            <w:tcW w:type="dxa" w:w="1872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Modelo inicial</w:t>
            </w:r>
          </w:p>
        </w:tc>
        <w:tc>
          <w:tcPr>
            <w:tcW w:type="dxa" w:w="108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Acurácia</w:t>
            </w:r>
          </w:p>
        </w:tc>
        <w:tc>
          <w:tcPr>
            <w:tcW w:type="dxa" w:w="1296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Recall classe 0</w:t>
            </w:r>
          </w:p>
        </w:tc>
        <w:tc>
          <w:tcPr>
            <w:tcW w:type="dxa" w:w="1296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Precisão classe 0</w:t>
            </w:r>
          </w:p>
        </w:tc>
        <w:tc>
          <w:tcPr>
            <w:tcW w:type="dxa" w:w="108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F1 classe 0</w:t>
            </w:r>
          </w:p>
        </w:tc>
        <w:tc>
          <w:tcPr>
            <w:tcW w:type="dxa" w:w="2736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DummyClassifier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0,6507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0,0000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0,0000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0,0000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Prevê somente a classe majoritária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Logística balanceada</w:t>
            </w:r>
          </w:p>
        </w:tc>
        <w:tc>
          <w:tcPr>
            <w:tcW w:type="dxa" w:w="1080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0,5656</w:t>
            </w:r>
          </w:p>
        </w:tc>
        <w:tc>
          <w:tcPr>
            <w:tcW w:type="dxa" w:w="1296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0,7187</w:t>
            </w:r>
          </w:p>
        </w:tc>
        <w:tc>
          <w:tcPr>
            <w:tcW w:type="dxa" w:w="1296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0,4275</w:t>
            </w:r>
          </w:p>
        </w:tc>
        <w:tc>
          <w:tcPr>
            <w:tcW w:type="dxa" w:w="1080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0,5361</w:t>
            </w:r>
          </w:p>
        </w:tc>
        <w:tc>
          <w:tcPr>
            <w:tcW w:type="dxa" w:w="2736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Recupera a maioria dos alunos de risco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Logística sem balanceamento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0,6547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0,0674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0,5460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0,1199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Boa acurácia, mas perde quase toda a classe 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Random Forest balanceada</w:t>
            </w:r>
          </w:p>
        </w:tc>
        <w:tc>
          <w:tcPr>
            <w:tcW w:type="dxa" w:w="1080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0,5635</w:t>
            </w:r>
          </w:p>
        </w:tc>
        <w:tc>
          <w:tcPr>
            <w:tcW w:type="dxa" w:w="1296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0,7261</w:t>
            </w:r>
          </w:p>
        </w:tc>
        <w:tc>
          <w:tcPr>
            <w:tcW w:type="dxa" w:w="1296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0,4266</w:t>
            </w:r>
          </w:p>
        </w:tc>
        <w:tc>
          <w:tcPr>
            <w:tcW w:type="dxa" w:w="1080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0,5375</w:t>
            </w:r>
          </w:p>
        </w:tc>
        <w:tc>
          <w:tcPr>
            <w:tcW w:type="dxa" w:w="2736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Maior recall inicial entre os candidatos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HistGradientBoosting inicial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0,5998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0,5516</w:t>
            </w:r>
          </w:p>
        </w:tc>
        <w:tc>
          <w:tcPr>
            <w:tcW w:type="dxa" w:w="12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0,4416</w:t>
            </w:r>
          </w:p>
        </w:tc>
        <w:tc>
          <w:tcPr>
            <w:tcW w:type="dxa" w:w="1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0,4905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Boa precisão inicial; seguiu para tuning</w:t>
            </w:r>
          </w:p>
        </w:tc>
      </w:tr>
    </w:tbl>
    <w:p>
      <w:pPr>
        <w:spacing w:after="0"/>
      </w:pPr>
    </w:p>
    <w:p>
      <w:pPr>
        <w:pStyle w:val="Heading1"/>
      </w:pPr>
      <w:r>
        <w:t>9. Desbalanceamento e limiar de decisão</w:t>
      </w:r>
    </w:p>
    <w:p>
      <w:pPr>
        <w:spacing w:after="120" w:line="264" w:lineRule="auto"/>
      </w:pPr>
      <w:r>
        <w:t>No treino, a classe 0 representa 33,47% dos registros e a classe 1 representa 66,53%. O projeto adotou ponderação nos modelos compatíveis em vez de duplicar ou remover observações. Em seguida, as probabilidades da classe 0 foram analisadas por curvas Precision-Recall e ROC.</w:t>
      </w:r>
    </w:p>
    <w:p>
      <w:pPr>
        <w:spacing w:after="120" w:line="264" w:lineRule="auto"/>
      </w:pPr>
      <w:r>
        <w:t>O limiar deixa de ser um detalhe automático e passa a representar uma decisão operacional: limiares menores aumentam a cobertura dos alunos de risco, mas também elevam falsos alertas; limiares maiores melhoram a precisão, porém podem deixar mais alunos não alfabetizados sem identificação.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FBAD0"/>
          <w:left w:val="single" w:sz="8" w:space="0" w:color="9FBAD0"/>
          <w:bottom w:val="single" w:sz="8" w:space="0" w:color="9FBAD0"/>
          <w:right w:val="single" w:sz="8" w:space="0" w:color="9FBAD0"/>
          <w:insideH w:val="single" w:sz="8" w:space="0" w:color="9FBAD0"/>
          <w:insideV w:val="single" w:sz="8" w:space="0" w:color="9FBAD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2C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F4E78"/>
              </w:rPr>
              <w:t xml:space="preserve">Regra de decisão: </w:t>
            </w:r>
            <w:r>
              <w:t>Entre os limiares que atingem recall mínimo de 70% para a classe 0, selecionar aquele com maior precisão; em caso de empate, usar o maior F1. O limiar final encontrado na validação foi 0,50.</w:t>
            </w:r>
          </w:p>
        </w:tc>
      </w:tr>
    </w:tbl>
    <w:p>
      <w:pPr>
        <w:spacing w:after="0"/>
      </w:pPr>
    </w:p>
    <w:p>
      <w:pPr>
        <w:pStyle w:val="Heading1"/>
      </w:pPr>
      <w:r>
        <w:t>10. Otimização de hiperparâmetros</w:t>
      </w:r>
    </w:p>
    <w:p>
      <w:pPr>
        <w:spacing w:after="120" w:line="264" w:lineRule="auto"/>
      </w:pPr>
      <w:r>
        <w:t>A otimização utilizou uma amostra de 25% dos municípios do treino para controlar custo computacional. O RandomizedSearchCV avaliou quatro configurações por família, com StratifiedGroupKFold de três dobras, PR-AUC da classe 0 como scoring principal e n_jobs=1 para maior estabilidade no Databricks.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880"/>
        <w:gridCol w:w="6480"/>
      </w:tblGrid>
      <w:tr>
        <w:trPr>
          <w:tblHeader w:val="true"/>
          <w:cantSplit/>
        </w:trPr>
        <w:tc>
          <w:tcPr>
            <w:tcW w:type="dxa" w:w="288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Controle experimental</w:t>
            </w:r>
          </w:p>
        </w:tc>
        <w:tc>
          <w:tcPr>
            <w:tcW w:type="dxa" w:w="648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Decisão aplicada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Dados de tuning</w:t>
            </w:r>
          </w:p>
        </w:tc>
        <w:tc>
          <w:tcPr>
            <w:tcW w:type="dxa" w:w="6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Somente amostra territorial do treino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Validação cruzada</w:t>
            </w:r>
          </w:p>
        </w:tc>
        <w:tc>
          <w:tcPr>
            <w:tcW w:type="dxa" w:w="6480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Três dobras estratificadas e agrupadas por município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Métrica primária</w:t>
            </w:r>
          </w:p>
        </w:tc>
        <w:tc>
          <w:tcPr>
            <w:tcW w:type="dxa" w:w="6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PR-AUC da classe 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Busca</w:t>
            </w:r>
          </w:p>
        </w:tc>
        <w:tc>
          <w:tcPr>
            <w:tcW w:type="dxa" w:w="6480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RandomizedSearchCV com espaço compacto e quatro iterações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Diagnóstico</w:t>
            </w:r>
          </w:p>
        </w:tc>
        <w:tc>
          <w:tcPr>
            <w:tcW w:type="dxa" w:w="6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Média, dispersão entre dobras, tempo e gap treino-CV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Reajuste</w:t>
            </w:r>
          </w:p>
        </w:tc>
        <w:tc>
          <w:tcPr>
            <w:tcW w:type="dxa" w:w="6480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Melhor configuração de cada família treinada no treino completo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Seleção final</w:t>
            </w:r>
          </w:p>
        </w:tc>
        <w:tc>
          <w:tcPr>
            <w:tcW w:type="dxa" w:w="6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Comparação das pipelines reajustadas no conjunto de validação</w:t>
            </w:r>
          </w:p>
        </w:tc>
      </w:tr>
    </w:tbl>
    <w:p>
      <w:pPr>
        <w:spacing w:after="0"/>
      </w:pPr>
    </w:p>
    <w:p>
      <w:pPr>
        <w:pStyle w:val="Heading1"/>
      </w:pPr>
      <w:r>
        <w:t>11. Como o HistGradientBoosting foi escolhido</w:t>
      </w:r>
    </w:p>
    <w:p>
      <w:pPr>
        <w:spacing w:after="120" w:line="264" w:lineRule="auto"/>
      </w:pPr>
      <w:r>
        <w:t>A escolha ocorreu no item 10.7, antes da avaliação final no teste. As pipelines otimizadas foram aplicadas ao conjunto de validação e ordenadas pela PR-AUC da classe 0. O HistGradientBoosting balanceado alcançou o maior valor e, por isso, tornou-se o candidato congelado.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951"/>
        <w:gridCol w:w="6408"/>
      </w:tblGrid>
      <w:tr>
        <w:trPr>
          <w:tblHeader w:val="true"/>
          <w:cantSplit/>
        </w:trPr>
        <w:tc>
          <w:tcPr>
            <w:tcW w:type="dxa" w:w="2951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Decisão congelada</w:t>
            </w:r>
          </w:p>
        </w:tc>
        <w:tc>
          <w:tcPr>
            <w:tcW w:type="dxa" w:w="6408"/>
            <w:shd w:fill="2E75B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Resultado na validação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Modelo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Hist_Gradient_Boosting_balanceado</w:t>
            </w:r>
          </w:p>
        </w:tc>
      </w:tr>
      <w:tr>
        <w:trPr>
          <w:cantSplit/>
        </w:trPr>
        <w:tc>
          <w:tcPr>
            <w:tcW w:type="dxa" w:w="2951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Métrica de seleção</w:t>
            </w:r>
          </w:p>
        </w:tc>
        <w:tc>
          <w:tcPr>
            <w:tcW w:type="dxa" w:w="6408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PR-AUC da classe 0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PR-AUC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0,455318</w:t>
            </w:r>
          </w:p>
        </w:tc>
      </w:tr>
      <w:tr>
        <w:trPr>
          <w:cantSplit/>
        </w:trPr>
        <w:tc>
          <w:tcPr>
            <w:tcW w:type="dxa" w:w="2951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Limiar</w:t>
            </w:r>
          </w:p>
        </w:tc>
        <w:tc>
          <w:tcPr>
            <w:tcW w:type="dxa" w:w="6408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0,50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Critério do limiar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Maior precisão com recall mínimo de 70%</w:t>
            </w:r>
          </w:p>
        </w:tc>
      </w:tr>
      <w:tr>
        <w:trPr>
          <w:cantSplit/>
        </w:trPr>
        <w:tc>
          <w:tcPr>
            <w:tcW w:type="dxa" w:w="2951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Recall da classe 0</w:t>
            </w:r>
          </w:p>
        </w:tc>
        <w:tc>
          <w:tcPr>
            <w:tcW w:type="dxa" w:w="6408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0,712683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Precisão da classe 0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0,428983</w:t>
            </w:r>
          </w:p>
        </w:tc>
      </w:tr>
      <w:tr>
        <w:trPr>
          <w:cantSplit/>
        </w:trPr>
        <w:tc>
          <w:tcPr>
            <w:tcW w:type="dxa" w:w="2951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F1 da classe 0</w:t>
            </w:r>
          </w:p>
        </w:tc>
        <w:tc>
          <w:tcPr>
            <w:tcW w:type="dxa" w:w="6408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0,535584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Matriz de confusão</w:t>
            </w:r>
          </w:p>
        </w:tc>
        <w:tc>
          <w:tcPr>
            <w:tcW w:type="dxa" w:w="64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VP 90.478 | FN 36.476 | FP 120.435 | VN 116.082</w:t>
            </w:r>
          </w:p>
        </w:tc>
      </w:tr>
      <w:tr>
        <w:trPr>
          <w:cantSplit/>
        </w:trPr>
        <w:tc>
          <w:tcPr>
            <w:tcW w:type="dxa" w:w="2951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Teste utilizado nessa escolha?</w:t>
            </w:r>
          </w:p>
        </w:tc>
        <w:tc>
          <w:tcPr>
            <w:tcW w:type="dxa" w:w="6408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Não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FBAD0"/>
          <w:left w:val="single" w:sz="8" w:space="0" w:color="9FBAD0"/>
          <w:bottom w:val="single" w:sz="8" w:space="0" w:color="9FBAD0"/>
          <w:right w:val="single" w:sz="8" w:space="0" w:color="9FBAD0"/>
          <w:insideH w:val="single" w:sz="8" w:space="0" w:color="9FBAD0"/>
          <w:insideV w:val="single" w:sz="8" w:space="0" w:color="9FBAD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2F0D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F4E78"/>
              </w:rPr>
              <w:t xml:space="preserve">Interpretação: </w:t>
            </w:r>
            <w:r>
              <w:t>O modelo identificou aproximadamente 71 de cada 100 alunos realmente não alfabetizados na validação. Como contrapartida, parte dos alertas foi falsa. Esse trade-off é compatível com uma estratégia de triagem, desde que o alerta seja usado para investigação e apoio, não para rotulação definitiva.</w:t>
            </w:r>
          </w:p>
        </w:tc>
      </w:tr>
    </w:tbl>
    <w:p>
      <w:pPr>
        <w:spacing w:after="0"/>
      </w:pPr>
    </w:p>
    <w:p>
      <w:pPr>
        <w:pStyle w:val="Heading1"/>
      </w:pPr>
      <w:r>
        <w:t>12. Avaliação final e validação estatística</w:t>
      </w:r>
    </w:p>
    <w:p>
      <w:pPr>
        <w:spacing w:after="120" w:line="264" w:lineRule="auto"/>
      </w:pPr>
      <w:r>
        <w:t>Após congelar modelo, hiperparâmetros e limiar, o item 11 acessou o conjunto de teste uma única vez. Foram calculadas métricas de discriminação, classificação e probabilidade, além da matriz de confusão. O resultado do teste não retorna ao treinamento e não altera a decisão previamente registrada.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015"/>
        <w:gridCol w:w="3528"/>
        <w:gridCol w:w="3816"/>
      </w:tblGrid>
      <w:tr>
        <w:trPr>
          <w:tblHeader w:val="true"/>
          <w:cantSplit/>
        </w:trPr>
        <w:tc>
          <w:tcPr>
            <w:tcW w:type="dxa" w:w="2015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Análise</w:t>
            </w:r>
          </w:p>
        </w:tc>
        <w:tc>
          <w:tcPr>
            <w:tcW w:type="dxa" w:w="352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 que verifica</w:t>
            </w:r>
          </w:p>
        </w:tc>
        <w:tc>
          <w:tcPr>
            <w:tcW w:type="dxa" w:w="3816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Conclusão metodológica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PR-AUC e ROC-AUC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Ordenação do risco sem depender de um único limiar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Mede capacidade discriminativa fora da amostra</w:t>
            </w:r>
          </w:p>
        </w:tc>
      </w:tr>
      <w:tr>
        <w:trPr>
          <w:cantSplit/>
        </w:trPr>
        <w:tc>
          <w:tcPr>
            <w:tcW w:type="dxa" w:w="2015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Recall, precisão e F1</w:t>
            </w:r>
          </w:p>
        </w:tc>
        <w:tc>
          <w:tcPr>
            <w:tcW w:type="dxa" w:w="3528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Cobertura e qualidade dos alertas da classe 0</w:t>
            </w:r>
          </w:p>
        </w:tc>
        <w:tc>
          <w:tcPr>
            <w:tcW w:type="dxa" w:w="3816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Traduz o ponto operacional congelado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Balanced accuracy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Equilíbrio do desempenho entre as classes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Evita domínio da classe majoritária</w:t>
            </w:r>
          </w:p>
        </w:tc>
      </w:tr>
      <w:tr>
        <w:trPr>
          <w:cantSplit/>
        </w:trPr>
        <w:tc>
          <w:tcPr>
            <w:tcW w:type="dxa" w:w="2015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Brier e calibração</w:t>
            </w:r>
          </w:p>
        </w:tc>
        <w:tc>
          <w:tcPr>
            <w:tcW w:type="dxa" w:w="3528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Correspondência entre probabilidade e frequência real</w:t>
            </w:r>
          </w:p>
        </w:tc>
        <w:tc>
          <w:tcPr>
            <w:tcW w:type="dxa" w:w="3816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Indica se o score pode ser lido como risco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Bootstrap municipal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Incerteza com dependência territorial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Produz intervalos de confiança de 95%</w:t>
            </w:r>
          </w:p>
        </w:tc>
      </w:tr>
      <w:tr>
        <w:trPr>
          <w:cantSplit/>
        </w:trPr>
        <w:tc>
          <w:tcPr>
            <w:tcW w:type="dxa" w:w="2015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McNemar + bootstrap pareado</w:t>
            </w:r>
          </w:p>
        </w:tc>
        <w:tc>
          <w:tcPr>
            <w:tcW w:type="dxa" w:w="3528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Diferença contra modelo alternativo</w:t>
            </w:r>
          </w:p>
        </w:tc>
        <w:tc>
          <w:tcPr>
            <w:tcW w:type="dxa" w:w="3816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Avalia consistência dos ganhos nas mesmas observações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Subgrupos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Desempenho por UF, região e dependência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Identifica degradações ocultas pela média geral</w:t>
            </w:r>
          </w:p>
        </w:tc>
      </w:tr>
    </w:tbl>
    <w:p>
      <w:pPr>
        <w:spacing w:after="0"/>
      </w:pPr>
    </w:p>
    <w:p>
      <w:pPr>
        <w:pStyle w:val="Heading1"/>
      </w:pPr>
      <w:r>
        <w:t>13. Interpretabilidade e análise de erros</w:t>
      </w:r>
    </w:p>
    <w:p>
      <w:pPr>
        <w:spacing w:after="120" w:line="264" w:lineRule="auto"/>
      </w:pPr>
      <w:r>
        <w:t>A Permutation Importance foi adotada como método principal de interpretação global. Cada feature original é embaralhada em uma amostra reprodutível do teste e mede-se a queda na PR-AUC; quanto maior a queda, maior a dependência preditiva da pipeline em relação àquela variável.</w:t>
      </w:r>
    </w:p>
    <w:p>
      <w:pPr>
        <w:spacing w:after="120" w:line="264" w:lineRule="auto"/>
      </w:pPr>
      <w:r>
        <w:t>O SHAP foi incluído como análise complementar quando a biblioteca estiver disponível. Para o HistGradientBoosting, os valores originalmente associados à classe 1 têm o sinal invertido para manter a narrativa centrada no risco da classe 0. Em ambos os métodos, importância preditiva não deve ser interpretada como efeito causal.</w:t>
      </w:r>
    </w:p>
    <w:p>
      <w:pPr>
        <w:spacing w:after="120" w:line="264" w:lineRule="auto"/>
      </w:pPr>
      <w:r>
        <w:t>A análise de erros reúne probabilidades, classes reais, previsões e identificadores auxiliares. Cada linha é classificada como verdadeiro positivo, falso negativo, falso positivo ou verdadeiro negativo, permitindo localizar territórios e grupos nos quais o modelo necessita de investigação adicional.</w:t>
      </w:r>
    </w:p>
    <w:p>
      <w:pPr>
        <w:pStyle w:val="Heading1"/>
      </w:pPr>
      <w:r>
        <w:t>14. Aplicação estratégica no desafio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015"/>
        <w:gridCol w:w="3600"/>
        <w:gridCol w:w="3744"/>
      </w:tblGrid>
      <w:tr>
        <w:trPr>
          <w:tblHeader w:val="true"/>
          <w:cantSplit/>
        </w:trPr>
        <w:tc>
          <w:tcPr>
            <w:tcW w:type="dxa" w:w="2015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Saída do modelo</w:t>
            </w:r>
          </w:p>
        </w:tc>
        <w:tc>
          <w:tcPr>
            <w:tcW w:type="dxa" w:w="3600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Uso adequado</w:t>
            </w:r>
          </w:p>
        </w:tc>
        <w:tc>
          <w:tcPr>
            <w:tcW w:type="dxa" w:w="374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Cuidado necessário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Probabilidade de risco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Ordenar casos para análise e planejamento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Não equivale a diagnóstico individual</w:t>
            </w:r>
          </w:p>
        </w:tc>
      </w:tr>
      <w:tr>
        <w:trPr>
          <w:cantSplit/>
        </w:trPr>
        <w:tc>
          <w:tcPr>
            <w:tcW w:type="dxa" w:w="2015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Classe no limiar 0,50</w:t>
            </w:r>
          </w:p>
        </w:tc>
        <w:tc>
          <w:tcPr>
            <w:tcW w:type="dxa" w:w="3600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Criar fila de atenção com recall mínimo definido</w:t>
            </w:r>
          </w:p>
        </w:tc>
        <w:tc>
          <w:tcPr>
            <w:tcW w:type="dxa" w:w="3744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Há falsos positivos e falsos negativos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Métricas por território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Identificar heterogeneidade e monitorar cobertura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Evitar ranking simplista ou julgamento causal</w:t>
            </w:r>
          </w:p>
        </w:tc>
      </w:tr>
      <w:tr>
        <w:trPr>
          <w:cantSplit/>
        </w:trPr>
        <w:tc>
          <w:tcPr>
            <w:tcW w:type="dxa" w:w="2015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Importância de features</w:t>
            </w:r>
          </w:p>
        </w:tc>
        <w:tc>
          <w:tcPr>
            <w:tcW w:type="dxa" w:w="3600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Compreender dependências do modelo</w:t>
            </w:r>
          </w:p>
        </w:tc>
        <w:tc>
          <w:tcPr>
            <w:tcW w:type="dxa" w:w="3744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Não afirmar que a feature causa alfabetização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Previsões rastreáveis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Auditar resultados e erros por observação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Restringir uso de identificadores e proteger dados</w:t>
            </w:r>
          </w:p>
        </w:tc>
      </w:tr>
    </w:tbl>
    <w:p>
      <w:pPr>
        <w:spacing w:after="0"/>
      </w:pPr>
    </w:p>
    <w:p>
      <w:pPr>
        <w:pStyle w:val="Heading1"/>
      </w:pPr>
      <w:r>
        <w:t>15. Reprodutibilidade e práticas produtivas</w:t>
      </w:r>
    </w:p>
    <w:p>
      <w:pPr>
        <w:pStyle w:val="ListBullet"/>
        <w:spacing w:after="60" w:line="259" w:lineRule="auto"/>
      </w:pPr>
      <w:r>
        <w:t>A pipeline joblib contém engenharia de atributos, imputação, encoding e modelo treinado.</w:t>
      </w:r>
    </w:p>
    <w:p>
      <w:pPr>
        <w:pStyle w:val="ListBullet"/>
        <w:spacing w:after="60" w:line="259" w:lineRule="auto"/>
      </w:pPr>
      <w:r>
        <w:t>O metadata JSON registra modelo, target, classe de interesse, limiar, versões e assinatura SHA-256 da configuração.</w:t>
      </w:r>
    </w:p>
    <w:p>
      <w:pPr>
        <w:pStyle w:val="ListBullet"/>
        <w:spacing w:after="60" w:line="259" w:lineRule="auto"/>
      </w:pPr>
      <w:r>
        <w:t>O feature_schema JSON define nomes e tipos esperados na entrada.</w:t>
      </w:r>
    </w:p>
    <w:p>
      <w:pPr>
        <w:pStyle w:val="ListBullet"/>
        <w:spacing w:after="60" w:line="259" w:lineRule="auto"/>
      </w:pPr>
      <w:r>
        <w:t>O contrato de inferência rejeita colunas ausentes ou extras e reorganiza a entrada na ordem oficial.</w:t>
      </w:r>
    </w:p>
    <w:p>
      <w:pPr>
        <w:pStyle w:val="ListBullet"/>
        <w:spacing w:after="60" w:line="259" w:lineRule="auto"/>
      </w:pPr>
      <w:r>
        <w:t>O teste de recarga confirma que a pipeline persistida reproduz as probabilidades originais em 100 registros.</w:t>
      </w:r>
    </w:p>
    <w:p>
      <w:pPr>
        <w:pStyle w:val="ListBullet"/>
        <w:spacing w:after="60" w:line="259" w:lineRule="auto"/>
      </w:pPr>
      <w:r>
        <w:t>O Model Card documenta finalidade, desempenho, limitações, usos permitidos, usos proibidos e monitoramento.</w:t>
      </w:r>
    </w:p>
    <w:p>
      <w:pPr>
        <w:pStyle w:val="Heading1"/>
      </w:pPr>
      <w:r>
        <w:t>16. Artefatos produzidos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088"/>
        <w:gridCol w:w="3168"/>
        <w:gridCol w:w="4104"/>
      </w:tblGrid>
      <w:tr>
        <w:trPr>
          <w:tblHeader w:val="true"/>
          <w:cantSplit/>
        </w:trPr>
        <w:tc>
          <w:tcPr>
            <w:tcW w:type="dxa" w:w="208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Diretório</w:t>
            </w:r>
          </w:p>
        </w:tc>
        <w:tc>
          <w:tcPr>
            <w:tcW w:type="dxa" w:w="3168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Artefato</w:t>
            </w:r>
          </w:p>
        </w:tc>
        <w:tc>
          <w:tcPr>
            <w:tcW w:type="dxa" w:w="4104"/>
            <w:shd w:fill="1F4E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Finalidade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modelagem/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treino, validação e teste em Parquet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Partições preditivas congeladas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modelagem/</w:t>
            </w:r>
          </w:p>
        </w:tc>
        <w:tc>
          <w:tcPr>
            <w:tcW w:type="dxa" w:w="3168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auxiliares por partição</w:t>
            </w:r>
          </w:p>
        </w:tc>
        <w:tc>
          <w:tcPr>
            <w:tcW w:type="dxa" w:w="4104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Rastreabilidade sem usar IDs como features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modelagem/resultados/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tuning, métricas e decisão congelada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Histórico da seleção anterior ao teste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artifacts/</w:t>
            </w:r>
          </w:p>
        </w:tc>
        <w:tc>
          <w:tcPr>
            <w:tcW w:type="dxa" w:w="3168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model_pipeline.joblib</w:t>
            </w:r>
          </w:p>
        </w:tc>
        <w:tc>
          <w:tcPr>
            <w:tcW w:type="dxa" w:w="4104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Pipeline completa pronta para recarga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artifacts/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model_metadata.json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Configuração e ambiente do experimento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artifacts/</w:t>
            </w:r>
          </w:p>
        </w:tc>
        <w:tc>
          <w:tcPr>
            <w:tcW w:type="dxa" w:w="3168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feature_schema.json</w:t>
            </w:r>
          </w:p>
        </w:tc>
        <w:tc>
          <w:tcPr>
            <w:tcW w:type="dxa" w:w="4104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Contrato de entrada da inferência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reports/modelagem/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métricas, ICs e bootstrap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Validação estatística final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reports/modelagem/</w:t>
            </w:r>
          </w:p>
        </w:tc>
        <w:tc>
          <w:tcPr>
            <w:tcW w:type="dxa" w:w="3168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métricas por subgrupo</w:t>
            </w:r>
          </w:p>
        </w:tc>
        <w:tc>
          <w:tcPr>
            <w:tcW w:type="dxa" w:w="4104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Auditoria de estabilidade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reports/modelagem/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importancia_permutacao.csv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Interpretação global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reports/modelagem/</w:t>
            </w:r>
          </w:p>
        </w:tc>
        <w:tc>
          <w:tcPr>
            <w:tcW w:type="dxa" w:w="3168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previsoes_teste_rastreaveis.parquet</w:t>
            </w:r>
          </w:p>
        </w:tc>
        <w:tc>
          <w:tcPr>
            <w:tcW w:type="dxa" w:w="4104"/>
            <w:vAlign w:val="center"/>
            <w:shd w:fill="EDF4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Análise de erros por registro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reports/modelagem/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MODEL_CARD.md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color w:val="333333"/>
                <w:sz w:val="17"/>
              </w:rPr>
              <w:t>Governança e uso responsável</w:t>
            </w:r>
          </w:p>
        </w:tc>
      </w:tr>
    </w:tbl>
    <w:p>
      <w:pPr>
        <w:spacing w:after="0"/>
      </w:pPr>
    </w:p>
    <w:p>
      <w:pPr>
        <w:pStyle w:val="Heading1"/>
      </w:pPr>
      <w:r>
        <w:t>17. Limitações e cuidados</w:t>
      </w:r>
    </w:p>
    <w:p>
      <w:pPr>
        <w:pStyle w:val="ListBullet"/>
        <w:spacing w:after="60" w:line="259" w:lineRule="auto"/>
      </w:pPr>
      <w:r>
        <w:t>As features contextuais são predominantemente municipais e se repetem entre alunos.</w:t>
      </w:r>
    </w:p>
    <w:p>
      <w:pPr>
        <w:pStyle w:val="ListBullet"/>
        <w:spacing w:after="60" w:line="259" w:lineRule="auto"/>
      </w:pPr>
      <w:r>
        <w:t>Fontes públicas possuem temporalidades diferentes e podem sofrer mudanças de cobertura.</w:t>
      </w:r>
    </w:p>
    <w:p>
      <w:pPr>
        <w:pStyle w:val="ListBullet"/>
        <w:spacing w:after="60" w:line="259" w:lineRule="auto"/>
      </w:pPr>
      <w:r>
        <w:t>Apenas um ano-alvo individual limita uma validação temporal direta.</w:t>
      </w:r>
    </w:p>
    <w:p>
      <w:pPr>
        <w:pStyle w:val="ListBullet"/>
        <w:spacing w:after="60" w:line="259" w:lineRule="auto"/>
      </w:pPr>
      <w:r>
        <w:t>O modelo prevê associação de risco; não identifica causas pedagógicas ou sociais.</w:t>
      </w:r>
    </w:p>
    <w:p>
      <w:pPr>
        <w:pStyle w:val="ListBullet"/>
        <w:spacing w:after="60" w:line="259" w:lineRule="auto"/>
      </w:pPr>
      <w:r>
        <w:t>O limiar de 0,50 expressa a regra escolhida neste contexto e deve ser revisto se o custo dos erros mudar.</w:t>
      </w:r>
    </w:p>
    <w:p>
      <w:pPr>
        <w:pStyle w:val="ListBullet"/>
        <w:spacing w:after="60" w:line="259" w:lineRule="auto"/>
      </w:pPr>
      <w:r>
        <w:t>Probabilidades e desempenho por subgrupo precisam ser monitorados em novos períodos.</w:t>
      </w:r>
    </w:p>
    <w:p>
      <w:pPr>
        <w:pStyle w:val="ListBullet"/>
        <w:spacing w:after="60" w:line="259" w:lineRule="auto"/>
      </w:pPr>
      <w:r>
        <w:t>Qualquer mudança no schema, distribuição ou finalidade exige nova validação antes do uso.</w:t>
      </w:r>
    </w:p>
    <w:p>
      <w:pPr>
        <w:pStyle w:val="Heading1"/>
      </w:pPr>
      <w:r>
        <w:t>18. Critério de conclusão da modelagem</w:t>
      </w:r>
    </w:p>
    <w:p>
      <w:pPr>
        <w:pStyle w:val="ListNumber"/>
        <w:spacing w:after="60" w:line="259" w:lineRule="auto"/>
      </w:pPr>
      <w:r>
        <w:t>Modelo e limiar definidos sem utilizar o teste.</w:t>
      </w:r>
    </w:p>
    <w:p>
      <w:pPr>
        <w:pStyle w:val="ListNumber"/>
        <w:spacing w:after="60" w:line="259" w:lineRule="auto"/>
      </w:pPr>
      <w:r>
        <w:t>Teste acessado somente após congelamento experimental.</w:t>
      </w:r>
    </w:p>
    <w:p>
      <w:pPr>
        <w:pStyle w:val="ListNumber"/>
        <w:spacing w:after="60" w:line="259" w:lineRule="auto"/>
      </w:pPr>
      <w:r>
        <w:t>Métricas, intervalos de confiança e estabilidade por grupos registrados.</w:t>
      </w:r>
    </w:p>
    <w:p>
      <w:pPr>
        <w:pStyle w:val="ListNumber"/>
        <w:spacing w:after="60" w:line="259" w:lineRule="auto"/>
      </w:pPr>
      <w:r>
        <w:t>Pipeline completa persistida e recarregada com equivalência de probabilidades.</w:t>
      </w:r>
    </w:p>
    <w:p>
      <w:pPr>
        <w:pStyle w:val="ListNumber"/>
        <w:spacing w:after="60" w:line="259" w:lineRule="auto"/>
      </w:pPr>
      <w:r>
        <w:t>Schema e contrato de inferência validados.</w:t>
      </w:r>
    </w:p>
    <w:p>
      <w:pPr>
        <w:pStyle w:val="ListNumber"/>
        <w:spacing w:after="60" w:line="259" w:lineRule="auto"/>
      </w:pPr>
      <w:r>
        <w:t>Previsões vinculadas aos identificadores apenas para auditoria.</w:t>
      </w:r>
    </w:p>
    <w:p>
      <w:pPr>
        <w:pStyle w:val="ListNumber"/>
        <w:spacing w:after="60" w:line="259" w:lineRule="auto"/>
      </w:pPr>
      <w:r>
        <w:t>Model Card e artefatos essenciais criados com sucesso.</w:t>
      </w:r>
    </w:p>
    <w:p>
      <w:pPr>
        <w:pStyle w:val="Heading1"/>
      </w:pPr>
      <w:r>
        <w:t>19. Passagem para uso e monitoramento</w:t>
      </w:r>
    </w:p>
    <w:p>
      <w:pPr>
        <w:spacing w:after="120" w:line="264" w:lineRule="auto"/>
      </w:pPr>
      <w:r>
        <w:t>O produto final não é apenas um estimador, mas um pacote técnico composto por dados congelados, pré-processamento, modelo, limiar, documentação e evidências estatísticas. Em uma próxima etapa, o uso deverá incluir monitoramento de distribuição, calibração, métricas por grupos e disponibilidade das fontes, além de nova validação antes de qualquer aplicação em períodos ou populações diferentes.</w:t>
      </w:r>
    </w:p>
    <w:p>
      <w:pPr>
        <w:pStyle w:val="Heading1"/>
      </w:pPr>
      <w:r>
        <w:t>20. Conclusão</w:t>
      </w:r>
    </w:p>
    <w:p>
      <w:pPr>
        <w:spacing w:after="120" w:line="264" w:lineRule="auto"/>
      </w:pPr>
      <w:r>
        <w:t>A fase de modelagem transformou as recomendações da EDA em uma solução supervisionada completa e auditável. O Notebook 07 estabeleceu as fronteiras corretas do problema, preservando a independência territorial e encapsulando o pré-processamento. O Notebook 08 comparou baselines e modelos não lineares, tratou o desbalanceamento, otimizou hiperparâmetros e selecionou o HistGradientBoosting balanceado pela maior PR-AUC da classe 0 na validação.</w:t>
      </w:r>
    </w:p>
    <w:p>
      <w:pPr>
        <w:spacing w:after="120" w:line="264" w:lineRule="auto"/>
      </w:pPr>
      <w:r>
        <w:t>A avaliação final foi separada da seleção, os resultados foram acompanhados de intervalos de confiança, testes comparativos, análise de estabilidade e interpretabilidade. A persistência da pipeline completa, do schema, dos metadados, das previsões e do Model Card aproxima o projeto das boas práticas de um ambiente produtivo de Machine Learning.</w:t>
      </w:r>
    </w:p>
    <w:p>
      <w:pPr>
        <w:spacing w:after="120" w:line="264" w:lineRule="auto"/>
      </w:pPr>
      <w:r>
        <w:t>No contexto do desafio, o principal valor do modelo está em apoiar a identificação de risco e a priorização de análises educacionais. Seu uso responsável exige reconhecer erros, diferenças territoriais e limitações temporais, mantendo a decisão humana e pedagógica como elemento indispensável.</w:t>
      </w:r>
    </w:p>
    <w:p>
      <w:r>
        <w:br w:type="page"/>
      </w: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21 Complemento da validação pós teste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Após a avaliação final, o notebook 08 foi ampliado com análises estatísticas e territoriais destinadas a qualificar a interpretação dos resultados. Esse bloco tem natureza confirmatória e diagnóstica. Ele foi executado depois do congelamento do modelo e do limiar e, por isso, não participou da seleção do estimador nem autorizou reajustes com base no conjunto de teste.</w:t>
      </w:r>
    </w:p>
    <w:p>
      <w:pPr>
        <w:pStyle w:val="Heading2"/>
        <w:spacing w:before="100" w:after="80"/>
        <w:keepNext/>
        <w:keepLines/>
      </w:pPr>
      <w:r>
        <w:rPr>
          <w:rFonts w:ascii="Aptos" w:hAnsi="Aptos"/>
          <w:b/>
          <w:i w:val="0"/>
          <w:color w:val="000000"/>
          <w:sz w:val="20"/>
        </w:rPr>
        <w:t>21.1 Comparação estatística justa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O HistGradientBoostingClassifier balanceado foi comparado com a melhor alternativa disponível após a otimização. O comparador passou a ser recuperado de pipelines_otimizadas, e não do conjunto de modelos iniciais. Essa alteração evita comparar uma solução otimizada com uma versão ainda não ajustada e torna a evidência mais coerente com o processo de seleção.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28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Elemento</w:t>
            </w:r>
          </w:p>
        </w:tc>
        <w:tc>
          <w:tcPr>
            <w:tcW w:type="dxa" w:w="2891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Implementação final</w:t>
            </w:r>
          </w:p>
        </w:tc>
        <w:tc>
          <w:tcPr>
            <w:tcW w:type="dxa" w:w="3969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Razão metodológica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Modelo selecionado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Hist Gradient Boosting balanceado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Pipeline e limiar congelados antes do teste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Comparador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Melhor pipeline alternativa em pipelines_otimizadas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Comparação entre candidatos submetidos ao mesmo estágio de otimização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Predições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Pareadas nos mesmos alunos do teste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Preserva a correspondência observação a observação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Escopo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Análise pós teste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Não altera seleção, parâmetros ou limiar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  <w:keepNext/>
        <w:keepLines/>
      </w:pPr>
      <w:r>
        <w:rPr>
          <w:rFonts w:ascii="Aptos" w:hAnsi="Aptos"/>
          <w:b/>
          <w:i w:val="0"/>
          <w:color w:val="000000"/>
          <w:sz w:val="20"/>
        </w:rPr>
        <w:t>21.2 Teste exato de McNemar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O teste exato de McNemar foi aplicado às decisões binárias pareadas dos dois pipelines. O teste considera somente os casos em que os modelos discordam e verifica se a quantidade de acertos exclusivos de um modelo difere da quantidade de acertos exclusivos do outro. A versão exata evita depender da aproximação assintótica e é adequada para documentar a diferença entre classificadores avaliados sobre as mesmas observações.</w:t>
      </w:r>
    </w:p>
    <w:p>
      <w:pPr>
        <w:pStyle w:val="Heading2"/>
        <w:spacing w:before="100" w:after="80"/>
        <w:keepNext/>
        <w:keepLines/>
      </w:pPr>
      <w:r>
        <w:rPr>
          <w:rFonts w:ascii="Aptos" w:hAnsi="Aptos"/>
          <w:b/>
          <w:i w:val="0"/>
          <w:color w:val="000000"/>
          <w:sz w:val="20"/>
        </w:rPr>
        <w:t>21.3 Bootstrap municipal pareado da diferença de PR AUC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A diferença de PR AUC da classe 0 foi estimada por bootstrap pareado no nível municipal. Em cada reamostragem, os mesmos municípios são sorteados para os dois modelos e a diferença entre as métricas é calculada. Assim, a incerteza respeita a estrutura agrupada dos dados e a dependência criada pela repetição de características contextuais entre alunos do mesmo município. O intervalo e o resultado numérico permanecem registrados no relatório gerado pelo notebook, sem serem usados para rever a decisão tomada na validação.</w:t>
      </w: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22 Diagnóstico de generalização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O diagnóstico comparou a validação com o teste e verificou se o compromisso operacional definido no desenvolvimento foi preservado em municípios não vistos. O recall da classe 0 caiu de 71,27 por cento na validação para 62,62 por cento no teste, redução de aproximadamente 8,65 pontos percentuais. Portanto, o requisito de recall mínimo de 70 por cento, usado para escolher o limiar na validação, não foi mantido no teste.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324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Indicador</w:t>
            </w:r>
          </w:p>
        </w:tc>
        <w:tc>
          <w:tcPr>
            <w:tcW w:type="dxa" w:w="1701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Validação</w:t>
            </w:r>
          </w:p>
        </w:tc>
        <w:tc>
          <w:tcPr>
            <w:tcW w:type="dxa" w:w="1701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Teste</w:t>
            </w:r>
          </w:p>
        </w:tc>
        <w:tc>
          <w:tcPr>
            <w:tcW w:type="dxa" w:w="3061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Conclusão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Recall da classe 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71,27%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62,62%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Queda de 8,65 pontos percentuais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Recall mínimo operacional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70,00%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70,00%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Atendido na validação e não atendido no teste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Limiar de decisão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0,50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0,50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Congelado e mantido sem reajuste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Uso do teste na seleção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Não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Não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Teste utilizado somente para avaliação final e diagnóstico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  <w:keepNext/>
        <w:keepLines/>
      </w:pPr>
      <w:r>
        <w:rPr>
          <w:rFonts w:ascii="Aptos" w:hAnsi="Aptos"/>
          <w:b/>
          <w:i w:val="0"/>
          <w:color w:val="000000"/>
          <w:sz w:val="20"/>
        </w:rPr>
        <w:t>22.1 Estabilidade territorial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O recall variou intensamente entre regiões: 89,82 por cento no Norte, 77,16 por cento no Nordeste, 56,94 por cento no Sul, 53,65 por cento no Sudeste e 9,62 por cento no Centro Oeste. A amplitude foi de aproximadamente 80,19 pontos percentuais. Também foram identificadas cinco UFs com recall igual a zero: Acre, Ceará, Espírito Santo, Paraná e Goiás. Esses resultados indicam instabilidade territorial e impedem tratar a métrica nacional agregada como garantia de desempenho homogêneo.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535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Região</w:t>
            </w:r>
          </w:p>
        </w:tc>
        <w:tc>
          <w:tcPr>
            <w:tcW w:type="dxa" w:w="4252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Recall da classe 0</w:t>
            </w:r>
          </w:p>
        </w:tc>
      </w:tr>
      <w:tr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Norte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89,82%</w:t>
            </w:r>
          </w:p>
        </w:tc>
      </w:tr>
      <w:tr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Nordeste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77,16%</w:t>
            </w:r>
          </w:p>
        </w:tc>
      </w:tr>
      <w:tr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Sul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56,94%</w:t>
            </w:r>
          </w:p>
        </w:tc>
      </w:tr>
      <w:tr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Sudeste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53,65%</w:t>
            </w:r>
          </w:p>
        </w:tc>
      </w:tr>
      <w:tr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Centro Oeste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9,62%</w:t>
            </w:r>
          </w:p>
        </w:tc>
      </w:tr>
    </w:tbl>
    <w:p>
      <w:pPr>
        <w:spacing w:after="40"/>
      </w:pPr>
    </w:p>
    <w:p>
      <w:pPr>
        <w:spacing w:after="100" w:line="252" w:lineRule="auto"/>
        <w:keepLines/>
      </w:pPr>
      <w:r>
        <w:rPr>
          <w:rFonts w:ascii="Aptos" w:hAnsi="Aptos"/>
          <w:b/>
          <w:i w:val="0"/>
          <w:color w:val="000000"/>
          <w:sz w:val="19"/>
        </w:rPr>
        <w:t xml:space="preserve">UFs com recall igual a zero: </w:t>
      </w:r>
      <w:r>
        <w:rPr>
          <w:rFonts w:ascii="Aptos" w:hAnsi="Aptos"/>
          <w:b w:val="0"/>
          <w:i w:val="0"/>
          <w:color w:val="000000"/>
          <w:sz w:val="19"/>
        </w:rPr>
        <w:t>Acre, Ceará, Espírito Santo, Paraná e Goiás.</w:t>
      </w: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23 Governança da análise pós teste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O notebook registra formalmente selecao_alterada_pelo_teste como falso e modelo_ou_limiar_reajustado_pelo_teste como falso. A regra protege a independência do conjunto de teste: o Hist Gradient Boosting e o limiar 0,50 continuam sendo aqueles congelados após a validação. Qualquer correção futura deverá ser desenvolvida em nova rodada experimental, com nova separação ou validação, e não por adaptação retroativa ao teste atual.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A comparação estatística é pós teste e não muda o modelo selecionado.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O limiar de decisão não foi recalibrado após a observação das métricas finais.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A queda de recall e a heterogeneidade territorial são evidências de generalização, não critérios para refazer o teste.</w:t>
      </w:r>
    </w:p>
    <w:p>
      <w:pPr>
        <w:pStyle w:val="ListBullet"/>
        <w:spacing w:after="40"/>
        <w:ind w:left="312" w:hanging="142"/>
        <w:keepLines/>
      </w:pPr>
      <w:r>
        <w:rPr>
          <w:rFonts w:ascii="Aptos" w:hAnsi="Aptos"/>
          <w:b w:val="0"/>
          <w:i w:val="0"/>
          <w:color w:val="000000"/>
          <w:sz w:val="18"/>
        </w:rPr>
        <w:t>A Model Card foi ampliada para registrar o objetivo operacional não atingido e os riscos de uso territorial.</w:t>
      </w: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24 Model Card e novos relatórios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A Model Card passou a registrar a natureza pós teste da comparação, o diagnóstico de queda do recall, o não atendimento do mínimo de 70 por cento, a amplitude regional, as UFs com recall igual a zero e a proibição de reajuste com o conjunto final. Os novos relatórios preservam a rastreabilidade das conclusões e permitem auditar separadamente a comparação de modelos e a generalização territorial.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3458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Novo relatório</w:t>
            </w:r>
          </w:p>
        </w:tc>
        <w:tc>
          <w:tcPr>
            <w:tcW w:type="dxa" w:w="5329"/>
            <w:shd w:fill="164F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Conteúdo</w:t>
            </w:r>
          </w:p>
        </w:tc>
      </w:tr>
      <w:tr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comparacao_estatistica_otimizada.csv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Comparador otimizado, discordâncias pareadas, teste exato de McNemar e bootstrap municipal da diferença de PR AUC</w:t>
            </w:r>
          </w:p>
        </w:tc>
      </w:tr>
      <w:tr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diagnostico_generalizacao.csv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Recall de validação e teste, meta mínima, diferença, amplitude regional, UFs críticas e flags de não reajuste</w:t>
            </w:r>
          </w:p>
        </w:tc>
      </w:tr>
      <w:tr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Model Card atualizada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000000"/>
                <w:sz w:val="17"/>
              </w:rPr>
              <w:t>Limitações estatísticas, operacionais e territoriais incorporadas ao registro formal do modelo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  <w:keepNext/>
        <w:keepLines/>
      </w:pPr>
      <w:r>
        <w:rPr>
          <w:rFonts w:ascii="Aptos" w:hAnsi="Aptos"/>
          <w:b/>
          <w:i w:val="0"/>
          <w:color w:val="000000"/>
          <w:sz w:val="22"/>
        </w:rPr>
        <w:t>25 Conclusão atualizada da modelagem</w:t>
      </w:r>
    </w:p>
    <w:p>
      <w:pPr>
        <w:spacing w:after="80" w:line="252" w:lineRule="auto"/>
        <w:keepLines/>
      </w:pPr>
      <w:r>
        <w:rPr>
          <w:rFonts w:ascii="Aptos" w:hAnsi="Aptos"/>
          <w:b w:val="0"/>
          <w:i w:val="0"/>
          <w:color w:val="000000"/>
          <w:sz w:val="19"/>
        </w:rPr>
        <w:t>A fase de modelagem continua concluída com o Hist Gradient Boosting balanceado e o limiar 0,50 congelados na validação. A análise adicional aumentou a qualidade da evidência sem reutilizar o teste para tomada de decisão. O resultado nacional confirma capacidade preditiva útil, mas a queda de recall e a elevada dispersão territorial exigem monitoramento por região e UF, restrição de uso como instrumento de priorização e uma futura rodada de desenvolvimento voltada à robustez geográfica.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123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Predição e Inteligência Analítica para Alfabetização no Brasil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B7C8C"/>
        <w:sz w:val="16"/>
      </w:rPr>
      <w:t>TECH CHALLENGE — FASE 3  |  MODELAGEM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da Construção da Fase de Modelagem Atualizado</dc:title>
  <dc:subject>Notebooks 07 e 08 com validação estatística pós teste</dc:subject>
  <dc:creator>Equipe do Tech Challenge</dc:creator>
  <cp:keywords>FIAP, alfabetização, machine learning, Databricks, modelagem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