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spacing w:after="200"/>
        <w:jc w:val="center"/>
      </w:pPr>
      <w:r>
        <w:rPr>
          <w:rFonts w:ascii="Aptos" w:hAnsi="Aptos"/>
          <w:b/>
          <w:i w:val="0"/>
          <w:color w:val="164F73"/>
          <w:sz w:val="44"/>
        </w:rPr>
        <w:t>Resumo da Construção do</w:t>
        <w:br/>
        <w:t>Notebook 10</w:t>
      </w:r>
    </w:p>
    <w:p>
      <w:pPr>
        <w:jc w:val="center"/>
      </w:pPr>
      <w:r>
        <w:rPr>
          <w:rFonts w:ascii="Aptos" w:hAnsi="Aptos"/>
          <w:b/>
          <w:i w:val="0"/>
          <w:color w:val="2E75B6"/>
          <w:sz w:val="24"/>
        </w:rPr>
        <w:t>Consolidação dos Gráficos Finais</w:t>
      </w:r>
    </w:p>
    <w:p>
      <w:pPr>
        <w:spacing w:before="160" w:after="360"/>
        <w:jc w:val="center"/>
      </w:pPr>
      <w:r>
        <w:rPr>
          <w:rFonts w:ascii="Aptos" w:hAnsi="Aptos"/>
          <w:b w:val="0"/>
          <w:i/>
          <w:color w:val="666666"/>
          <w:sz w:val="19"/>
        </w:rPr>
        <w:t>Síntese metodológica da padronização, validação e publicação dos resultados visuais da modelagem e da aplicação estratégica.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Dimensão</w:t>
            </w:r>
          </w:p>
        </w:tc>
        <w:tc>
          <w:tcPr>
            <w:tcW w:type="dxa" w:w="6406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Notebook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10_consolidacao_graficos_finais_databricks.ipynb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Finalidade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Fonte oficial de figuras para README, documentação, apresentação e vídeo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Entradas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Relatórios e predições produzidos pelos notebooks 08 e 09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Saída principal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11 imagens numeradas em tech_challenge_fase3/images/finais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Controle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Manifesto com existência, tamanho, origem, título e caminho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Governança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Sem treinamento, alteração do limiar ou modificação da camada Gold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 Visão geral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notebook 10 atende ao item de consolidação visual da auditoria final. Sua função é reunir os resultados mais relevantes da modelagem e da aplicação estratégica em uma pasta única, com numeração, cores, títulos, unidades e resolução consistentes. O processo reduz a dependência das saídas internas dos notebooks e torna as evidências prontas para publicação.</w:t>
      </w:r>
    </w:p>
    <w:p>
      <w:pPr>
        <w:spacing w:after="100" w:line="252" w:lineRule="auto"/>
        <w:keepLines/>
      </w:pPr>
      <w:r>
        <w:rPr>
          <w:rFonts w:ascii="Aptos" w:hAnsi="Aptos"/>
          <w:b/>
          <w:i w:val="0"/>
          <w:color w:val="000000"/>
          <w:sz w:val="19"/>
        </w:rPr>
        <w:t xml:space="preserve">Conclusão central: </w:t>
      </w:r>
      <w:r>
        <w:rPr>
          <w:rFonts w:ascii="Aptos" w:hAnsi="Aptos"/>
          <w:b w:val="0"/>
          <w:i w:val="0"/>
          <w:color w:val="000000"/>
          <w:sz w:val="19"/>
        </w:rPr>
        <w:t>o notebook transforma artefatos analíticos dispersos em um pacote visual governado, verificável e reutilizável, sem modificar o experimento já concluído.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2 Objetivo e princípios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Não treinar, recalibrar ou substituir o modelo selecionado.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Não recalcular nem alterar o limiar de decisão congelado na validação.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Não modificar a base Gold ou os conjuntos de treino, validação e teste.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Ler somente artefatos persistidos pelos notebooks 08 e 09.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Gravar exclusivamente na estrutura da Fase 3.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Interromper a execução quando um insumo obrigatório estiver ausente.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Registrar cada imagem em um manifesto auditável.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3 Estrutura de caminhos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3515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Diretório</w:t>
            </w:r>
          </w:p>
        </w:tc>
        <w:tc>
          <w:tcPr>
            <w:tcW w:type="dxa" w:w="5272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Função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modelagem/resultados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Análise de limiares do modelo otimizado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reports/modelagem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Métricas, incerteza, estabilidade, importância e predições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reports/aplicacao_estrategica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Rankings, metas e segmentação municipal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images/aplicacao_estrategica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Projeção PCA produzida pelo notebook 09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images/finais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Pasta oficial das 11 figuras numeradas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reports/consolidacao_visual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Manifesto de integridade do pacote visual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4 Carregamento e validação dos insumos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função de leitura verifica a existência de cada CSV antes do carregamento. As predições do teste também são validadas antes da leitura em Parquet. A execução falha explicitamente quando um artefato obrigatório não existe, evitando gerar figuras incompletas, vazias ou baseadas em uma combinação parcial de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2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Artefato de entrada</w:t>
            </w:r>
          </w:p>
        </w:tc>
        <w:tc>
          <w:tcPr>
            <w:tcW w:type="dxa" w:w="1701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Origem</w:t>
            </w:r>
          </w:p>
        </w:tc>
        <w:tc>
          <w:tcPr>
            <w:tcW w:type="dxa" w:w="3685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Uso visual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intervalos_confianca.csv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08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Métricas finais com IC de 95%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previsoes_teste_rastreaveis.parquet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08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Matriz de confusão e curvas PR e ROC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analise_limiares_otimizado.csv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08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Trade off entre recall, precisão e F1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importancia_permutacao.csv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08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Top 15 variáveis influentes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metricas_por_regiao.csv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08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Estabilidade territorial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ranking_municipal_risco.csv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09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Top 20 municípios por risco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municipios_risco_meta.csv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09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Top 20 menores gaps para a meta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avaliacao_k_clusters.csv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09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Escolha de k por silhouette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distribuicao_clusters_regiao.csv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09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Composição regional dos clusters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clusters_municipais_pca.png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09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Projeção PCA copiada sem recomputação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5 Desempenho final e incerteza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primeiro gráfico compara seis métricas do teste com intervalos de confiança de 95 por cento obtidos por bootstrap municipal. A visualização mantém a estrutura territorial da avaliação e evita comunicar as estimativas pontuais como valores exatos e imutáveis.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01_metricas_finais_ic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55555"/>
          <w:sz w:val="17"/>
        </w:rPr>
        <w:t>Figura 1 Métricas finais do teste e intervalos de confiança de 95 por cento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Os resultados consolidados mostram recall da classe 0 de aproximadamente 0,626, precisão de 0,447, F1 de 0,522, acurácia balanceada de 0,618, PR AUC de 0,471 e ROC AUC de 0,661. Essas métricas devem ser interpretadas junto dos intervalos e das diferenças territoriais.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6 Matriz de confusão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segunda figura oficial é a matriz de confusão do conjunto de teste, gerada diretamente das colunas y_real e y_pred. Ela apresenta contagens e percentuais e destaca os falsos negativos, isto é, alunos não alfabetizados que não receberam alerta. O arquivo 02_matriz_confusao_teste.png integra a pasta final e o manifesto. A imagem não foi incluída entre os dez anexos disponibilizados para este resumo.</w:t>
      </w:r>
    </w:p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7 Capacidade de discriminação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As curvas utilizam a probabilidade estimada de não alfabetização. A Precision Recall é a referência principal por ser mais informativa para a classe minoritária; a ROC complementa a leitura global da capacidade de ordenação.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643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03_curvas_pr_roc_tes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4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55555"/>
          <w:sz w:val="17"/>
        </w:rPr>
        <w:t>Figura 3 Curvas Precision Recall e ROC no conjunto de teste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PR AUC de 0,471 supera a prevalência de 0,335 apresentada como referência. A ROC AUC de 0,661 indica discriminação superior ao acaso, embora ainda limitada para decisões automáticas.</w:t>
      </w:r>
    </w:p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8 Limiar de decisão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gráfico recupera exclusivamente a análise realizada na validação. A linha vertical marca o limiar congelado em 0,50 e a linha horizontal registra o recall mínimo de desenvolvimento de 70 por cento. O conjunto de teste não é utilizado para escolher outro ponto de corte.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04_tradeoff_limiar_valid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55555"/>
          <w:sz w:val="17"/>
        </w:rPr>
        <w:t>Figura 4 Compromisso entre recall precisão e F1 no conjunto de validação</w:t>
      </w:r>
    </w:p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9 Importância por permutação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importância mede quanto a PR AUC diminui quando cada variável é embaralhada, mantendo as demais condições. O cálculo considera a pipeline completa e oferece uma interpretação global do comportamento preditivo, sem demonstrar causalidade.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40529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05_importancia_permutacao_top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52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55555"/>
          <w:sz w:val="17"/>
        </w:rPr>
        <w:t>Figura 5 Quinze variáveis mais influentes por importância de permutação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indicador de percentual de alunos alfabetizados em 2024 apresenta influência destacadamente superior. UF, meta final de 2025, receita de contribuição do Fundeb e dependência administrativa aparecem em seguida. A concentração de importância reforça a necessidade de monitoramento de mudanças temporais e territoriais dessas variáveis.</w:t>
      </w:r>
    </w:p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10 Estabilidade regional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comparação regional evidencia que o desempenho agregado não é uniforme. Recall, precisão e F1 da classe 0 são apresentados para cada região, com a referência de 70 por cento usada no desenvolvimento.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1831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06_metricas_por_regi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8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55555"/>
          <w:sz w:val="17"/>
        </w:rPr>
        <w:t>Figura 6 Recall precisão e F1 da classe 0 por região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Norte e Nordeste superam o recall mínimo, enquanto Sul, Sudeste e principalmente Centro Oeste ficam abaixo. Essa heterogeneidade é uma limitação central da Model Card e exige que qualquer uso seja acompanhado por métricas territoriais.</w:t>
      </w:r>
    </w:p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11 Priorização municipal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Os rankings incluem somente municípios elegíveis do conjunto de teste. Eles demonstram como o score pode apoiar a priorização fora da amostra, mas não constituem um ranking nacional nem uma avaliação causal das redes de ensino.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40529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07_top20_risco_municip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52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55555"/>
          <w:sz w:val="17"/>
        </w:rPr>
        <w:t>Figura 7 Vinte municípios do teste com maior risco médio previsto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Goianinha, Nova Iguaçu, Tibau do Sul, Japeri e Oeiras do Pará aparecem entre os maiores riscos médios previstos da amostra elegível. A concentração de municípios de diferentes regiões reforça a necessidade de leitura conjunta com o contexto local.</w:t>
      </w:r>
    </w:p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12 Distância prevista para a meta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gap corresponde à diferença, em pontos percentuais, entre a alfabetização prevista e a meta municipal. Valores negativos indicam projeção abaixo da meta e funcionam como sinal de atenção, não como previsão oficial do indicador futuro.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40565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08_top20_gap_me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56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55555"/>
          <w:sz w:val="17"/>
        </w:rPr>
        <w:t>Figura 8 Vinte municípios do teste com menor gap previsto para a meta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Vacaria apresenta o maior déficit previsto no grupo mostrado, seguida por Canela, Gravataí, Espumoso e Rio Grande. A presença de vários municípios do Rio Grande do Sul deve ser lida como resultado da amostra de teste e do modelo, e não como conclusão abrangente sobre todo o estado.</w:t>
      </w:r>
    </w:p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13 Seleção do número de clusters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silhouette score foi avaliado para valores de k entre 2 e 8. O maior resultado ocorreu com dois clusters, fornecendo o critério documentado para a segmentação municipal utilizada no notebook 09.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517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9_selecao_numero_clust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1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55555"/>
          <w:sz w:val="17"/>
        </w:rPr>
        <w:t>Figura 9 Seleção de dois clusters pela maior silhouette score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14 Composição territorial dos clusters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composição por região descreve como os dois perfis se distribuem territorialmente. Nordeste e Norte concentram o cluster 1, enquanto Sudeste e Sul concentram o cluster 2. Centro Oeste apresenta participação dos dois grupos, com predominância do cluster 2. Essa distribuição é descritiva e não demonstra causalidade geográfica.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508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10_clusters_por_regi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5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55555"/>
          <w:sz w:val="17"/>
        </w:rPr>
        <w:t>Figura 10 Composição percentual dos clusters em cada região</w:t>
      </w:r>
    </w:p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15 Projeção PCA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projeção PCA já validada no notebook 09 é copiada para a pasta final sem recomputar os clusters. Os dois primeiros componentes explicam 39,8 e 19,4 por cento da variância, respectivamente. O tamanho dos pontos representa o risco médio previsto.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0893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11_clusters_municipais_pc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8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55555"/>
          <w:sz w:val="17"/>
        </w:rPr>
        <w:t>Figura 11 Projeção dos dois perfis municipais nos componentes principais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separação visual entre os grupos é clara principalmente no primeiro componente, embora exista uma faixa de proximidade. A figura apoia a interpretação da segmentação, mas não transforma os clusters em categorias naturais ou permanentes.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16 Padronização visual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notebook estabelece uma paleta comum, fundo branco, grade discreta, resolução de 180 dpi e padrões consistentes para títulos, eixos e legendas. A função salvar_figura centraliza a gravação, adiciona metadados ao manifesto, exibe o resultado e encerra a figura para reduzir consumo de memória em execuções sequenciais.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17 Manifesto e controles de integridade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Após gerar dez figuras e copiar a PCA, o notebook monta um manifesto com nome, título executivo, origem e caminho. Em seguida, confirma a existência e o tamanho de cada arquivo. A execução é interrompida se houver imagem ausente ou vazia. O manifesto é persistido como manifesto_imagens_finais.csv em reports/consolidacao_visual.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Controle</w:t>
            </w:r>
          </w:p>
        </w:tc>
        <w:tc>
          <w:tcPr>
            <w:tcW w:type="dxa" w:w="5953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Quantidade esperada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11 imagens finais numeradas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Existência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Todos os caminhos devem retornar verdadeiro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Integridade mínima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Todos os arquivos devem possuir tamanho maior que zero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Rastreabilidade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Nome, título, origem e caminho registrados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Persistência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Manifesto CSV em UTF 8 com separador ponto e vírgula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18 Artefatos finais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3572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Arquivo</w:t>
            </w:r>
          </w:p>
        </w:tc>
        <w:tc>
          <w:tcPr>
            <w:tcW w:type="dxa" w:w="5216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Origem e finalidade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01_metricas_finais_ic95.png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08 Desempenho e incerteza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02_matriz_confusao_teste.png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08 Acertos e erros operacionais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03_curvas_pr_roc_teste.png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08 Capacidade de discriminação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04_tradeoff_limiar_validacao.png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08 Decisão operacional congelada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05_importancia_permutacao_top15.png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08 Interpretabilidade global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06_metricas_por_regiao.png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08 Estabilidade territorial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07_top20_risco_municipal.png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09 Priorização relativa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08_top20_gap_meta.png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09 Distância prevista para meta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09_selecao_numero_clusters.png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09 Escolha do número de perfis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10_clusters_por_regiao.png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09 Composição territorial</w:t>
            </w:r>
          </w:p>
        </w:tc>
      </w:tr>
      <w:tr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11_clusters_municipais_pca.png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Notebook 09 Visualização dos perfis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19 Limitações e cuidados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As figuras sintetizam resultados já produzidos e não substituem os relatórios detalhados.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Os intervalos de confiança expressam incerteza amostral e não eliminam mudanças entre safras.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O recall mínimo de 70 por cento foi atingido na validação, mas não no teste global.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A forte variação regional impede assumir desempenho homogêneo no território nacional.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Importância por permutação, rankings e clusters não estabelecem relações causais.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Os rankings municipais abrangem somente municípios elegíveis do conjunto de teste.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A pasta final deve ser atualizada somente após uma nova execução completa e validada dos notebooks de origem.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20 Critério de conclusão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Dez figuras recriadas a partir dos relatórios persistidos.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Projeção PCA copiada sem recomputação dos clusters.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Onze arquivos numerados presentes e não vazios.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Manifesto de imagens finais gerado e persistido.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Gráficos prontos para README, apresentação e vídeo executivo.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Modelo, limiar, bases e resultados analíticos mantidos inalterados.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21 Conclusão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notebook 10 conclui a organização visual do projeto ao transformar métricas, diagnósticos e resultados estratégicos em um conjunto coerente de evidências. Sua contribuição é de reprodutibilidade e comunicação: cada figura possui origem conhecida, padrão comum, destino oficial e validação de integridade. O pacote final permite apresentar o desempenho, a incerteza, as limitações territoriais e a aplicação municipal sem alterar qualquer decisão da modelagem já congelada.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Predição e Inteligência Analítica para Alfabetização no Brasil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B7C8C"/>
        <w:sz w:val="16"/>
      </w:rPr>
      <w:t>TECH CHALLENGE — FASE 3  |  MODELAGEM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da Construção do Notebook 10</dc:title>
  <dc:subject>Consolidação dos gráficos finais do Tech Challenge Fase 3</dc:subject>
  <dc:creator>Equipe do Tech Challenge</dc:creator>
  <cp:keywords>FIAP, alfabetização, machine learning, Databricks, modelagem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