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spacing w:after="200"/>
        <w:jc w:val="center"/>
      </w:pPr>
      <w:r>
        <w:rPr>
          <w:rFonts w:ascii="Aptos" w:hAnsi="Aptos"/>
          <w:b/>
          <w:i w:val="0"/>
          <w:color w:val="164F73"/>
          <w:sz w:val="44"/>
        </w:rPr>
        <w:t>Resumo da Construção do</w:t>
        <w:br/>
        <w:t>Notebook 09</w:t>
      </w:r>
    </w:p>
    <w:p>
      <w:pPr>
        <w:jc w:val="center"/>
      </w:pPr>
      <w:r>
        <w:rPr>
          <w:rFonts w:ascii="Aptos" w:hAnsi="Aptos"/>
          <w:b/>
          <w:i w:val="0"/>
          <w:color w:val="2E75B6"/>
          <w:sz w:val="24"/>
        </w:rPr>
        <w:t>Aplicação Estratégica e Inteligência Educacional</w:t>
      </w:r>
    </w:p>
    <w:p>
      <w:pPr>
        <w:spacing w:before="160" w:after="400"/>
        <w:jc w:val="center"/>
      </w:pPr>
      <w:r>
        <w:rPr>
          <w:rFonts w:ascii="Aptos" w:hAnsi="Aptos"/>
          <w:b w:val="0"/>
          <w:i/>
          <w:color w:val="666666"/>
          <w:sz w:val="19"/>
        </w:rPr>
        <w:t>Síntese metodológica da transformação das predições do modelo em painéis, rankings, metas e perfis municipais para apoio à decisão.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Dimensão</w:t>
            </w:r>
          </w:p>
        </w:tc>
        <w:tc>
          <w:tcPr>
            <w:tcW w:type="dxa" w:w="6406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Notebook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09_aplicacao_estrategica_e_inteligencia_educacional.ipynb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Entrada principal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Predições rastreáveis do conjunto de teste do notebook 08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Unidade analítica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Aluno para validação; município para aplicação estratégica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Cobertura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834 municípios do conjunto de teste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Entregas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Painel municipal, rankings, análise de metas, clusters, gráficos e resumo executivo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Governança</w:t>
            </w:r>
          </w:p>
        </w:tc>
        <w:tc>
          <w:tcPr>
            <w:tcW w:type="dxa" w:w="64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Sem novo treinamento e sem alteração do limiar congelado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 Visão geral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notebook 09 encerra a etapa analítica transformando as predições individuais do modelo selecionado em informações municipais interpretáveis. A proposta não é criar um novo modelo, mas demonstrar como a saída probabilística pode apoiar a priorização de territórios, a análise de metas de alfabetização e a segmentação de municípios com contextos semelhantes.</w:t>
      </w:r>
    </w:p>
    <w:p>
      <w:pPr>
        <w:spacing w:after="100" w:line="252" w:lineRule="auto"/>
        <w:keepLines/>
      </w:pPr>
      <w:r>
        <w:rPr>
          <w:rFonts w:ascii="Aptos" w:hAnsi="Aptos"/>
          <w:b/>
          <w:i w:val="0"/>
          <w:color w:val="000000"/>
          <w:sz w:val="19"/>
        </w:rPr>
        <w:t xml:space="preserve">Conclusão central: </w:t>
      </w:r>
      <w:r>
        <w:rPr>
          <w:rFonts w:ascii="Aptos" w:hAnsi="Aptos"/>
          <w:b w:val="0"/>
          <w:i w:val="0"/>
          <w:color w:val="000000"/>
          <w:sz w:val="19"/>
        </w:rPr>
        <w:t>as predições passam a compor uma camada de inteligência educacional, preservando a rastreabilidade e as limitações observadas no teste.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 Objetivo da aplicação estratégica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Validar a correspondência entre as predições rastreáveis e a base de teste.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Consolidar indicadores de risco no nível municipal sem expor identificadores individuais.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Priorizar municípios por risco predito e por distância estimada em relação à meta de 2025.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Agrupar municípios por semelhança socioeconômica, educacional, estrutural e financeira.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Gerar relatórios e gráficos reutilizáveis no README, na documentação e no vídeo executivo.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3 Entradas e fronteiras do processo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94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Entrada</w:t>
            </w:r>
          </w:p>
        </w:tc>
        <w:tc>
          <w:tcPr>
            <w:tcW w:type="dxa" w:w="238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Origem</w:t>
            </w:r>
          </w:p>
        </w:tc>
        <w:tc>
          <w:tcPr>
            <w:tcW w:type="dxa" w:w="345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previsoes_teste_rastreaveis.parquet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Notebook 08 e Fase 3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Probabilidade, classe prevista, target e chaves rastreáveis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teste.parquet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Preparação da modelagem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Características dos alunos e variáveis contextuais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model_metadata.json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Artefatos do modelo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Modelo selecionado, limiar e metadados congelados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base_analitica_final.csv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Camada Gold da Fase 2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Nome do município e UF para apresentação dos resultados</w:t>
            </w:r>
          </w:p>
        </w:tc>
      </w:tr>
    </w:tbl>
    <w:p>
      <w:pPr>
        <w:spacing w:after="40"/>
      </w:pP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camada Gold da Fase 2 é consultada somente para enriquecer a identificação territorial. Todos os relatórios, gráficos e resultados derivados são gravados na estrutura da Fase 3.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4 Validação e rastreabilidade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Antes das agregações, o notebook confere quantidade de linhas, ordem, target e chaves entre a base de teste e o arquivo de predições. Essa etapa impede associar uma probabilidade ao aluno errado e garante que cada indicador municipal seja derivado do mesmo conjunto avaliado no notebook 08. O modelo e o limiar são apenas lidos; não ocorre fit, retreinamento ou calibração.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5 Base estratégica no nível do aluno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As probabilidades da classe 0, as decisões binárias, os resultados observados e as variáveis territoriais são reunidos em uma base estratégica. Essa granularidade permanece disponível para auditoria, enquanto as entregas de comunicação são agregadas para reduzir exposição de dados individuais e facilitar a interpretação por gestores.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6 Painel municipal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painel resume a situação de cada município do teste por meio do número de alunos, risco médio, mediana e percentil 90 do risco, taxa de alertas, taxa observada de não alfabetização, falsos negativos e medianas das variáveis contextuais. Também registra a dependência administrativa predominante quando disponível.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Bloco</w:t>
            </w:r>
          </w:p>
        </w:tc>
        <w:tc>
          <w:tcPr>
            <w:tcW w:type="dxa" w:w="345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Exemplos de indicadores</w:t>
            </w:r>
          </w:p>
        </w:tc>
        <w:tc>
          <w:tcPr>
            <w:tcW w:type="dxa" w:w="3572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Cobertura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Alunos avaliados e elegibilidade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Controlar estabilidade das taxas municipais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Risco predito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Média, mediana, percentil 90 e alertas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Dimensionar prioridade e concentração de casos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Resultado observado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Não alfabetização e falsos negativos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Auditar aderência e risco de omissão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Contexto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Vulnerabilidade, infraestrutura, educação e Fundeb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Interpretar diferenças entre territórios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7 Elegibilidade e ranking de risco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Para reduzir rankings instáveis, são considerados elegíveis os municípios com pelo menos 100 alunos no conjunto de teste. O ranking é relativo à amostra avaliada e combina medidas de risco predito com faixas interpretativas. Ele não representa um censo nacional, uma avaliação causal ou uma classificação definitiva da qualidade das redes de ensino.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8 Análise de metas municipais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probabilidade média prevista de alfabetização é calculada como um menos o risco médio da classe 0. Os indicadores de meta são normalizados com tratamento seguro para escalas entre zero e um ou entre zero e cem. Em seguida, calcula-se a diferença em pontos percentuais entre a alfabetização prevista e a meta municipal de 2025.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3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Situação</w:t>
            </w:r>
          </w:p>
        </w:tc>
        <w:tc>
          <w:tcPr>
            <w:tcW w:type="dxa" w:w="323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Regra aplicada</w:t>
            </w:r>
          </w:p>
        </w:tc>
        <w:tc>
          <w:tcPr>
            <w:tcW w:type="dxa" w:w="311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Interpretação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Risco elevado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Diferença inferior a menos 5 pontos percentuais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Município materialmente abaixo da meta prevista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Atenção abaixo da meta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Diferença entre menos 5 e zero ponto percentual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Município próximo, mas ainda abaixo da meta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Meta prevista atendida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Diferença maior ou igual a zero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Probabilidade agregada compatível com a meta</w:t>
            </w:r>
          </w:p>
        </w:tc>
      </w:tr>
    </w:tbl>
    <w:p>
      <w:pPr>
        <w:spacing w:after="40"/>
      </w:pP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diferença em relação à meta é probabilística e deve ser usada como sinal de planejamento. Ela não substitui a medição oficial do indicador nem demonstra que uma intervenção específica causará a mudança projetada.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9 Segmentação municipal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agrupamento utiliza KMeans para identificar perfis municipais semelhantes. As variáveis incluem fatores socioeconômicos, educacionais, de vulnerabilidade, infraestrutura e financiamento, além do risco previsto. O target observado não entra na formação dos grupos, evitando que a segmentação seja definida pela resposta que se deseja explicar.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6520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Tratamento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Preparação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Imputação pela mediana, transformação logarítmica do Fundeb e padronização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Escolha de K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Avaliação de 2 a 8 grupos pela maior silhouette score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Rotulagem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Clusters reordenados pelo risco médio para dar interpretação estável ao relatório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Visualização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Projeção em componentes principais para leitura gráfica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Perfil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Síntese das medianas e distribuição regional de cada agrupamento</w:t>
            </w:r>
          </w:p>
        </w:tc>
      </w:tr>
    </w:tbl>
    <w:p>
      <w:pPr>
        <w:spacing w:after="40"/>
      </w:pP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Os clusters são descritivos. O identificador numérico não possui significado absoluto e os grupos podem mudar quando novas safras, municípios ou variáveis forem incorporados.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10 Gráficos consolidados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515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Gráfico</w:t>
            </w:r>
          </w:p>
        </w:tc>
        <w:tc>
          <w:tcPr>
            <w:tcW w:type="dxa" w:w="5272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Mensagem principal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top20_risco_municipal.png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Municípios elegíveis com maior risco médio previsto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top20_gap_meta.png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Maiores distâncias negativas em relação à meta de 2025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selecao_numero_clusters.png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Critério usado para selecionar a quantidade de grupos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clusters_municipais_pca.png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Separação visual dos perfis municipais em duas dimensões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clusters_por_regiao.png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Distribuição territorial dos agrupamentos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11 Relatórios gerados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345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Artefato</w:t>
            </w:r>
          </w:p>
        </w:tc>
        <w:tc>
          <w:tcPr>
            <w:tcW w:type="dxa" w:w="5329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painel_municipal_teste.csv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Indicadores consolidados por município do teste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ranking_municipal_risco.csv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Priorização relativa dos municípios elegíveis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municipios_risco_meta.csv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Probabilidade prevista, meta e diferença em pontos percentuais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avaliacao_k_clusters.csv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Silhouette score para cada quantidade avaliada de clusters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perfil_clusters.csv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Características agregadas dos agrupamentos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municipios_clusters.csv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Associação entre município e cluster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distribuicao_clusters_regiao.csv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Composição regional dos grupos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resumo_executivo_aplicacao.csv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6"/>
              </w:rPr>
              <w:t>Indicadores centrais para comunicação executiva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12 Leitura para o desafio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aplicação demonstra como o desafio de prever o risco de não alfabetização pode apoiar a gestão pública. O score identifica concentração provável de risco; o painel municipal organiza prioridades; a análise de metas evidencia distâncias relevantes; e os clusters permitem desenhar estratégias diferenciadas para municípios com perfis semelhantes. Essas saídas orientam investigação e alocação de atenção, mas não automatizam decisões sobre estudantes ou redes de ensino.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13 Limitações e cuidados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cobertura inclui somente os 834 municípios reservados para teste e não constitui ranking nacional.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 corte mínimo de 100 alunos melhora a estabilidade, mas não elimina incerteza em municípios menores.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Rankings e clusters descrevem associações e não permitem inferência causal.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distância em relação à meta é baseada em probabilidade agregada, não em aferição oficial futura.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instabilidade territorial observada no modelo 08 deve acompanhar toda interpretação estratégica.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As cinco UFs com recall igual a zero e a grande amplitude regional exigem cautela reforçada.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Os resultados devem ser monitorados por região, UF e município antes de qualquer uso recorrente.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14 Critério de conclusão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Predições e base de teste validadas e alinhadas.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Modelo e limiar preservados sem novo ajuste.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Painel, ranking, metas e clusters gerados para os municípios elegíveis.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Oito relatórios e cinco gráficos persistidos na estrutura da Fase 3.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Limitações de cobertura, causalidade e estabilidade territorial registradas.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15 Conclusão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notebook 09 converte a modelagem em uma aplicação analítica voltada à priorização territorial e à comunicação com gestores. Seu principal resultado é uma camada municipal rastreável que combina risco, meta e perfil de contexto sem reabrir a seleção do modelo. O uso responsável depende de leitura conjunta com a Model Card, monitoramento territorial e validação periódica quando novas safras de dados estiverem disponíveis.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Predição e Inteligência Analítica para Alfabetização no Brasil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C8C"/>
        <w:sz w:val="16"/>
      </w:rPr>
      <w:t>TECH CHALLENGE — FASE 3  |  MODELAGEM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da Construção do Notebook 09</dc:title>
  <dc:subject>Aplicação estratégica e inteligência educacional</dc:subject>
  <dc:creator>Equipe do Tech Challenge</dc:creator>
  <cp:keywords>FIAP, alfabetização, machine learning, Databricks, modelagem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