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53FCE82A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CD1123">
        <w:rPr>
          <w:rFonts w:ascii="Cambria" w:hAnsi="Cambria"/>
          <w:sz w:val="36"/>
          <w:szCs w:val="36"/>
          <w:lang w:val="en-US"/>
        </w:rPr>
        <w:t>7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7FF23433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CD1123">
        <w:rPr>
          <w:rFonts w:ascii="Cambria" w:hAnsi="Cambria"/>
          <w:sz w:val="24"/>
          <w:szCs w:val="24"/>
          <w:lang w:val="en-US"/>
        </w:rPr>
        <w:t>7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CD1123">
        <w:rPr>
          <w:rFonts w:ascii="Cambria" w:hAnsi="Cambria"/>
          <w:sz w:val="24"/>
          <w:szCs w:val="24"/>
          <w:lang w:val="en-US"/>
        </w:rPr>
        <w:t>1.0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E513A2">
        <w:trPr>
          <w:trHeight w:val="507"/>
        </w:trPr>
        <w:tc>
          <w:tcPr>
            <w:tcW w:w="1128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382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515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663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E513A2" w:rsidRPr="00CE6DBA" w14:paraId="0A8DE0C5" w14:textId="77777777" w:rsidTr="00E513A2">
        <w:trPr>
          <w:trHeight w:val="507"/>
        </w:trPr>
        <w:tc>
          <w:tcPr>
            <w:tcW w:w="1128" w:type="dxa"/>
          </w:tcPr>
          <w:p w14:paraId="58157644" w14:textId="5BEDB29C" w:rsidR="00E513A2" w:rsidRPr="00CE6DBA" w:rsidRDefault="00E513A2" w:rsidP="00E513A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</w:tcPr>
          <w:p w14:paraId="4A66EF5C" w14:textId="5120F98D" w:rsidR="00E513A2" w:rsidRPr="00CE6DBA" w:rsidRDefault="00E513A2" w:rsidP="00E513A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515" w:type="dxa"/>
          </w:tcPr>
          <w:p w14:paraId="69F98266" w14:textId="56D73FA7" w:rsidR="00E513A2" w:rsidRPr="00CE6DBA" w:rsidRDefault="00E513A2" w:rsidP="00E513A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663" w:type="dxa"/>
          </w:tcPr>
          <w:p w14:paraId="240C6510" w14:textId="301C2A1B" w:rsidR="00E513A2" w:rsidRPr="00CE6DBA" w:rsidRDefault="00E513A2" w:rsidP="00E513A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E513A2">
        <w:trPr>
          <w:trHeight w:val="507"/>
        </w:trPr>
        <w:tc>
          <w:tcPr>
            <w:tcW w:w="1128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E513A2">
        <w:trPr>
          <w:trHeight w:val="507"/>
        </w:trPr>
        <w:tc>
          <w:tcPr>
            <w:tcW w:w="1128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</w:p>
    <w:p w14:paraId="65D1C611" w14:textId="43CE5EB8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p w14:paraId="1351FAFF" w14:textId="1EF1DD07" w:rsidR="009C1B41" w:rsidRPr="00CE6DBA" w:rsidRDefault="009C1B41" w:rsidP="009C1B41">
      <w:pPr>
        <w:rPr>
          <w:rFonts w:ascii="Cambria" w:hAnsi="Cambria"/>
          <w:lang w:val="en-US"/>
        </w:rPr>
      </w:pPr>
    </w:p>
    <w:tbl>
      <w:tblPr>
        <w:tblStyle w:val="Gittertabel1-lys"/>
        <w:tblW w:w="7358" w:type="dxa"/>
        <w:jc w:val="center"/>
        <w:tblLook w:val="04A0" w:firstRow="1" w:lastRow="0" w:firstColumn="1" w:lastColumn="0" w:noHBand="0" w:noVBand="1"/>
      </w:tblPr>
      <w:tblGrid>
        <w:gridCol w:w="2452"/>
        <w:gridCol w:w="2453"/>
        <w:gridCol w:w="2453"/>
      </w:tblGrid>
      <w:tr w:rsidR="00E513A2" w:rsidRPr="00CE6DBA" w14:paraId="2558C34B" w14:textId="77777777" w:rsidTr="00E5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E513A2" w:rsidRPr="00CE6DBA" w:rsidRDefault="00E513A2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E513A2" w:rsidRPr="00CE6DBA" w:rsidRDefault="00E513A2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48E2A854" w:rsidR="00E513A2" w:rsidRPr="00CE6DBA" w:rsidRDefault="00E513A2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E513A2" w:rsidRPr="00CE6DBA" w14:paraId="74E8532B" w14:textId="77777777" w:rsidTr="00E513A2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1110B39D" w:rsidR="00E513A2" w:rsidRPr="00456386" w:rsidRDefault="00456386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When pressing the toggle </w:t>
            </w:r>
            <w:r w:rsidR="007E7C2A">
              <w:rPr>
                <w:rFonts w:ascii="Cambria" w:hAnsi="Cambria"/>
                <w:b w:val="0"/>
                <w:bCs w:val="0"/>
                <w:lang w:val="en-US"/>
              </w:rPr>
              <w:t>for “Notifications”</w:t>
            </w:r>
            <w:r w:rsidR="00997871">
              <w:rPr>
                <w:rFonts w:ascii="Cambria" w:hAnsi="Cambria"/>
                <w:b w:val="0"/>
                <w:bCs w:val="0"/>
                <w:lang w:val="en-US"/>
              </w:rPr>
              <w:t xml:space="preserve"> ensuring it turns gray,</w:t>
            </w:r>
            <w:r w:rsidR="007E7C2A">
              <w:rPr>
                <w:rFonts w:ascii="Cambria" w:hAnsi="Cambria"/>
                <w:b w:val="0"/>
                <w:bCs w:val="0"/>
                <w:lang w:val="en-US"/>
              </w:rPr>
              <w:t xml:space="preserve"> all of the other toggles will follow</w:t>
            </w:r>
          </w:p>
        </w:tc>
        <w:tc>
          <w:tcPr>
            <w:tcW w:w="2453" w:type="dxa"/>
          </w:tcPr>
          <w:p w14:paraId="233A14EE" w14:textId="387AACFF" w:rsidR="00E513A2" w:rsidRPr="00CE6DBA" w:rsidRDefault="0018346D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All toggles turn gray when “Notification” toggle is turned gray</w:t>
            </w:r>
          </w:p>
        </w:tc>
        <w:tc>
          <w:tcPr>
            <w:tcW w:w="2453" w:type="dxa"/>
          </w:tcPr>
          <w:p w14:paraId="1F755FC9" w14:textId="7D818B8B" w:rsidR="00E513A2" w:rsidRPr="00CE6DBA" w:rsidRDefault="00E513A2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E513A2" w:rsidRPr="00CE6DBA" w14:paraId="1A13243B" w14:textId="77777777" w:rsidTr="00E513A2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989E0E" w14:textId="6C4A0BBB" w:rsidR="00E513A2" w:rsidRPr="00CE6DBA" w:rsidRDefault="0018346D" w:rsidP="00CE717B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When pressing the toggle for “Notifications” ensuring it turns gr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een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, all of the other toggles will follow</w:t>
            </w:r>
          </w:p>
        </w:tc>
        <w:tc>
          <w:tcPr>
            <w:tcW w:w="2453" w:type="dxa"/>
          </w:tcPr>
          <w:p w14:paraId="26F448AB" w14:textId="52088C6C" w:rsidR="00E513A2" w:rsidRPr="00CE6DBA" w:rsidRDefault="0018346D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All toggles turn </w:t>
            </w:r>
            <w:r>
              <w:rPr>
                <w:rFonts w:ascii="Cambria" w:hAnsi="Cambria"/>
                <w:lang w:val="en-US"/>
              </w:rPr>
              <w:t>green</w:t>
            </w:r>
            <w:r>
              <w:rPr>
                <w:rFonts w:ascii="Cambria" w:hAnsi="Cambria"/>
                <w:lang w:val="en-US"/>
              </w:rPr>
              <w:t xml:space="preserve"> when “Notification” toggle is turned </w:t>
            </w:r>
            <w:r>
              <w:rPr>
                <w:rFonts w:ascii="Cambria" w:hAnsi="Cambria"/>
                <w:lang w:val="en-US"/>
              </w:rPr>
              <w:t>green</w:t>
            </w:r>
          </w:p>
        </w:tc>
        <w:tc>
          <w:tcPr>
            <w:tcW w:w="2453" w:type="dxa"/>
          </w:tcPr>
          <w:p w14:paraId="517895AE" w14:textId="5E6CF54A" w:rsidR="00E513A2" w:rsidRPr="00CE6DBA" w:rsidRDefault="00E513A2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32038D25" w14:textId="5D85BEA0" w:rsidR="009C1B41" w:rsidRDefault="009D03B1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actual result matches the expected results and therefore is SR6 met. </w:t>
      </w:r>
      <w:r w:rsidR="00471936">
        <w:rPr>
          <w:rFonts w:ascii="Cambria" w:hAnsi="Cambria"/>
          <w:lang w:val="en-US"/>
        </w:rPr>
        <w:t xml:space="preserve">The two other toggles follow the “Notification” toggle making it easy to turn all notifications on or off.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48D6AC1C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0015A5"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7317" w:type="dxa"/>
          </w:tcPr>
          <w:p w14:paraId="5AF8FC80" w14:textId="6E958F0D" w:rsidR="0016076B" w:rsidRDefault="000015A5" w:rsidP="00384982">
            <w:pPr>
              <w:rPr>
                <w:rFonts w:ascii="Cambria" w:hAnsi="Cambria"/>
                <w:lang w:val="en-US"/>
              </w:rPr>
            </w:pPr>
            <w:r w:rsidRPr="007E393E">
              <w:rPr>
                <w:rFonts w:ascii="Cambria" w:hAnsi="Cambria"/>
                <w:lang w:val="en-US"/>
              </w:rPr>
              <w:t>The system must allow the user to enable/disable all notifications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0E6" w14:textId="77777777" w:rsidR="00E15B4F" w:rsidRDefault="00E15B4F" w:rsidP="00BC2397">
      <w:pPr>
        <w:spacing w:after="0" w:line="240" w:lineRule="auto"/>
      </w:pPr>
      <w:r>
        <w:separator/>
      </w:r>
    </w:p>
  </w:endnote>
  <w:endnote w:type="continuationSeparator" w:id="0">
    <w:p w14:paraId="347E336F" w14:textId="77777777" w:rsidR="00E15B4F" w:rsidRDefault="00E15B4F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2710" w14:textId="77777777" w:rsidR="00E15B4F" w:rsidRDefault="00E15B4F" w:rsidP="00BC2397">
      <w:pPr>
        <w:spacing w:after="0" w:line="240" w:lineRule="auto"/>
      </w:pPr>
      <w:r>
        <w:separator/>
      </w:r>
    </w:p>
  </w:footnote>
  <w:footnote w:type="continuationSeparator" w:id="0">
    <w:p w14:paraId="5D29FE08" w14:textId="77777777" w:rsidR="00E15B4F" w:rsidRDefault="00E15B4F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40062DA0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CD1123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CD1123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06D638BB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CD1123">
      <w:rPr>
        <w:rFonts w:ascii="Cambria" w:hAnsi="Cambria" w:cs="Times New Roman"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15A5"/>
    <w:rsid w:val="000031EE"/>
    <w:rsid w:val="0001719F"/>
    <w:rsid w:val="00035279"/>
    <w:rsid w:val="00085EDA"/>
    <w:rsid w:val="001418F7"/>
    <w:rsid w:val="0016076B"/>
    <w:rsid w:val="0018346D"/>
    <w:rsid w:val="001B02DE"/>
    <w:rsid w:val="001F4F52"/>
    <w:rsid w:val="00293C8F"/>
    <w:rsid w:val="002A7EDE"/>
    <w:rsid w:val="004234D1"/>
    <w:rsid w:val="00426893"/>
    <w:rsid w:val="00456386"/>
    <w:rsid w:val="00471936"/>
    <w:rsid w:val="00657571"/>
    <w:rsid w:val="006D0635"/>
    <w:rsid w:val="007C2979"/>
    <w:rsid w:val="007E7C2A"/>
    <w:rsid w:val="00922AF2"/>
    <w:rsid w:val="00953BB0"/>
    <w:rsid w:val="00997871"/>
    <w:rsid w:val="009C1B41"/>
    <w:rsid w:val="009D03B1"/>
    <w:rsid w:val="00B50758"/>
    <w:rsid w:val="00B55060"/>
    <w:rsid w:val="00BC2397"/>
    <w:rsid w:val="00BD7F03"/>
    <w:rsid w:val="00C671A3"/>
    <w:rsid w:val="00CC258F"/>
    <w:rsid w:val="00CD1123"/>
    <w:rsid w:val="00CE6DBA"/>
    <w:rsid w:val="00DD54F6"/>
    <w:rsid w:val="00DF5900"/>
    <w:rsid w:val="00E15B4F"/>
    <w:rsid w:val="00E47186"/>
    <w:rsid w:val="00E513A2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12</cp:revision>
  <dcterms:created xsi:type="dcterms:W3CDTF">2024-05-15T11:18:00Z</dcterms:created>
  <dcterms:modified xsi:type="dcterms:W3CDTF">2024-05-15T11:26:00Z</dcterms:modified>
</cp:coreProperties>
</file>