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ptos" w:hAnsi="Aptos"/>
          <w:b/>
          <w:color w:val="D85F30"/>
          <w:sz w:val="22"/>
        </w:rPr>
        <w:t>E-COMMERCE TERRITORIAL TARGETING ANALYSIS</w:t>
      </w:r>
    </w:p>
    <w:p>
      <w:pPr>
        <w:pStyle w:val="Title"/>
        <w:spacing w:after="120"/>
      </w:pPr>
      <w:r>
        <w:rPr>
          <w:rFonts w:ascii="Aptos Display" w:hAnsi="Aptos Display"/>
          <w:b/>
          <w:color w:val="172033"/>
          <w:sz w:val="58"/>
        </w:rPr>
        <w:t>Geographic Opportunity Scoring for Medical Instruments</w:t>
      </w:r>
    </w:p>
    <w:p>
      <w:pPr>
        <w:spacing w:after="300"/>
      </w:pPr>
      <w:r>
        <w:rPr>
          <w:rFonts w:ascii="Aptos" w:hAnsi="Aptos"/>
          <w:color w:val="2F7D8C"/>
          <w:sz w:val="26"/>
        </w:rPr>
        <w:t>RapidMiner data preparation + Power BI territorial targeting concept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6355080" cy="36640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_pre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66409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10224"/>
            <w:shd w:fill="EDF1F5"/>
            <w:tcBorders>
              <w:top w:val="single" w:sz="8" w:color="D8DEE8"/>
              <w:left w:val="single" w:sz="8" w:color="D8DEE8"/>
              <w:bottom w:val="single" w:sz="8" w:color="D8DEE8"/>
              <w:right w:val="single" w:sz="8" w:color="D8DEE8"/>
            </w:tcBorders>
          </w:tcPr>
          <w:p>
            <w:pPr>
              <w:spacing w:after="80"/>
            </w:pPr>
            <w:r>
              <w:rPr>
                <w:rFonts w:ascii="Aptos" w:hAnsi="Aptos"/>
                <w:b/>
                <w:color w:val="172033"/>
                <w:sz w:val="21"/>
              </w:rPr>
              <w:t>Project statement</w:t>
            </w:r>
          </w:p>
          <w:p>
            <w:pPr>
              <w:spacing w:after="40"/>
            </w:pPr>
            <w:r>
              <w:rPr>
                <w:rFonts w:ascii="Aptos" w:hAnsi="Aptos"/>
                <w:color w:val="334155"/>
                <w:sz w:val="19"/>
              </w:rPr>
              <w:t>Built a synthetic e-commerce targeting model that consolidates commercial and geographic signals, calculates a composite opportunity score, and translates the results into an interactive territorial-planning dashboard.</w:t>
            </w:r>
          </w:p>
        </w:tc>
      </w:tr>
    </w:tbl>
    <w:p>
      <w:pPr>
        <w:spacing w:after="20"/>
      </w:pPr>
    </w:p>
    <w:p>
      <w:pPr>
        <w:spacing w:before="120" w:after="0"/>
      </w:pPr>
      <w:r>
        <w:rPr>
          <w:rFonts w:ascii="Aptos" w:hAnsi="Aptos"/>
          <w:b/>
          <w:color w:val="D85F30"/>
          <w:sz w:val="18"/>
        </w:rPr>
        <w:t xml:space="preserve">Independent demonstration only. </w:t>
      </w:r>
      <w:r>
        <w:rPr>
          <w:rFonts w:ascii="Aptos" w:hAnsi="Aptos"/>
          <w:color w:val="697386"/>
          <w:sz w:val="18"/>
        </w:rPr>
        <w:t>No confidential Stryker data, actual sales performance, or official territory definitions were used.</w:t>
      </w:r>
    </w:p>
    <w:p>
      <w:r>
        <w:br w:type="page"/>
      </w:r>
    </w:p>
    <w:p>
      <w:pPr>
        <w:keepNext/>
        <w:spacing w:before="0" w:after="120"/>
      </w:pPr>
      <w:r>
        <w:rPr>
          <w:rFonts w:ascii="Aptos" w:hAnsi="Aptos"/>
          <w:b/>
          <w:color w:val="172033"/>
          <w:sz w:val="36"/>
        </w:rPr>
        <w:t>1. Business Context and Solution</w:t>
      </w:r>
    </w:p>
    <w:p>
      <w:pPr>
        <w:keepNext/>
        <w:spacing w:after="240"/>
      </w:pPr>
      <w:r>
        <w:rPr>
          <w:rFonts w:ascii="Aptos" w:hAnsi="Aptos"/>
          <w:color w:val="697386"/>
          <w:sz w:val="19"/>
        </w:rPr>
        <w:t>A practical analytics concept for prioritizing geographic markets and supporting territory design.</w:t>
      </w:r>
    </w:p>
    <w:p>
      <w:pPr>
        <w:pStyle w:val="Heading2"/>
      </w:pPr>
      <w:r>
        <w:t>Business problem</w:t>
      </w:r>
    </w:p>
    <w:p>
      <w:pPr>
        <w:keepNext w:val="0"/>
        <w:spacing w:after="180" w:before="0"/>
      </w:pPr>
      <w:r>
        <w:rPr>
          <w:rFonts w:ascii="Aptos" w:hAnsi="Aptos"/>
        </w:rPr>
        <w:t>E-commerce sales can reveal demand that is not fully visible through field activity alone. However, transaction exports, geographic reference data, market-potential indicators, and sales-territory assignments often reside in separate files. The analysis needs a repeatable way to standardize these sources, score opportunity consistently, and surface the result in a map that commercial teams can use.</w:t>
      </w:r>
    </w:p>
    <w:p>
      <w:pPr>
        <w:pStyle w:val="Heading2"/>
      </w:pPr>
      <w:r>
        <w:t>Project objectives</w:t>
      </w:r>
    </w:p>
    <w:p>
      <w:pPr>
        <w:pStyle w:val="ListBullet"/>
        <w:spacing w:after="80"/>
      </w:pPr>
      <w:r>
        <w:rPr>
          <w:rFonts w:ascii="Aptos" w:hAnsi="Aptos"/>
          <w:color w:val="263247"/>
          <w:sz w:val="21"/>
        </w:rPr>
        <w:t>Consolidate state- or ZIP-level e-commerce activity into a governed geographic fact table.</w:t>
      </w:r>
    </w:p>
    <w:p>
      <w:pPr>
        <w:pStyle w:val="ListBullet"/>
        <w:spacing w:after="80"/>
      </w:pPr>
      <w:r>
        <w:rPr>
          <w:rFonts w:ascii="Aptos" w:hAnsi="Aptos"/>
          <w:color w:val="263247"/>
          <w:sz w:val="21"/>
        </w:rPr>
        <w:t>Identify higher-priority targeting regions using sales, order volume, growth, market potential, and current coverage.</w:t>
      </w:r>
    </w:p>
    <w:p>
      <w:pPr>
        <w:pStyle w:val="ListBullet"/>
        <w:spacing w:after="80"/>
      </w:pPr>
      <w:r>
        <w:rPr>
          <w:rFonts w:ascii="Aptos" w:hAnsi="Aptos"/>
          <w:color w:val="263247"/>
          <w:sz w:val="21"/>
        </w:rPr>
        <w:t>Provide a transparent scoring model that can be audited and adjusted by commercial stakeholders.</w:t>
      </w:r>
    </w:p>
    <w:p>
      <w:pPr>
        <w:pStyle w:val="ListBullet"/>
        <w:spacing w:after="80"/>
      </w:pPr>
      <w:r>
        <w:rPr>
          <w:rFonts w:ascii="Aptos" w:hAnsi="Aptos"/>
          <w:color w:val="263247"/>
          <w:sz w:val="21"/>
        </w:rPr>
        <w:t>Translate scored outputs into an interactive Power BI design for territory planning and whitespace analysis.</w:t>
      </w:r>
    </w:p>
    <w:p>
      <w:pPr>
        <w:pStyle w:val="Heading2"/>
      </w:pPr>
      <w:r>
        <w:t>Solution architecture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2045"/>
            <w:shd w:fill="2F7D8C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1</w:t>
            </w:r>
          </w:p>
        </w:tc>
        <w:tc>
          <w:tcPr>
            <w:tcW w:type="dxa" w:w="2045"/>
            <w:shd w:fill="2F7D8C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2</w:t>
            </w:r>
          </w:p>
        </w:tc>
        <w:tc>
          <w:tcPr>
            <w:tcW w:type="dxa" w:w="2045"/>
            <w:shd w:fill="2F7D8C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3</w:t>
            </w:r>
          </w:p>
        </w:tc>
        <w:tc>
          <w:tcPr>
            <w:tcW w:type="dxa" w:w="2045"/>
            <w:shd w:fill="2F7D8C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4</w:t>
            </w:r>
          </w:p>
        </w:tc>
        <w:tc>
          <w:tcPr>
            <w:tcW w:type="dxa" w:w="2045"/>
            <w:shd w:fill="2F7D8C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5</w:t>
            </w:r>
          </w:p>
        </w:tc>
      </w:tr>
      <w:tr>
        <w:tc>
          <w:tcPr>
            <w:tcW w:type="dxa" w:w="2045"/>
            <w:shd w:fill="FFFFFF"/>
            <w:vAlign w:val="top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2033"/>
                <w:sz w:val="18"/>
              </w:rPr>
              <w:t>Source data</w:t>
            </w:r>
          </w:p>
          <w:p>
            <w:pPr>
              <w:jc w:val="center"/>
            </w:pPr>
            <w:r>
              <w:rPr>
                <w:rFonts w:ascii="Aptos" w:hAnsi="Aptos"/>
                <w:color w:val="697386"/>
                <w:sz w:val="16"/>
              </w:rPr>
              <w:t>Orders, revenue, ZIP, product family</w:t>
            </w:r>
          </w:p>
        </w:tc>
        <w:tc>
          <w:tcPr>
            <w:tcW w:type="dxa" w:w="2045"/>
            <w:shd w:fill="FFFFFF"/>
            <w:vAlign w:val="top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2033"/>
                <w:sz w:val="18"/>
              </w:rPr>
              <w:t>RapidMiner</w:t>
            </w:r>
          </w:p>
          <w:p>
            <w:pPr>
              <w:jc w:val="center"/>
            </w:pPr>
            <w:r>
              <w:rPr>
                <w:rFonts w:ascii="Aptos" w:hAnsi="Aptos"/>
                <w:color w:val="697386"/>
                <w:sz w:val="16"/>
              </w:rPr>
              <w:t>Clean, join, aggregate, normalize</w:t>
            </w:r>
          </w:p>
        </w:tc>
        <w:tc>
          <w:tcPr>
            <w:tcW w:type="dxa" w:w="2045"/>
            <w:shd w:fill="FFFFFF"/>
            <w:vAlign w:val="top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2033"/>
                <w:sz w:val="18"/>
              </w:rPr>
              <w:t>Scoring model</w:t>
            </w:r>
          </w:p>
          <w:p>
            <w:pPr>
              <w:jc w:val="center"/>
            </w:pPr>
            <w:r>
              <w:rPr>
                <w:rFonts w:ascii="Aptos" w:hAnsi="Aptos"/>
                <w:color w:val="697386"/>
                <w:sz w:val="16"/>
              </w:rPr>
              <w:t>Calculate priority and tier</w:t>
            </w:r>
          </w:p>
        </w:tc>
        <w:tc>
          <w:tcPr>
            <w:tcW w:type="dxa" w:w="2045"/>
            <w:shd w:fill="FFFFFF"/>
            <w:vAlign w:val="top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2033"/>
                <w:sz w:val="18"/>
              </w:rPr>
              <w:t>Published file</w:t>
            </w:r>
          </w:p>
          <w:p>
            <w:pPr>
              <w:jc w:val="center"/>
            </w:pPr>
            <w:r>
              <w:rPr>
                <w:rFonts w:ascii="Aptos" w:hAnsi="Aptos"/>
                <w:color w:val="697386"/>
                <w:sz w:val="16"/>
              </w:rPr>
              <w:t>Governed scored CSV or table</w:t>
            </w:r>
          </w:p>
        </w:tc>
        <w:tc>
          <w:tcPr>
            <w:tcW w:type="dxa" w:w="2045"/>
            <w:shd w:fill="FFFFFF"/>
            <w:vAlign w:val="top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2033"/>
                <w:sz w:val="18"/>
              </w:rPr>
              <w:t>Power BI</w:t>
            </w:r>
          </w:p>
          <w:p>
            <w:pPr>
              <w:jc w:val="center"/>
            </w:pPr>
            <w:r>
              <w:rPr>
                <w:rFonts w:ascii="Aptos" w:hAnsi="Aptos"/>
                <w:color w:val="697386"/>
                <w:sz w:val="16"/>
              </w:rPr>
              <w:t>Map, ranking, KPIs, drill-through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10224"/>
            <w:shd w:fill="FFF4EE"/>
            <w:tcBorders>
              <w:top w:val="single" w:sz="8" w:color="F0B89E"/>
              <w:left w:val="single" w:sz="8" w:color="F0B89E"/>
              <w:bottom w:val="single" w:sz="8" w:color="F0B89E"/>
              <w:right w:val="single" w:sz="8" w:color="F0B89E"/>
            </w:tcBorders>
          </w:tcPr>
          <w:p>
            <w:pPr>
              <w:spacing w:after="80"/>
            </w:pPr>
            <w:r>
              <w:rPr>
                <w:rFonts w:ascii="Aptos" w:hAnsi="Aptos"/>
                <w:b/>
                <w:color w:val="172033"/>
                <w:sz w:val="21"/>
              </w:rPr>
              <w:t>Portfolio deliverables</w:t>
            </w:r>
          </w:p>
          <w:p>
            <w:pPr>
              <w:spacing w:after="40"/>
            </w:pPr>
            <w:r>
              <w:rPr>
                <w:rFonts w:ascii="Aptos" w:hAnsi="Aptos"/>
                <w:color w:val="334155"/>
                <w:sz w:val="19"/>
              </w:rPr>
              <w:t>Interactive HTML dashboard, editable Word case study, shareable PDF, synthetic Excel data model, and import-ready CSV output.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keepNext/>
        <w:spacing w:before="0" w:after="120"/>
      </w:pPr>
      <w:r>
        <w:rPr>
          <w:rFonts w:ascii="Aptos" w:hAnsi="Aptos"/>
          <w:b/>
          <w:color w:val="172033"/>
          <w:sz w:val="36"/>
        </w:rPr>
        <w:t>2. Data Model and Priority Scoring</w:t>
      </w:r>
    </w:p>
    <w:p>
      <w:pPr>
        <w:keepNext/>
        <w:spacing w:after="240"/>
      </w:pPr>
      <w:r>
        <w:rPr>
          <w:rFonts w:ascii="Aptos" w:hAnsi="Aptos"/>
          <w:color w:val="697386"/>
          <w:sz w:val="19"/>
        </w:rPr>
        <w:t>A transparent composite score converts multiple commercial signals into one targeting rank.</w:t>
      </w:r>
    </w:p>
    <w:p>
      <w:pPr>
        <w:pStyle w:val="Heading2"/>
      </w:pPr>
      <w:r>
        <w:t>Core analytic grain</w:t>
      </w:r>
    </w:p>
    <w:p>
      <w:pPr>
        <w:keepNext w:val="0"/>
        <w:spacing w:after="160" w:before="0"/>
      </w:pPr>
      <w:r>
        <w:rPr>
          <w:rFonts w:ascii="Aptos" w:hAnsi="Aptos"/>
        </w:rPr>
        <w:t>The demonstration model uses one row per state. A production implementation would typically move to ZIP5, customer account, or a defined market-basket grain, then roll results into sales territories.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2"/>
        <w:gridCol w:w="3384"/>
        <w:gridCol w:w="1080"/>
        <w:gridCol w:w="2952"/>
      </w:tblGrid>
      <w:tr>
        <w:trPr>
          <w:tblHeader w:val="true"/>
        </w:trPr>
        <w:tc>
          <w:tcPr>
            <w:tcW w:type="dxa" w:w="2556"/>
            <w:shd w:fill="172033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Input</w:t>
            </w:r>
          </w:p>
        </w:tc>
        <w:tc>
          <w:tcPr>
            <w:tcW w:type="dxa" w:w="2556"/>
            <w:shd w:fill="172033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Definition</w:t>
            </w:r>
          </w:p>
        </w:tc>
        <w:tc>
          <w:tcPr>
            <w:tcW w:type="dxa" w:w="2556"/>
            <w:shd w:fill="172033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Weight</w:t>
            </w:r>
          </w:p>
        </w:tc>
        <w:tc>
          <w:tcPr>
            <w:tcW w:type="dxa" w:w="2556"/>
            <w:shd w:fill="172033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Role in score</w:t>
            </w:r>
          </w:p>
        </w:tc>
      </w:tr>
      <w:tr>
        <w:tc>
          <w:tcPr>
            <w:tcW w:type="dxa" w:w="2556"/>
            <w:vAlign w:val="center"/>
            <w:shd w:fill="EDF1F5"/>
          </w:tcPr>
          <w:p>
            <w:r/>
            <w:r>
              <w:rPr>
                <w:rFonts w:ascii="Aptos" w:hAnsi="Aptos"/>
                <w:b/>
                <w:color w:val="263247"/>
                <w:sz w:val="18"/>
              </w:rPr>
              <w:t>E-commerce Sales</w:t>
            </w:r>
          </w:p>
        </w:tc>
        <w:tc>
          <w:tcPr>
            <w:tcW w:type="dxa" w:w="2556"/>
            <w:vAlign w:val="center"/>
            <w:shd w:fill="EDF1F5"/>
          </w:tcPr>
          <w:p>
            <w:r/>
            <w:r>
              <w:rPr>
                <w:rFonts w:ascii="Aptos" w:hAnsi="Aptos"/>
                <w:b w:val="0"/>
                <w:color w:val="263247"/>
                <w:sz w:val="18"/>
              </w:rPr>
              <w:t>Synthetic annual revenue</w:t>
            </w:r>
          </w:p>
        </w:tc>
        <w:tc>
          <w:tcPr>
            <w:tcW w:type="dxa" w:w="2556"/>
            <w:vAlign w:val="center"/>
            <w:shd w:fill="EDF1F5"/>
          </w:tcPr>
          <w:p>
            <w:r/>
            <w:r>
              <w:rPr>
                <w:rFonts w:ascii="Aptos" w:hAnsi="Aptos"/>
                <w:b w:val="0"/>
                <w:color w:val="263247"/>
                <w:sz w:val="18"/>
              </w:rPr>
              <w:t>28%</w:t>
            </w:r>
          </w:p>
        </w:tc>
        <w:tc>
          <w:tcPr>
            <w:tcW w:type="dxa" w:w="2556"/>
            <w:vAlign w:val="center"/>
            <w:shd w:fill="EDF1F5"/>
          </w:tcPr>
          <w:p>
            <w:r/>
            <w:r>
              <w:rPr>
                <w:rFonts w:ascii="Aptos" w:hAnsi="Aptos"/>
                <w:b w:val="0"/>
                <w:color w:val="263247"/>
                <w:sz w:val="18"/>
              </w:rPr>
              <w:t>Current commercial value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/>
                <w:color w:val="263247"/>
                <w:sz w:val="18"/>
              </w:rPr>
              <w:t>Online Orders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color w:val="263247"/>
                <w:sz w:val="18"/>
              </w:rPr>
              <w:t>Synthetic transaction count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color w:val="263247"/>
                <w:sz w:val="18"/>
              </w:rPr>
              <w:t>20%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color w:val="263247"/>
                <w:sz w:val="18"/>
              </w:rPr>
              <w:t>Demand volume</w:t>
            </w:r>
          </w:p>
        </w:tc>
      </w:tr>
      <w:tr>
        <w:tc>
          <w:tcPr>
            <w:tcW w:type="dxa" w:w="2556"/>
            <w:vAlign w:val="center"/>
            <w:shd w:fill="EDF1F5"/>
          </w:tcPr>
          <w:p>
            <w:r/>
            <w:r>
              <w:rPr>
                <w:rFonts w:ascii="Aptos" w:hAnsi="Aptos"/>
                <w:b/>
                <w:color w:val="263247"/>
                <w:sz w:val="18"/>
              </w:rPr>
              <w:t>YoY Growth</w:t>
            </w:r>
          </w:p>
        </w:tc>
        <w:tc>
          <w:tcPr>
            <w:tcW w:type="dxa" w:w="2556"/>
            <w:vAlign w:val="center"/>
            <w:shd w:fill="EDF1F5"/>
          </w:tcPr>
          <w:p>
            <w:r/>
            <w:r>
              <w:rPr>
                <w:rFonts w:ascii="Aptos" w:hAnsi="Aptos"/>
                <w:b w:val="0"/>
                <w:color w:val="263247"/>
                <w:sz w:val="18"/>
              </w:rPr>
              <w:t>Synthetic annual growth rate</w:t>
            </w:r>
          </w:p>
        </w:tc>
        <w:tc>
          <w:tcPr>
            <w:tcW w:type="dxa" w:w="2556"/>
            <w:vAlign w:val="center"/>
            <w:shd w:fill="EDF1F5"/>
          </w:tcPr>
          <w:p>
            <w:r/>
            <w:r>
              <w:rPr>
                <w:rFonts w:ascii="Aptos" w:hAnsi="Aptos"/>
                <w:b w:val="0"/>
                <w:color w:val="263247"/>
                <w:sz w:val="18"/>
              </w:rPr>
              <w:t>20%</w:t>
            </w:r>
          </w:p>
        </w:tc>
        <w:tc>
          <w:tcPr>
            <w:tcW w:type="dxa" w:w="2556"/>
            <w:vAlign w:val="center"/>
            <w:shd w:fill="EDF1F5"/>
          </w:tcPr>
          <w:p>
            <w:r/>
            <w:r>
              <w:rPr>
                <w:rFonts w:ascii="Aptos" w:hAnsi="Aptos"/>
                <w:b w:val="0"/>
                <w:color w:val="263247"/>
                <w:sz w:val="18"/>
              </w:rPr>
              <w:t>Momentum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/>
                <w:color w:val="263247"/>
                <w:sz w:val="18"/>
              </w:rPr>
              <w:t>Market Potential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color w:val="263247"/>
                <w:sz w:val="18"/>
              </w:rPr>
              <w:t>Modeled 0-100 opportunity index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color w:val="263247"/>
                <w:sz w:val="18"/>
              </w:rPr>
              <w:t>20%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color w:val="263247"/>
                <w:sz w:val="18"/>
              </w:rPr>
              <w:t>Addressable opportunity</w:t>
            </w:r>
          </w:p>
        </w:tc>
      </w:tr>
      <w:tr>
        <w:tc>
          <w:tcPr>
            <w:tcW w:type="dxa" w:w="2556"/>
            <w:vAlign w:val="center"/>
            <w:shd w:fill="EDF1F5"/>
          </w:tcPr>
          <w:p>
            <w:r/>
            <w:r>
              <w:rPr>
                <w:rFonts w:ascii="Aptos" w:hAnsi="Aptos"/>
                <w:b/>
                <w:color w:val="263247"/>
                <w:sz w:val="18"/>
              </w:rPr>
              <w:t>Whitespace</w:t>
            </w:r>
          </w:p>
        </w:tc>
        <w:tc>
          <w:tcPr>
            <w:tcW w:type="dxa" w:w="2556"/>
            <w:vAlign w:val="center"/>
            <w:shd w:fill="EDF1F5"/>
          </w:tcPr>
          <w:p>
            <w:r/>
            <w:r>
              <w:rPr>
                <w:rFonts w:ascii="Aptos" w:hAnsi="Aptos"/>
                <w:b w:val="0"/>
                <w:color w:val="263247"/>
                <w:sz w:val="18"/>
              </w:rPr>
              <w:t>One minus modeled coverage</w:t>
            </w:r>
          </w:p>
        </w:tc>
        <w:tc>
          <w:tcPr>
            <w:tcW w:type="dxa" w:w="2556"/>
            <w:vAlign w:val="center"/>
            <w:shd w:fill="EDF1F5"/>
          </w:tcPr>
          <w:p>
            <w:r/>
            <w:r>
              <w:rPr>
                <w:rFonts w:ascii="Aptos" w:hAnsi="Aptos"/>
                <w:b w:val="0"/>
                <w:color w:val="263247"/>
                <w:sz w:val="18"/>
              </w:rPr>
              <w:t>12%</w:t>
            </w:r>
          </w:p>
        </w:tc>
        <w:tc>
          <w:tcPr>
            <w:tcW w:type="dxa" w:w="2556"/>
            <w:vAlign w:val="center"/>
            <w:shd w:fill="EDF1F5"/>
          </w:tcPr>
          <w:p>
            <w:r/>
            <w:r>
              <w:rPr>
                <w:rFonts w:ascii="Aptos" w:hAnsi="Aptos"/>
                <w:b w:val="0"/>
                <w:color w:val="263247"/>
                <w:sz w:val="18"/>
              </w:rPr>
              <w:t>Underpenetrated market potential</w:t>
            </w:r>
          </w:p>
        </w:tc>
      </w:tr>
    </w:tbl>
    <w:p>
      <w:pPr>
        <w:pStyle w:val="Heading2"/>
      </w:pPr>
      <w:r>
        <w:t>Scoring logic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10224"/>
            <w:shd w:fill="EDF1F5"/>
            <w:tcBorders>
              <w:top w:val="single" w:sz="8" w:color="D8DEE8"/>
              <w:left w:val="single" w:sz="8" w:color="D8DEE8"/>
              <w:bottom w:val="single" w:sz="8" w:color="D8DEE8"/>
              <w:right w:val="single" w:sz="8" w:color="D8DEE8"/>
            </w:tcBorders>
          </w:tcPr>
          <w:p>
            <w:pPr>
              <w:spacing w:after="80"/>
            </w:pPr>
            <w:r>
              <w:rPr>
                <w:rFonts w:ascii="Aptos" w:hAnsi="Aptos"/>
                <w:b/>
                <w:color w:val="172033"/>
                <w:sz w:val="21"/>
              </w:rPr>
              <w:t>Composite formula</w:t>
            </w:r>
          </w:p>
          <w:p>
            <w:pPr>
              <w:spacing w:after="40"/>
            </w:pPr>
            <w:r>
              <w:rPr>
                <w:rFonts w:ascii="Aptos" w:hAnsi="Aptos"/>
                <w:color w:val="334155"/>
                <w:sz w:val="19"/>
              </w:rPr>
              <w:t>Priority Score = 100 × [0.28(Sales normalized) + 0.20(Orders normalized) + 0.20(Growth normalized) + 0.20(Market Potential / 100) + 0.12(Whitespace)]</w:t>
            </w:r>
          </w:p>
        </w:tc>
      </w:tr>
    </w:tbl>
    <w:p>
      <w:pPr>
        <w:spacing w:after="20"/>
      </w:pPr>
    </w:p>
    <w:p>
      <w:pPr>
        <w:pStyle w:val="Heading2"/>
      </w:pPr>
      <w:r>
        <w:t>Priority tiers and actions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584"/>
        <w:gridCol w:w="6624"/>
      </w:tblGrid>
      <w:tr>
        <w:tc>
          <w:tcPr>
            <w:tcW w:type="dxa" w:w="3408"/>
            <w:shd w:fill="2F7D8C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Score band</w:t>
            </w:r>
          </w:p>
        </w:tc>
        <w:tc>
          <w:tcPr>
            <w:tcW w:type="dxa" w:w="3408"/>
            <w:shd w:fill="2F7D8C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Tier</w:t>
            </w:r>
          </w:p>
        </w:tc>
        <w:tc>
          <w:tcPr>
            <w:tcW w:type="dxa" w:w="3408"/>
            <w:shd w:fill="2F7D8C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Suggested action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Aptos" w:hAnsi="Aptos"/>
                <w:b w:val="0"/>
                <w:color w:val="263247"/>
                <w:sz w:val="18"/>
              </w:rPr>
              <w:t>72-100</w:t>
            </w:r>
          </w:p>
        </w:tc>
        <w:tc>
          <w:tcPr>
            <w:tcW w:type="dxa" w:w="3408"/>
          </w:tcPr>
          <w:p>
            <w:r/>
            <w:r>
              <w:rPr>
                <w:rFonts w:ascii="Aptos" w:hAnsi="Aptos"/>
                <w:b/>
                <w:color w:val="263247"/>
                <w:sz w:val="18"/>
              </w:rPr>
              <w:t>Highest</w:t>
            </w:r>
          </w:p>
        </w:tc>
        <w:tc>
          <w:tcPr>
            <w:tcW w:type="dxa" w:w="3408"/>
          </w:tcPr>
          <w:p>
            <w:r/>
            <w:r>
              <w:rPr>
                <w:rFonts w:ascii="Aptos" w:hAnsi="Aptos"/>
                <w:b w:val="0"/>
                <w:color w:val="263247"/>
                <w:sz w:val="18"/>
              </w:rPr>
              <w:t>Prioritize digital campaigns and review field coverage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Aptos" w:hAnsi="Aptos"/>
                <w:b w:val="0"/>
                <w:color w:val="263247"/>
                <w:sz w:val="18"/>
              </w:rPr>
              <w:t>60-71</w:t>
            </w:r>
          </w:p>
        </w:tc>
        <w:tc>
          <w:tcPr>
            <w:tcW w:type="dxa" w:w="3408"/>
          </w:tcPr>
          <w:p>
            <w:r/>
            <w:r>
              <w:rPr>
                <w:rFonts w:ascii="Aptos" w:hAnsi="Aptos"/>
                <w:b/>
                <w:color w:val="263247"/>
                <w:sz w:val="18"/>
              </w:rPr>
              <w:t>High</w:t>
            </w:r>
          </w:p>
        </w:tc>
        <w:tc>
          <w:tcPr>
            <w:tcW w:type="dxa" w:w="3408"/>
          </w:tcPr>
          <w:p>
            <w:r/>
            <w:r>
              <w:rPr>
                <w:rFonts w:ascii="Aptos" w:hAnsi="Aptos"/>
                <w:b w:val="0"/>
                <w:color w:val="263247"/>
                <w:sz w:val="18"/>
              </w:rPr>
              <w:t>Develop focused market plan and monitor conversion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Aptos" w:hAnsi="Aptos"/>
                <w:b w:val="0"/>
                <w:color w:val="263247"/>
                <w:sz w:val="18"/>
              </w:rPr>
              <w:t>45-59</w:t>
            </w:r>
          </w:p>
        </w:tc>
        <w:tc>
          <w:tcPr>
            <w:tcW w:type="dxa" w:w="3408"/>
          </w:tcPr>
          <w:p>
            <w:r/>
            <w:r>
              <w:rPr>
                <w:rFonts w:ascii="Aptos" w:hAnsi="Aptos"/>
                <w:b/>
                <w:color w:val="263247"/>
                <w:sz w:val="18"/>
              </w:rPr>
              <w:t>Moderate</w:t>
            </w:r>
          </w:p>
        </w:tc>
        <w:tc>
          <w:tcPr>
            <w:tcW w:type="dxa" w:w="3408"/>
          </w:tcPr>
          <w:p>
            <w:r/>
            <w:r>
              <w:rPr>
                <w:rFonts w:ascii="Aptos" w:hAnsi="Aptos"/>
                <w:b w:val="0"/>
                <w:color w:val="263247"/>
                <w:sz w:val="18"/>
              </w:rPr>
              <w:t>Test targeted campaigns and reassess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Aptos" w:hAnsi="Aptos"/>
                <w:b w:val="0"/>
                <w:color w:val="263247"/>
                <w:sz w:val="18"/>
              </w:rPr>
              <w:t>0-44</w:t>
            </w:r>
          </w:p>
        </w:tc>
        <w:tc>
          <w:tcPr>
            <w:tcW w:type="dxa" w:w="3408"/>
          </w:tcPr>
          <w:p>
            <w:r/>
            <w:r>
              <w:rPr>
                <w:rFonts w:ascii="Aptos" w:hAnsi="Aptos"/>
                <w:b/>
                <w:color w:val="263247"/>
                <w:sz w:val="18"/>
              </w:rPr>
              <w:t>Low</w:t>
            </w:r>
          </w:p>
        </w:tc>
        <w:tc>
          <w:tcPr>
            <w:tcW w:type="dxa" w:w="3408"/>
          </w:tcPr>
          <w:p>
            <w:r/>
            <w:r>
              <w:rPr>
                <w:rFonts w:ascii="Aptos" w:hAnsi="Aptos"/>
                <w:b w:val="0"/>
                <w:color w:val="263247"/>
                <w:sz w:val="18"/>
              </w:rPr>
              <w:t>Maintain baseline coverage and review quarterly</w:t>
            </w:r>
          </w:p>
        </w:tc>
      </w:tr>
    </w:tbl>
    <w:p>
      <w:pPr>
        <w:keepNext w:val="0"/>
        <w:spacing w:after="0" w:before="160"/>
      </w:pPr>
      <w:r>
        <w:rPr>
          <w:rFonts w:ascii="Aptos" w:hAnsi="Aptos"/>
        </w:rPr>
        <w:t>The weights are intentionally configurable. In a real commercial setting, the model should be calibrated with historical conversion, sales-rep capacity, channel mix, and market-access constraints.</w:t>
      </w:r>
    </w:p>
    <w:p>
      <w:r>
        <w:br w:type="page"/>
      </w:r>
    </w:p>
    <w:p>
      <w:pPr>
        <w:keepNext/>
        <w:spacing w:before="0" w:after="120"/>
      </w:pPr>
      <w:r>
        <w:rPr>
          <w:rFonts w:ascii="Aptos" w:hAnsi="Aptos"/>
          <w:b/>
          <w:color w:val="172033"/>
          <w:sz w:val="36"/>
        </w:rPr>
        <w:t>3. Power BI Dashboard Design</w:t>
      </w:r>
    </w:p>
    <w:p>
      <w:pPr>
        <w:keepNext/>
        <w:spacing w:after="240"/>
      </w:pPr>
      <w:r>
        <w:rPr>
          <w:rFonts w:ascii="Aptos" w:hAnsi="Aptos"/>
          <w:color w:val="697386"/>
          <w:sz w:val="19"/>
        </w:rPr>
        <w:t>The report structure supports both executive prioritization and analyst-level investigation.</w:t>
      </w:r>
    </w:p>
    <w:p>
      <w:pPr>
        <w:pStyle w:val="Heading2"/>
      </w:pPr>
      <w:r>
        <w:t>Recommended page layout</w:t>
      </w:r>
    </w:p>
    <w:p>
      <w:pPr>
        <w:pStyle w:val="ListBullet"/>
        <w:spacing w:after="80"/>
      </w:pPr>
      <w:r>
        <w:rPr>
          <w:rFonts w:ascii="Aptos" w:hAnsi="Aptos"/>
          <w:color w:val="263247"/>
          <w:sz w:val="21"/>
        </w:rPr>
        <w:t>Top KPI cards: modeled sales, priority-market count, weighted growth, and recommended focus territory.</w:t>
      </w:r>
    </w:p>
    <w:p>
      <w:pPr>
        <w:pStyle w:val="ListBullet"/>
        <w:spacing w:after="80"/>
      </w:pPr>
      <w:r>
        <w:rPr>
          <w:rFonts w:ascii="Aptos" w:hAnsi="Aptos"/>
          <w:color w:val="263247"/>
          <w:sz w:val="21"/>
        </w:rPr>
        <w:t>Main map: state or ZIP choropleth colored by Priority Score, with territory boundary overlays where supported.</w:t>
      </w:r>
    </w:p>
    <w:p>
      <w:pPr>
        <w:pStyle w:val="ListBullet"/>
        <w:spacing w:after="80"/>
      </w:pPr>
      <w:r>
        <w:rPr>
          <w:rFonts w:ascii="Aptos" w:hAnsi="Aptos"/>
          <w:color w:val="263247"/>
          <w:sz w:val="21"/>
        </w:rPr>
        <w:t>Ranking panel: horizontal bar chart of states or markets by Priority Score.</w:t>
      </w:r>
    </w:p>
    <w:p>
      <w:pPr>
        <w:pStyle w:val="ListBullet"/>
        <w:spacing w:after="80"/>
      </w:pPr>
      <w:r>
        <w:rPr>
          <w:rFonts w:ascii="Aptos" w:hAnsi="Aptos"/>
          <w:color w:val="263247"/>
          <w:sz w:val="21"/>
        </w:rPr>
        <w:t>Detail table: sales, orders, growth, market potential, coverage, whitespace, score, and recommended action.</w:t>
      </w:r>
    </w:p>
    <w:p>
      <w:pPr>
        <w:pStyle w:val="ListBullet"/>
        <w:spacing w:after="80"/>
      </w:pPr>
      <w:r>
        <w:rPr>
          <w:rFonts w:ascii="Aptos" w:hAnsi="Aptos"/>
          <w:color w:val="263247"/>
          <w:sz w:val="21"/>
        </w:rPr>
        <w:t>Slicers: territory, priority tier, product family, customer segment, and reporting period.</w:t>
      </w:r>
    </w:p>
    <w:p>
      <w:pPr>
        <w:pStyle w:val="Heading2"/>
      </w:pPr>
      <w:r>
        <w:t>Illustrative DAX measures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7344"/>
      </w:tblGrid>
      <w:tr>
        <w:tc>
          <w:tcPr>
            <w:tcW w:type="dxa" w:w="5112"/>
            <w:shd w:fill="172033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Measure</w:t>
            </w:r>
          </w:p>
        </w:tc>
        <w:tc>
          <w:tcPr>
            <w:tcW w:type="dxa" w:w="5112"/>
            <w:shd w:fill="172033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DAX concept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Aptos" w:hAnsi="Aptos"/>
                <w:b/>
                <w:color w:val="2F7D8C"/>
                <w:sz w:val="18"/>
              </w:rPr>
              <w:t>Modeled Sales</w:t>
            </w:r>
          </w:p>
        </w:tc>
        <w:tc>
          <w:tcPr>
            <w:tcW w:type="dxa" w:w="5112"/>
          </w:tcPr>
          <w:p>
            <w:r/>
            <w:r>
              <w:rPr>
                <w:rFonts w:ascii="Consolas" w:hAnsi="Consolas"/>
                <w:color w:val="263247"/>
                <w:sz w:val="17"/>
              </w:rPr>
              <w:t>SUM(Scored_Data[E-commerce Sales])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Aptos" w:hAnsi="Aptos"/>
                <w:b/>
                <w:color w:val="2F7D8C"/>
                <w:sz w:val="18"/>
              </w:rPr>
              <w:t>Priority Markets</w:t>
            </w:r>
          </w:p>
        </w:tc>
        <w:tc>
          <w:tcPr>
            <w:tcW w:type="dxa" w:w="5112"/>
          </w:tcPr>
          <w:p>
            <w:r/>
            <w:r>
              <w:rPr>
                <w:rFonts w:ascii="Consolas" w:hAnsi="Consolas"/>
                <w:color w:val="263247"/>
                <w:sz w:val="17"/>
              </w:rPr>
              <w:t>CALCULATE(DISTINCTCOUNT(Scored_Data[State Abbr]), Scored_Data[Priority Score] &gt;= 70)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Aptos" w:hAnsi="Aptos"/>
                <w:b/>
                <w:color w:val="2F7D8C"/>
                <w:sz w:val="18"/>
              </w:rPr>
              <w:t>Weighted Growth</w:t>
            </w:r>
          </w:p>
        </w:tc>
        <w:tc>
          <w:tcPr>
            <w:tcW w:type="dxa" w:w="5112"/>
          </w:tcPr>
          <w:p>
            <w:r/>
            <w:r>
              <w:rPr>
                <w:rFonts w:ascii="Consolas" w:hAnsi="Consolas"/>
                <w:color w:val="263247"/>
                <w:sz w:val="17"/>
              </w:rPr>
              <w:t>DIVIDE(SUMX(Scored_Data, Scored_Data[YoY Growth] * Scored_Data[E-commerce Sales]), [Modeled Sales])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Aptos" w:hAnsi="Aptos"/>
                <w:b/>
                <w:color w:val="2F7D8C"/>
                <w:sz w:val="18"/>
              </w:rPr>
              <w:t>Whitespace</w:t>
            </w:r>
          </w:p>
        </w:tc>
        <w:tc>
          <w:tcPr>
            <w:tcW w:type="dxa" w:w="5112"/>
          </w:tcPr>
          <w:p>
            <w:r/>
            <w:r>
              <w:rPr>
                <w:rFonts w:ascii="Consolas" w:hAnsi="Consolas"/>
                <w:color w:val="263247"/>
                <w:sz w:val="17"/>
              </w:rPr>
              <w:t>1 - AVERAGE(Scored_Data[Coverage])</w:t>
            </w:r>
          </w:p>
        </w:tc>
      </w:tr>
    </w:tbl>
    <w:p>
      <w:pPr>
        <w:pStyle w:val="Heading2"/>
      </w:pPr>
      <w:r>
        <w:t>Interaction design</w:t>
      </w:r>
    </w:p>
    <w:p>
      <w:pPr>
        <w:pStyle w:val="ListBullet"/>
        <w:spacing w:after="80"/>
      </w:pPr>
      <w:r>
        <w:rPr>
          <w:rFonts w:ascii="Aptos" w:hAnsi="Aptos"/>
          <w:color w:val="263247"/>
          <w:sz w:val="21"/>
        </w:rPr>
        <w:t>Selecting a state filters the ranking and detail table while displaying a market-profile tooltip.</w:t>
      </w:r>
    </w:p>
    <w:p>
      <w:pPr>
        <w:pStyle w:val="ListBullet"/>
        <w:spacing w:after="80"/>
      </w:pPr>
      <w:r>
        <w:rPr>
          <w:rFonts w:ascii="Aptos" w:hAnsi="Aptos"/>
          <w:color w:val="263247"/>
          <w:sz w:val="21"/>
        </w:rPr>
        <w:t>Territory slicers allow leaders to compare portfolio balance and identify overloaded or underdeveloped regions.</w:t>
      </w:r>
    </w:p>
    <w:p>
      <w:pPr>
        <w:pStyle w:val="ListBullet"/>
        <w:spacing w:after="80"/>
      </w:pPr>
      <w:r>
        <w:rPr>
          <w:rFonts w:ascii="Aptos" w:hAnsi="Aptos"/>
          <w:color w:val="263247"/>
          <w:sz w:val="21"/>
        </w:rPr>
        <w:t>A drill-through page can expose ZIP-level opportunity, target accounts, channel mix, and historical growth.</w:t>
      </w:r>
    </w:p>
    <w:p>
      <w:pPr>
        <w:pStyle w:val="ListBullet"/>
        <w:spacing w:after="80"/>
      </w:pPr>
      <w:r>
        <w:rPr>
          <w:rFonts w:ascii="Aptos" w:hAnsi="Aptos"/>
          <w:color w:val="263247"/>
          <w:sz w:val="21"/>
        </w:rPr>
        <w:t>The model can support scenario parameters to test alternative weights or coverage assumptions.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10224"/>
            <w:shd w:fill="FFF4EE"/>
            <w:tcBorders>
              <w:top w:val="single" w:sz="8" w:color="F0B89E"/>
              <w:left w:val="single" w:sz="8" w:color="F0B89E"/>
              <w:bottom w:val="single" w:sz="8" w:color="F0B89E"/>
              <w:right w:val="single" w:sz="8" w:color="F0B89E"/>
            </w:tcBorders>
          </w:tcPr>
          <w:p>
            <w:pPr>
              <w:spacing w:after="80"/>
            </w:pPr>
            <w:r>
              <w:rPr>
                <w:rFonts w:ascii="Aptos" w:hAnsi="Aptos"/>
                <w:b/>
                <w:color w:val="172033"/>
                <w:sz w:val="21"/>
              </w:rPr>
              <w:t>Production consideration</w:t>
            </w:r>
          </w:p>
          <w:p>
            <w:pPr>
              <w:spacing w:after="40"/>
            </w:pPr>
            <w:r>
              <w:rPr>
                <w:rFonts w:ascii="Aptos" w:hAnsi="Aptos"/>
                <w:color w:val="334155"/>
                <w:sz w:val="19"/>
              </w:rPr>
              <w:t>For accurate territorial boundaries, use governed ZIP-to-territory assignments and a supported polygon layer such as Azure Maps, ArcGIS for Power BI, or a certified custom shape map. Avoid treating state boundaries as a substitute for actual sales territories.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keepNext/>
        <w:spacing w:before="0" w:after="120"/>
      </w:pPr>
      <w:r>
        <w:rPr>
          <w:rFonts w:ascii="Aptos" w:hAnsi="Aptos"/>
          <w:b/>
          <w:color w:val="172033"/>
          <w:sz w:val="36"/>
        </w:rPr>
        <w:t>4. RapidMiner Workflow and Implementation Plan</w:t>
      </w:r>
    </w:p>
    <w:p>
      <w:pPr>
        <w:keepNext/>
        <w:spacing w:after="240"/>
      </w:pPr>
      <w:r>
        <w:rPr>
          <w:rFonts w:ascii="Aptos" w:hAnsi="Aptos"/>
          <w:color w:val="697386"/>
          <w:sz w:val="19"/>
        </w:rPr>
        <w:t>RapidMiner provides a repeatable preprocessing and scoring layer before the Power BI refresh.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44"/>
        <w:gridCol w:w="7704"/>
      </w:tblGrid>
      <w:tr>
        <w:tc>
          <w:tcPr>
            <w:tcW w:type="dxa" w:w="5112"/>
            <w:shd w:fill="2F7D8C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1. Ingest</w:t>
            </w:r>
          </w:p>
        </w:tc>
        <w:tc>
          <w:tcPr>
            <w:tcW w:type="dxa" w:w="5112"/>
            <w:shd w:fill="EDF1F5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r>
              <w:rPr>
                <w:rFonts w:ascii="Aptos" w:hAnsi="Aptos"/>
                <w:color w:val="263247"/>
                <w:sz w:val="18"/>
              </w:rPr>
              <w:t>Read transaction exports and geographic reference files.</w:t>
            </w:r>
          </w:p>
        </w:tc>
      </w:tr>
      <w:tr>
        <w:tc>
          <w:tcPr>
            <w:tcW w:type="dxa" w:w="5112"/>
            <w:shd w:fill="172033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2. Validate</w:t>
            </w:r>
          </w:p>
        </w:tc>
        <w:tc>
          <w:tcPr>
            <w:tcW w:type="dxa" w:w="5112"/>
            <w:shd w:fill="FFFFFF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r>
              <w:rPr>
                <w:rFonts w:ascii="Aptos" w:hAnsi="Aptos"/>
                <w:color w:val="263247"/>
                <w:sz w:val="18"/>
              </w:rPr>
              <w:t>Check schema, required fields, data types, nulls, and duplicate keys.</w:t>
            </w:r>
          </w:p>
        </w:tc>
      </w:tr>
      <w:tr>
        <w:tc>
          <w:tcPr>
            <w:tcW w:type="dxa" w:w="5112"/>
            <w:shd w:fill="2F7D8C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3. Standardize</w:t>
            </w:r>
          </w:p>
        </w:tc>
        <w:tc>
          <w:tcPr>
            <w:tcW w:type="dxa" w:w="5112"/>
            <w:shd w:fill="EDF1F5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r>
              <w:rPr>
                <w:rFonts w:ascii="Aptos" w:hAnsi="Aptos"/>
                <w:color w:val="263247"/>
                <w:sz w:val="18"/>
              </w:rPr>
              <w:t>Format ZIP5 as text, normalize product and segment labels, and derive dates.</w:t>
            </w:r>
          </w:p>
        </w:tc>
      </w:tr>
      <w:tr>
        <w:tc>
          <w:tcPr>
            <w:tcW w:type="dxa" w:w="5112"/>
            <w:shd w:fill="172033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4. Enrich</w:t>
            </w:r>
          </w:p>
        </w:tc>
        <w:tc>
          <w:tcPr>
            <w:tcW w:type="dxa" w:w="5112"/>
            <w:shd w:fill="FFFFFF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r>
              <w:rPr>
                <w:rFonts w:ascii="Aptos" w:hAnsi="Aptos"/>
                <w:color w:val="263247"/>
                <w:sz w:val="18"/>
              </w:rPr>
              <w:t>Join geography, territory, market potential, and commercial coverage.</w:t>
            </w:r>
          </w:p>
        </w:tc>
      </w:tr>
      <w:tr>
        <w:tc>
          <w:tcPr>
            <w:tcW w:type="dxa" w:w="5112"/>
            <w:shd w:fill="2F7D8C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5. Aggregate</w:t>
            </w:r>
          </w:p>
        </w:tc>
        <w:tc>
          <w:tcPr>
            <w:tcW w:type="dxa" w:w="5112"/>
            <w:shd w:fill="EDF1F5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r>
              <w:rPr>
                <w:rFonts w:ascii="Aptos" w:hAnsi="Aptos"/>
                <w:color w:val="263247"/>
                <w:sz w:val="18"/>
              </w:rPr>
              <w:t>Summarize sales and order activity to the selected geographic grain.</w:t>
            </w:r>
          </w:p>
        </w:tc>
      </w:tr>
      <w:tr>
        <w:tc>
          <w:tcPr>
            <w:tcW w:type="dxa" w:w="5112"/>
            <w:shd w:fill="172033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6. Normalize</w:t>
            </w:r>
          </w:p>
        </w:tc>
        <w:tc>
          <w:tcPr>
            <w:tcW w:type="dxa" w:w="5112"/>
            <w:shd w:fill="FFFFFF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r>
              <w:rPr>
                <w:rFonts w:ascii="Aptos" w:hAnsi="Aptos"/>
                <w:color w:val="263247"/>
                <w:sz w:val="18"/>
              </w:rPr>
              <w:t>Scale model inputs to comparable 0-1 ranges.</w:t>
            </w:r>
          </w:p>
        </w:tc>
      </w:tr>
      <w:tr>
        <w:tc>
          <w:tcPr>
            <w:tcW w:type="dxa" w:w="5112"/>
            <w:shd w:fill="2F7D8C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7. Score</w:t>
            </w:r>
          </w:p>
        </w:tc>
        <w:tc>
          <w:tcPr>
            <w:tcW w:type="dxa" w:w="5112"/>
            <w:shd w:fill="EDF1F5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r>
              <w:rPr>
                <w:rFonts w:ascii="Aptos" w:hAnsi="Aptos"/>
                <w:color w:val="263247"/>
                <w:sz w:val="18"/>
              </w:rPr>
              <w:t>Calculate the weighted Priority Score and assign a tier.</w:t>
            </w:r>
          </w:p>
        </w:tc>
      </w:tr>
      <w:tr>
        <w:tc>
          <w:tcPr>
            <w:tcW w:type="dxa" w:w="5112"/>
            <w:shd w:fill="172033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8. Publish</w:t>
            </w:r>
          </w:p>
        </w:tc>
        <w:tc>
          <w:tcPr>
            <w:tcW w:type="dxa" w:w="5112"/>
            <w:shd w:fill="FFFFFF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r>
              <w:rPr>
                <w:rFonts w:ascii="Aptos" w:hAnsi="Aptos"/>
                <w:color w:val="263247"/>
                <w:sz w:val="18"/>
              </w:rPr>
              <w:t>Write the scored output to a governed location for Power BI refresh.</w:t>
            </w:r>
          </w:p>
        </w:tc>
      </w:tr>
    </w:tbl>
    <w:p>
      <w:pPr>
        <w:pStyle w:val="Heading2"/>
      </w:pPr>
      <w:r>
        <w:t>Quality controls</w:t>
      </w:r>
    </w:p>
    <w:p>
      <w:pPr>
        <w:pStyle w:val="ListBullet"/>
        <w:spacing w:after="80"/>
      </w:pPr>
      <w:r>
        <w:rPr>
          <w:rFonts w:ascii="Aptos" w:hAnsi="Aptos"/>
          <w:color w:val="263247"/>
          <w:sz w:val="21"/>
        </w:rPr>
        <w:t>Reject records with missing geographic keys or invalid ZIP formats.</w:t>
      </w:r>
    </w:p>
    <w:p>
      <w:pPr>
        <w:pStyle w:val="ListBullet"/>
        <w:spacing w:after="80"/>
      </w:pPr>
      <w:r>
        <w:rPr>
          <w:rFonts w:ascii="Aptos" w:hAnsi="Aptos"/>
          <w:color w:val="263247"/>
          <w:sz w:val="21"/>
        </w:rPr>
        <w:t>Reconcile aggregated revenue and order counts back to the source export.</w:t>
      </w:r>
    </w:p>
    <w:p>
      <w:pPr>
        <w:pStyle w:val="ListBullet"/>
        <w:spacing w:after="80"/>
      </w:pPr>
      <w:r>
        <w:rPr>
          <w:rFonts w:ascii="Aptos" w:hAnsi="Aptos"/>
          <w:color w:val="263247"/>
          <w:sz w:val="21"/>
        </w:rPr>
        <w:t>Track unmatched geography and territory joins in an exception output.</w:t>
      </w:r>
    </w:p>
    <w:p>
      <w:pPr>
        <w:pStyle w:val="ListBullet"/>
        <w:spacing w:after="80"/>
      </w:pPr>
      <w:r>
        <w:rPr>
          <w:rFonts w:ascii="Aptos" w:hAnsi="Aptos"/>
          <w:color w:val="263247"/>
          <w:sz w:val="21"/>
        </w:rPr>
        <w:t>Version scoring weights and retain run metadata for reproducibility.</w:t>
      </w:r>
    </w:p>
    <w:p>
      <w:pPr>
        <w:pStyle w:val="ListBullet"/>
        <w:spacing w:after="80"/>
      </w:pPr>
      <w:r>
        <w:rPr>
          <w:rFonts w:ascii="Aptos" w:hAnsi="Aptos"/>
          <w:color w:val="263247"/>
          <w:sz w:val="21"/>
        </w:rPr>
        <w:t>Validate map totals against the scored source table after every refresh.</w:t>
      </w:r>
    </w:p>
    <w:p>
      <w:pPr>
        <w:pStyle w:val="Heading2"/>
      </w:pPr>
      <w:r>
        <w:t>Portfolio value demonstrated</w:t>
      </w:r>
    </w:p>
    <w:p>
      <w:pPr>
        <w:pStyle w:val="ListBullet"/>
        <w:spacing w:after="80"/>
      </w:pPr>
      <w:r>
        <w:rPr>
          <w:rFonts w:ascii="Aptos" w:hAnsi="Aptos"/>
          <w:color w:val="263247"/>
          <w:sz w:val="21"/>
        </w:rPr>
        <w:t>Commercial analytics: translated transaction data into a prioritization framework.</w:t>
      </w:r>
    </w:p>
    <w:p>
      <w:pPr>
        <w:pStyle w:val="ListBullet"/>
        <w:spacing w:after="80"/>
      </w:pPr>
      <w:r>
        <w:rPr>
          <w:rFonts w:ascii="Aptos" w:hAnsi="Aptos"/>
          <w:color w:val="263247"/>
          <w:sz w:val="21"/>
        </w:rPr>
        <w:t>Data engineering: designed a repeatable cleansing, enrichment, aggregation, and publishing workflow.</w:t>
      </w:r>
    </w:p>
    <w:p>
      <w:pPr>
        <w:pStyle w:val="ListBullet"/>
        <w:spacing w:after="80"/>
      </w:pPr>
      <w:r>
        <w:rPr>
          <w:rFonts w:ascii="Aptos" w:hAnsi="Aptos"/>
          <w:color w:val="263247"/>
          <w:sz w:val="21"/>
        </w:rPr>
        <w:t>Geospatial analysis: connected opportunity signals to state and territory structures.</w:t>
      </w:r>
    </w:p>
    <w:p>
      <w:pPr>
        <w:pStyle w:val="ListBullet"/>
        <w:spacing w:after="80"/>
      </w:pPr>
      <w:r>
        <w:rPr>
          <w:rFonts w:ascii="Aptos" w:hAnsi="Aptos"/>
          <w:color w:val="263247"/>
          <w:sz w:val="21"/>
        </w:rPr>
        <w:t>Business intelligence: defined an interactive dashboard, measures, filters, and drill paths.</w:t>
      </w:r>
    </w:p>
    <w:p>
      <w:pPr>
        <w:pStyle w:val="ListBullet"/>
        <w:spacing w:after="80"/>
      </w:pPr>
      <w:r>
        <w:rPr>
          <w:rFonts w:ascii="Aptos" w:hAnsi="Aptos"/>
          <w:color w:val="263247"/>
          <w:sz w:val="21"/>
        </w:rPr>
        <w:t>Governance: documented assumptions, formulas, quality checks, and limitations.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10224"/>
            <w:shd w:fill="EDF1F5"/>
            <w:tcBorders>
              <w:top w:val="single" w:sz="8" w:color="D8DEE8"/>
              <w:left w:val="single" w:sz="8" w:color="D8DEE8"/>
              <w:bottom w:val="single" w:sz="8" w:color="D8DEE8"/>
              <w:right w:val="single" w:sz="8" w:color="D8DEE8"/>
            </w:tcBorders>
          </w:tcPr>
          <w:p>
            <w:pPr>
              <w:spacing w:after="80"/>
            </w:pPr>
            <w:r>
              <w:rPr>
                <w:rFonts w:ascii="Aptos" w:hAnsi="Aptos"/>
                <w:b/>
                <w:color w:val="172033"/>
                <w:sz w:val="21"/>
              </w:rPr>
              <w:t>Recommended next iteration</w:t>
            </w:r>
          </w:p>
          <w:p>
            <w:pPr>
              <w:spacing w:after="40"/>
            </w:pPr>
            <w:r>
              <w:rPr>
                <w:rFonts w:ascii="Aptos" w:hAnsi="Aptos"/>
                <w:color w:val="334155"/>
                <w:sz w:val="19"/>
              </w:rPr>
              <w:t>Replace synthetic state data with de-identified ZIP-level transactions, add account and product dimensions, calibrate weights against historical conversion, and validate the recommended territories with field leadership.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1008" w:bottom="792" w:left="1008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97386"/>
        <w:sz w:val="15"/>
      </w:rPr>
      <w:t>Synthetic portfolio demonstration - not affiliated with or endorsed by Stryker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2F7D8C"/>
        <w:sz w:val="16"/>
      </w:rPr>
      <w:t>PORTFOLIO CASE STUDY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632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203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2F7D8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D85F3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2033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E-commerce Territorial Targeting Analysis - Portfolio Case Study</dc:title>
  <dc:subject>Synthetic RapidMiner and Power BI territorial targeting portfolio project</dc:subject>
  <dc:creator>Portfolio Demonstration</dc:creator>
  <cp:keywords/>
  <dc:description>All data and outputs are synthetic.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